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A4BE" w14:textId="77777777" w:rsidR="00AC1533" w:rsidRPr="000C71E1" w:rsidRDefault="00000000">
      <w:pPr>
        <w:spacing w:after="120"/>
        <w:rPr>
          <w:rFonts w:asciiTheme="majorHAnsi" w:hAnsiTheme="majorHAnsi" w:cstheme="majorHAnsi"/>
        </w:rPr>
      </w:pPr>
      <w:r w:rsidRPr="000C71E1">
        <w:rPr>
          <w:rFonts w:asciiTheme="majorHAnsi" w:hAnsiTheme="majorHAnsi" w:cstheme="majorHAnsi"/>
          <w:b/>
          <w:color w:val="0F294A"/>
          <w:sz w:val="38"/>
        </w:rPr>
        <w:t>Genomic Characterization, Trimodal Artificial Intelligence Modeling, and Global Meta-Analysis of Mosaic Variegated Aneuploidy Syndrome (MVA)</w:t>
      </w:r>
    </w:p>
    <w:p w14:paraId="0C7AFC4C" w14:textId="77777777" w:rsidR="00AC1533" w:rsidRPr="000C71E1" w:rsidRDefault="00000000">
      <w:pPr>
        <w:rPr>
          <w:rFonts w:asciiTheme="majorHAnsi" w:hAnsiTheme="majorHAnsi" w:cstheme="majorHAnsi"/>
        </w:rPr>
      </w:pPr>
      <w:r w:rsidRPr="000C71E1">
        <w:rPr>
          <w:rFonts w:asciiTheme="majorHAnsi" w:hAnsiTheme="majorHAnsi" w:cstheme="majorHAnsi"/>
          <w:i/>
          <w:color w:val="1E3A8A"/>
          <w:sz w:val="26"/>
        </w:rPr>
        <w:t>Unraveling BUB1B/CENPE Kinetochore Motor Failure and the Molecular Basis of Medullary Nephrocalcinosis Guided by Homozygous Insertion in WT1</w:t>
      </w:r>
    </w:p>
    <w:p w14:paraId="652D990B" w14:textId="77777777" w:rsidR="00AC1533" w:rsidRPr="000C71E1" w:rsidRDefault="00000000">
      <w:pPr>
        <w:spacing w:before="80" w:after="40"/>
        <w:rPr>
          <w:rFonts w:asciiTheme="majorHAnsi" w:hAnsiTheme="majorHAnsi" w:cstheme="majorHAnsi"/>
        </w:rPr>
      </w:pPr>
      <w:r w:rsidRPr="000C71E1">
        <w:rPr>
          <w:rFonts w:asciiTheme="majorHAnsi" w:hAnsiTheme="majorHAnsi" w:cstheme="majorHAnsi"/>
          <w:b/>
          <w:sz w:val="24"/>
        </w:rPr>
        <w:t>Daniel Antonio Ojeda, MD</w:t>
      </w:r>
    </w:p>
    <w:p w14:paraId="215525FF" w14:textId="5C43D5E5" w:rsidR="00AC1533" w:rsidRPr="000C71E1" w:rsidRDefault="00000000">
      <w:pPr>
        <w:pBdr>
          <w:bottom w:val="single" w:sz="12" w:space="4" w:color="0F294A"/>
        </w:pBdr>
        <w:spacing w:after="240"/>
        <w:rPr>
          <w:rFonts w:asciiTheme="majorHAnsi" w:hAnsiTheme="majorHAnsi" w:cstheme="majorHAnsi"/>
        </w:rPr>
      </w:pPr>
      <w:r w:rsidRPr="000C71E1">
        <w:rPr>
          <w:rFonts w:asciiTheme="majorHAnsi" w:hAnsiTheme="majorHAnsi" w:cstheme="majorHAnsi"/>
          <w:color w:val="334155"/>
          <w:sz w:val="20"/>
        </w:rPr>
        <w:t xml:space="preserve">Specialist in Internal Medicine (ULA - IAHULA) | Attending Physician, Adult Emergency Department, Instituto </w:t>
      </w:r>
      <w:proofErr w:type="spellStart"/>
      <w:r w:rsidRPr="000C71E1">
        <w:rPr>
          <w:rFonts w:asciiTheme="majorHAnsi" w:hAnsiTheme="majorHAnsi" w:cstheme="majorHAnsi"/>
          <w:color w:val="334155"/>
          <w:sz w:val="20"/>
        </w:rPr>
        <w:t>Autónomo</w:t>
      </w:r>
      <w:proofErr w:type="spellEnd"/>
      <w:r w:rsidRPr="000C71E1">
        <w:rPr>
          <w:rFonts w:asciiTheme="majorHAnsi" w:hAnsiTheme="majorHAnsi" w:cstheme="majorHAnsi"/>
          <w:color w:val="334155"/>
          <w:sz w:val="20"/>
        </w:rPr>
        <w:t xml:space="preserve"> Hospital Universitario de </w:t>
      </w:r>
      <w:proofErr w:type="spellStart"/>
      <w:r w:rsidRPr="000C71E1">
        <w:rPr>
          <w:rFonts w:asciiTheme="majorHAnsi" w:hAnsiTheme="majorHAnsi" w:cstheme="majorHAnsi"/>
          <w:color w:val="334155"/>
          <w:sz w:val="20"/>
        </w:rPr>
        <w:t>los</w:t>
      </w:r>
      <w:proofErr w:type="spellEnd"/>
      <w:r w:rsidRPr="000C71E1">
        <w:rPr>
          <w:rFonts w:asciiTheme="majorHAnsi" w:hAnsiTheme="majorHAnsi" w:cstheme="majorHAnsi"/>
          <w:color w:val="334155"/>
          <w:sz w:val="20"/>
        </w:rPr>
        <w:t xml:space="preserve"> Andes (IAHULA)</w:t>
      </w:r>
      <w:r w:rsidR="002A6822">
        <w:rPr>
          <w:rFonts w:asciiTheme="majorHAnsi" w:hAnsiTheme="majorHAnsi" w:cstheme="majorHAnsi"/>
          <w:color w:val="334155"/>
          <w:sz w:val="20"/>
        </w:rPr>
        <w:t xml:space="preserve"> </w:t>
      </w:r>
      <w:r w:rsidR="002A6822" w:rsidRPr="002A6822">
        <w:rPr>
          <w:rFonts w:asciiTheme="majorHAnsi" w:hAnsiTheme="majorHAnsi" w:cstheme="majorHAnsi"/>
          <w:color w:val="334155"/>
          <w:sz w:val="20"/>
        </w:rPr>
        <w:t>Mérida, Venezuela.</w:t>
      </w:r>
    </w:p>
    <w:p w14:paraId="5A9F69CC" w14:textId="77777777" w:rsidR="00AC1533" w:rsidRPr="000C71E1" w:rsidRDefault="00000000">
      <w:pPr>
        <w:keepNext/>
        <w:pBdr>
          <w:bottom w:val="single" w:sz="12" w:space="3" w:color="1B365D"/>
        </w:pBdr>
        <w:spacing w:before="160" w:after="80" w:line="259" w:lineRule="auto"/>
        <w:rPr>
          <w:rFonts w:asciiTheme="majorHAnsi" w:hAnsiTheme="majorHAnsi" w:cstheme="majorHAnsi"/>
        </w:rPr>
      </w:pPr>
      <w:r w:rsidRPr="000C71E1">
        <w:rPr>
          <w:rFonts w:asciiTheme="majorHAnsi" w:hAnsiTheme="majorHAnsi" w:cstheme="majorHAnsi"/>
          <w:b/>
          <w:color w:val="0F294A"/>
          <w:sz w:val="26"/>
        </w:rPr>
        <w:t>Structured Abstract</w:t>
      </w:r>
    </w:p>
    <w:p w14:paraId="30AA9FDC"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rPr>
          <w:rFonts w:asciiTheme="majorHAnsi" w:hAnsiTheme="majorHAnsi" w:cstheme="majorHAnsi"/>
          <w:sz w:val="19"/>
          <w:szCs w:val="19"/>
        </w:rPr>
      </w:pPr>
      <w:r>
        <w:rPr>
          <w:b/>
          <w:color w:val="0F294A"/>
          <w:sz w:val="21"/>
        </w:rPr>
        <w:t>Background:</w:t>
      </w:r>
      <w:r>
        <w:rPr>
          <w:sz w:val="21"/>
        </w:rPr>
        <w:t xml:space="preserve"> Mosaic Variegated Aneuploidy Syndrome (MVA; OMIM #257300, #614114, #617598) is an ultra-rare autosomal recessive chromosomal instability disorder defined by premature chromatid separation (PCS) and constitutional mosaic aneuploidy (&gt;25% metaphases). While microcephaly and embryonal tumors are classic hallmarks, the genetic basis of primary medullary nephrocalcinosis and non-canonical MVA loci remains uncharacterized.</w:t>
      </w:r>
    </w:p>
    <w:p w14:paraId="1CC39237"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rPr>
          <w:rFonts w:asciiTheme="majorHAnsi" w:hAnsiTheme="majorHAnsi" w:cstheme="majorHAnsi"/>
          <w:sz w:val="19"/>
          <w:szCs w:val="19"/>
        </w:rPr>
      </w:pPr>
      <w:r>
        <w:rPr>
          <w:b/>
          <w:color w:val="0F294A"/>
          <w:sz w:val="21"/>
        </w:rPr>
        <w:t>Objectives:</w:t>
      </w:r>
      <w:r>
        <w:rPr>
          <w:sz w:val="21"/>
        </w:rPr>
        <w:t xml:space="preserve"> To perform a PRISMA 2020 global systematic review and meta-analysis of MVA syndrome (1988–2026) and resolve the multigenic etiology of an 11-month-old female proband from the 2026 Pediatric Rare Disease Hackathon presenting with severe microcephaly (Z-score −5.3), bilateral cataracts, growth failure, and Grade II–III medullary nephrocalcinosis.</w:t>
      </w:r>
    </w:p>
    <w:p w14:paraId="15CD12E9"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rPr>
          <w:rFonts w:asciiTheme="majorHAnsi" w:hAnsiTheme="majorHAnsi" w:cstheme="majorHAnsi"/>
          <w:sz w:val="19"/>
          <w:szCs w:val="19"/>
        </w:rPr>
      </w:pPr>
      <w:r>
        <w:rPr>
          <w:b/>
          <w:color w:val="0F294A"/>
          <w:sz w:val="21"/>
        </w:rPr>
        <w:t>Methods:</w:t>
      </w:r>
      <w:r>
        <w:rPr>
          <w:sz w:val="21"/>
        </w:rPr>
        <w:t xml:space="preserve"> </w:t>
      </w:r>
      <w:proofErr w:type="spellStart"/>
      <w:r>
        <w:rPr>
          <w:sz w:val="21"/>
        </w:rPr>
        <w:t>DerSimonian</w:t>
      </w:r>
      <w:proofErr w:type="spellEnd"/>
      <w:r>
        <w:rPr>
          <w:sz w:val="21"/>
        </w:rPr>
        <w:t xml:space="preserve">-Laird random-effects meta-analysis synthesized 158 global studies (138 genuine clinical MVA cohorts spanning </w:t>
      </w:r>
      <w:r>
        <w:rPr>
          <w:i/>
          <w:sz w:val="21"/>
        </w:rPr>
        <w:t>BUB1B</w:t>
      </w:r>
      <w:r>
        <w:rPr>
          <w:sz w:val="21"/>
        </w:rPr>
        <w:t xml:space="preserve">, </w:t>
      </w:r>
      <w:r>
        <w:rPr>
          <w:i/>
          <w:sz w:val="21"/>
        </w:rPr>
        <w:t>CEP57</w:t>
      </w:r>
      <w:r>
        <w:rPr>
          <w:sz w:val="21"/>
        </w:rPr>
        <w:t xml:space="preserve">, </w:t>
      </w:r>
      <w:r>
        <w:rPr>
          <w:i/>
          <w:sz w:val="21"/>
        </w:rPr>
        <w:t>TRIP13</w:t>
      </w:r>
      <w:r>
        <w:rPr>
          <w:sz w:val="21"/>
        </w:rPr>
        <w:t xml:space="preserve">, </w:t>
      </w:r>
      <w:r>
        <w:rPr>
          <w:i/>
          <w:sz w:val="21"/>
        </w:rPr>
        <w:t>CENPE</w:t>
      </w:r>
      <w:r>
        <w:rPr>
          <w:sz w:val="21"/>
        </w:rPr>
        <w:t xml:space="preserve">, </w:t>
      </w:r>
      <w:r>
        <w:rPr>
          <w:i/>
          <w:sz w:val="21"/>
        </w:rPr>
        <w:t>CENATAC</w:t>
      </w:r>
      <w:r>
        <w:rPr>
          <w:sz w:val="21"/>
        </w:rPr>
        <w:t xml:space="preserve">, </w:t>
      </w:r>
      <w:r>
        <w:rPr>
          <w:i/>
          <w:sz w:val="21"/>
        </w:rPr>
        <w:t>MAD1L1</w:t>
      </w:r>
      <w:r>
        <w:rPr>
          <w:sz w:val="21"/>
        </w:rPr>
        <w:t xml:space="preserve">, </w:t>
      </w:r>
      <w:r>
        <w:rPr>
          <w:i/>
          <w:sz w:val="21"/>
        </w:rPr>
        <w:t>BUB1</w:t>
      </w:r>
      <w:r>
        <w:rPr>
          <w:sz w:val="21"/>
        </w:rPr>
        <w:t xml:space="preserve">, </w:t>
      </w:r>
      <w:r>
        <w:rPr>
          <w:i/>
          <w:sz w:val="21"/>
        </w:rPr>
        <w:t>SLF2</w:t>
      </w:r>
      <w:r>
        <w:rPr>
          <w:sz w:val="21"/>
        </w:rPr>
        <w:t xml:space="preserve">, </w:t>
      </w:r>
      <w:r>
        <w:rPr>
          <w:i/>
          <w:sz w:val="21"/>
        </w:rPr>
        <w:t>SMC5</w:t>
      </w:r>
      <w:r>
        <w:rPr>
          <w:sz w:val="21"/>
        </w:rPr>
        <w:t xml:space="preserve">, and </w:t>
      </w:r>
      <w:r>
        <w:rPr>
          <w:i/>
          <w:sz w:val="21"/>
        </w:rPr>
        <w:t>CEP192</w:t>
      </w:r>
      <w:r>
        <w:rPr>
          <w:sz w:val="21"/>
        </w:rPr>
        <w:t xml:space="preserve">). Proband 30x whole-genome sequencing (85.0 GB across 4 </w:t>
      </w:r>
      <w:proofErr w:type="spellStart"/>
      <w:r>
        <w:rPr>
          <w:sz w:val="21"/>
        </w:rPr>
        <w:t>flowcell</w:t>
      </w:r>
      <w:proofErr w:type="spellEnd"/>
      <w:r>
        <w:rPr>
          <w:sz w:val="21"/>
        </w:rPr>
        <w:t xml:space="preserve"> lanes) was processed on Kaggle Cloud GPUs and scored via an Integrated Pathogenicity Index (IPI) uniting </w:t>
      </w:r>
      <w:proofErr w:type="spellStart"/>
      <w:r>
        <w:rPr>
          <w:sz w:val="21"/>
        </w:rPr>
        <w:t>AlphaGenome</w:t>
      </w:r>
      <w:proofErr w:type="spellEnd"/>
      <w:r>
        <w:rPr>
          <w:sz w:val="21"/>
        </w:rPr>
        <w:t xml:space="preserve"> (16 kb), </w:t>
      </w:r>
      <w:proofErr w:type="spellStart"/>
      <w:r>
        <w:rPr>
          <w:sz w:val="21"/>
        </w:rPr>
        <w:t>AlphaMissense</w:t>
      </w:r>
      <w:proofErr w:type="spellEnd"/>
      <w:r>
        <w:rPr>
          <w:sz w:val="21"/>
        </w:rPr>
        <w:t>, and Evo 2 (7B parameters).</w:t>
      </w:r>
    </w:p>
    <w:p w14:paraId="775B40B2"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rPr>
          <w:rFonts w:asciiTheme="majorHAnsi" w:hAnsiTheme="majorHAnsi" w:cstheme="majorHAnsi"/>
          <w:sz w:val="19"/>
          <w:szCs w:val="19"/>
        </w:rPr>
      </w:pPr>
      <w:r>
        <w:rPr>
          <w:b/>
          <w:color w:val="0F294A"/>
          <w:sz w:val="21"/>
        </w:rPr>
        <w:t>Results:</w:t>
      </w:r>
      <w:r>
        <w:rPr>
          <w:sz w:val="21"/>
        </w:rPr>
        <w:t xml:space="preserve"> Pooled prevalences were 90.8% for mosaic aneuploidy, 81.0% for growth failure, 77.1% for microcephaly, 31.4% for embryonal malignancies (Wilms tumor 20.9%, rhabdomyosarcoma 10.5%), and 18.3% for precursor renal anomalies, versus 0.0% for explicit historical nephrocalcinosis. Trimodal AI prioritized three Tier-1 pathogenic variants: </w:t>
      </w:r>
      <w:r>
        <w:rPr>
          <w:i/>
          <w:sz w:val="21"/>
        </w:rPr>
        <w:t>CENPE</w:t>
      </w:r>
      <w:r>
        <w:rPr>
          <w:sz w:val="21"/>
        </w:rPr>
        <w:t xml:space="preserve"> </w:t>
      </w:r>
      <w:proofErr w:type="gramStart"/>
      <w:r>
        <w:rPr>
          <w:sz w:val="21"/>
        </w:rPr>
        <w:t>p.Arg</w:t>
      </w:r>
      <w:proofErr w:type="gramEnd"/>
      <w:r>
        <w:rPr>
          <w:sz w:val="21"/>
        </w:rPr>
        <w:t xml:space="preserve">1079Gln (IPI 0.8016), </w:t>
      </w:r>
      <w:r>
        <w:rPr>
          <w:i/>
          <w:sz w:val="21"/>
        </w:rPr>
        <w:t>BUB1B</w:t>
      </w:r>
      <w:r>
        <w:rPr>
          <w:sz w:val="21"/>
        </w:rPr>
        <w:t xml:space="preserve"> </w:t>
      </w:r>
      <w:proofErr w:type="gramStart"/>
      <w:r>
        <w:rPr>
          <w:sz w:val="21"/>
        </w:rPr>
        <w:t>p.Arg</w:t>
      </w:r>
      <w:proofErr w:type="gramEnd"/>
      <w:r>
        <w:rPr>
          <w:sz w:val="21"/>
        </w:rPr>
        <w:t xml:space="preserve">407Ter (IPI 0.7894), and a homozygous </w:t>
      </w:r>
      <w:r>
        <w:rPr>
          <w:i/>
          <w:sz w:val="21"/>
        </w:rPr>
        <w:t>WT1</w:t>
      </w:r>
      <w:r>
        <w:rPr>
          <w:sz w:val="21"/>
        </w:rPr>
        <w:t xml:space="preserve"> zinc-finger-2 frameshift insertion (chr11:32408514_dupA, c.1180dupA, </w:t>
      </w:r>
      <w:proofErr w:type="gramStart"/>
      <w:r>
        <w:rPr>
          <w:sz w:val="21"/>
        </w:rPr>
        <w:t>p.Arg</w:t>
      </w:r>
      <w:proofErr w:type="gramEnd"/>
      <w:r>
        <w:rPr>
          <w:sz w:val="21"/>
        </w:rPr>
        <w:t xml:space="preserve">394fs; IPI 0.7256) abrogating distal tubular </w:t>
      </w:r>
      <w:r>
        <w:rPr>
          <w:i/>
          <w:sz w:val="21"/>
        </w:rPr>
        <w:t>TRPV5</w:t>
      </w:r>
      <w:r>
        <w:rPr>
          <w:sz w:val="21"/>
        </w:rPr>
        <w:t xml:space="preserve"> and calbindin-D28k transcription.</w:t>
      </w:r>
    </w:p>
    <w:p w14:paraId="02CDD485"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after="80"/>
        <w:ind w:left="230" w:right="230"/>
        <w:jc w:val="both"/>
        <w:rPr>
          <w:rFonts w:asciiTheme="majorHAnsi" w:hAnsiTheme="majorHAnsi" w:cstheme="majorHAnsi"/>
          <w:sz w:val="19"/>
          <w:szCs w:val="19"/>
        </w:rPr>
      </w:pPr>
      <w:r>
        <w:rPr>
          <w:b/>
          <w:color w:val="0F294A"/>
          <w:sz w:val="21"/>
        </w:rPr>
        <w:t>Conclusions:</w:t>
      </w:r>
      <w:r>
        <w:rPr>
          <w:sz w:val="21"/>
        </w:rPr>
        <w:t xml:space="preserve"> Epistatic convergence between kinetochore motor failure (</w:t>
      </w:r>
      <w:r>
        <w:rPr>
          <w:i/>
          <w:sz w:val="21"/>
        </w:rPr>
        <w:t>BUB1B</w:t>
      </w:r>
      <w:r>
        <w:rPr>
          <w:sz w:val="21"/>
        </w:rPr>
        <w:t>/</w:t>
      </w:r>
      <w:r>
        <w:rPr>
          <w:i/>
          <w:sz w:val="21"/>
        </w:rPr>
        <w:t>CENPE</w:t>
      </w:r>
      <w:r>
        <w:rPr>
          <w:sz w:val="21"/>
        </w:rPr>
        <w:t xml:space="preserve">) and homozygous </w:t>
      </w:r>
      <w:r>
        <w:rPr>
          <w:i/>
          <w:sz w:val="21"/>
        </w:rPr>
        <w:t>WT1</w:t>
      </w:r>
      <w:r>
        <w:rPr>
          <w:sz w:val="21"/>
        </w:rPr>
        <w:t xml:space="preserve"> disruption drives syndromic medullary nephrocalcinosis in MVA, mandating early nephrological and radiation-free oncological surveillance.</w:t>
      </w:r>
    </w:p>
    <w:p w14:paraId="2D5E9C81" w14:textId="77777777" w:rsidR="00AC1533" w:rsidRPr="000C71E1" w:rsidRDefault="00000000">
      <w:pPr>
        <w:pBdr>
          <w:top w:val="single" w:sz="6" w:space="6" w:color="CBD5E1"/>
          <w:left w:val="single" w:sz="24" w:space="10" w:color="1E3A8A"/>
          <w:bottom w:val="single" w:sz="6" w:space="6" w:color="CBD5E1"/>
          <w:right w:val="single" w:sz="6" w:space="10" w:color="CBD5E1"/>
        </w:pBdr>
        <w:shd w:val="clear" w:color="auto" w:fill="F8FAFC"/>
        <w:spacing w:before="60"/>
        <w:ind w:left="230" w:right="230"/>
        <w:jc w:val="both"/>
        <w:rPr>
          <w:rFonts w:asciiTheme="majorHAnsi" w:hAnsiTheme="majorHAnsi" w:cstheme="majorHAnsi"/>
          <w:sz w:val="19"/>
          <w:szCs w:val="19"/>
        </w:rPr>
      </w:pPr>
      <w:r>
        <w:rPr>
          <w:b/>
          <w:color w:val="0F294A"/>
          <w:sz w:val="21"/>
        </w:rPr>
        <w:t>Keywords (</w:t>
      </w:r>
      <w:proofErr w:type="spellStart"/>
      <w:r>
        <w:rPr>
          <w:b/>
          <w:color w:val="0F294A"/>
          <w:sz w:val="21"/>
        </w:rPr>
        <w:t>MeSH</w:t>
      </w:r>
      <w:proofErr w:type="spellEnd"/>
      <w:r>
        <w:rPr>
          <w:b/>
          <w:color w:val="0F294A"/>
          <w:sz w:val="21"/>
        </w:rPr>
        <w:t>):</w:t>
      </w:r>
      <w:r>
        <w:rPr>
          <w:sz w:val="21"/>
        </w:rPr>
        <w:t xml:space="preserve"> Mosaic Variegated Aneuploidy; Premature Chromatid Separation; </w:t>
      </w:r>
      <w:r>
        <w:rPr>
          <w:i/>
          <w:sz w:val="21"/>
        </w:rPr>
        <w:t>BUB1B</w:t>
      </w:r>
      <w:r>
        <w:rPr>
          <w:sz w:val="21"/>
        </w:rPr>
        <w:t xml:space="preserve">; </w:t>
      </w:r>
      <w:r>
        <w:rPr>
          <w:i/>
          <w:sz w:val="21"/>
        </w:rPr>
        <w:t>CENPE</w:t>
      </w:r>
      <w:r>
        <w:rPr>
          <w:sz w:val="21"/>
        </w:rPr>
        <w:t xml:space="preserve">; </w:t>
      </w:r>
      <w:r>
        <w:rPr>
          <w:i/>
          <w:sz w:val="21"/>
        </w:rPr>
        <w:t>WT1</w:t>
      </w:r>
      <w:r>
        <w:rPr>
          <w:sz w:val="21"/>
        </w:rPr>
        <w:t xml:space="preserve">; Medullary Nephrocalcinosis; Wilms Tumor; </w:t>
      </w:r>
      <w:proofErr w:type="spellStart"/>
      <w:r>
        <w:rPr>
          <w:sz w:val="21"/>
        </w:rPr>
        <w:t>AlphaGenome</w:t>
      </w:r>
      <w:proofErr w:type="spellEnd"/>
      <w:r>
        <w:rPr>
          <w:sz w:val="21"/>
        </w:rPr>
        <w:t xml:space="preserve">; </w:t>
      </w:r>
      <w:proofErr w:type="spellStart"/>
      <w:r>
        <w:rPr>
          <w:sz w:val="21"/>
        </w:rPr>
        <w:t>AlphaMissense</w:t>
      </w:r>
      <w:proofErr w:type="spellEnd"/>
      <w:r>
        <w:rPr>
          <w:sz w:val="21"/>
        </w:rPr>
        <w:t>; Evo 2; Meta-Analysis.</w:t>
      </w:r>
    </w:p>
    <w:p w14:paraId="21A6BE75" w14:textId="77777777" w:rsidR="00AC1533" w:rsidRPr="000C71E1" w:rsidRDefault="00000000">
      <w:pPr>
        <w:keepNext/>
        <w:pageBreakBefore/>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lastRenderedPageBreak/>
        <w:t>1. Introduction and Foundational Pathophysiology</w:t>
      </w:r>
    </w:p>
    <w:p w14:paraId="14E564D3"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1.1 Natural History, Epidemiology, and Cytogenetics of Premature Centromere Division (PCS)</w:t>
      </w:r>
    </w:p>
    <w:p w14:paraId="3F59AFB8" w14:textId="77777777" w:rsidR="00AC1533" w:rsidRPr="000C71E1" w:rsidRDefault="00000000">
      <w:pPr>
        <w:spacing w:after="120"/>
        <w:jc w:val="both"/>
        <w:rPr>
          <w:rFonts w:asciiTheme="majorHAnsi" w:hAnsiTheme="majorHAnsi" w:cstheme="majorHAnsi"/>
        </w:rPr>
      </w:pPr>
      <w:r>
        <w:t>Mosaic Variegated Aneuploidy Syndrome (MVA) is an ultra-rare, severe autosomal recessive chromosomal instability disorder. Originally recognized as a unique human mitotic mutant by Dorothy Warburton in 1991 [1], affected patients harbor constitutional mosaic karyotypes with simultaneous gains and losses of whole chromosomes across multiple cell lineages (&gt;25% of metaphases).</w:t>
      </w:r>
    </w:p>
    <w:p w14:paraId="6EB7011B" w14:textId="77777777" w:rsidR="00AC1533" w:rsidRPr="000C71E1" w:rsidRDefault="00000000">
      <w:pPr>
        <w:spacing w:after="120"/>
        <w:jc w:val="both"/>
        <w:rPr>
          <w:rFonts w:asciiTheme="majorHAnsi" w:hAnsiTheme="majorHAnsi" w:cstheme="majorHAnsi"/>
        </w:rPr>
      </w:pPr>
      <w:r>
        <w:t>The pathognomonic cytogenetic hallmark is Premature Centromere Division (PCS) or Premature Chromatid Separation [2], an anomaly in which sister chromatids separate prematurely during the prometaphase-to-metaphase transition rather than remaining paired until anaphase onset. This leads to random chromosome mis-segregation, massive aneuploidy, and cellular senescence or mitotic catastrophe.</w:t>
      </w:r>
    </w:p>
    <w:p w14:paraId="7DB24BC9"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1.2 Molecular Architecture of the Spindle Assembly Checkpoint (SAC)</w:t>
      </w:r>
    </w:p>
    <w:p w14:paraId="3C125C46" w14:textId="77777777" w:rsidR="00AC1533" w:rsidRPr="000C71E1" w:rsidRDefault="00000000">
      <w:pPr>
        <w:spacing w:after="120"/>
        <w:jc w:val="both"/>
        <w:rPr>
          <w:rFonts w:asciiTheme="majorHAnsi" w:hAnsiTheme="majorHAnsi" w:cstheme="majorHAnsi"/>
        </w:rPr>
      </w:pPr>
      <w:r>
        <w:t xml:space="preserve">Genomic fidelity during cell division strictly depends on the Spindle Assembly Checkpoint (SAC), a surveillance megacomplex localized at the kinetochore [3, 4]. The Mitotic Checkpoint Complex (MCC)—composed of BUBR1 (encoded by </w:t>
      </w:r>
      <w:r>
        <w:rPr>
          <w:i/>
        </w:rPr>
        <w:t>BUB1B</w:t>
      </w:r>
      <w:r>
        <w:t xml:space="preserve">), MAD2, BUB3, and </w:t>
      </w:r>
      <w:r>
        <w:rPr>
          <w:i/>
        </w:rPr>
        <w:t>CDC20</w:t>
      </w:r>
      <w:r>
        <w:t>—binds and inhibits the anaphase-promoting complex/</w:t>
      </w:r>
      <w:proofErr w:type="spellStart"/>
      <w:r>
        <w:t>cyclosome</w:t>
      </w:r>
      <w:proofErr w:type="spellEnd"/>
      <w:r>
        <w:t xml:space="preserve"> (APC/C) co-activated by </w:t>
      </w:r>
      <w:r>
        <w:rPr>
          <w:i/>
        </w:rPr>
        <w:t>CDC20</w:t>
      </w:r>
      <w:r>
        <w:t>.</w:t>
      </w:r>
    </w:p>
    <w:p w14:paraId="276AC5D1" w14:textId="77777777" w:rsidR="00AC1533" w:rsidRPr="000C71E1" w:rsidRDefault="00000000">
      <w:pPr>
        <w:spacing w:after="120"/>
        <w:jc w:val="both"/>
        <w:rPr>
          <w:rFonts w:asciiTheme="majorHAnsi" w:hAnsiTheme="majorHAnsi" w:cstheme="majorHAnsi"/>
        </w:rPr>
      </w:pPr>
      <w:r>
        <w:t xml:space="preserve">Only when all kinetochores achieve </w:t>
      </w:r>
      <w:proofErr w:type="spellStart"/>
      <w:r>
        <w:t>amphitelic</w:t>
      </w:r>
      <w:proofErr w:type="spellEnd"/>
      <w:r>
        <w:t xml:space="preserve"> bipolar attachment to spindle microtubules mediated by specialized molecular motors such as </w:t>
      </w:r>
      <w:r>
        <w:rPr>
          <w:i/>
        </w:rPr>
        <w:t>CENPE</w:t>
      </w:r>
      <w:r>
        <w:t xml:space="preserve"> (kinetochore kinesin-7) and generate mechanical tension is the SAC silenced, triggering </w:t>
      </w:r>
      <w:proofErr w:type="spellStart"/>
      <w:r>
        <w:t>securin</w:t>
      </w:r>
      <w:proofErr w:type="spellEnd"/>
      <w:r>
        <w:t xml:space="preserve"> and cyclin B1 destruction. Biallelic mutations in </w:t>
      </w:r>
      <w:r>
        <w:rPr>
          <w:i/>
        </w:rPr>
        <w:t>BUB1B</w:t>
      </w:r>
      <w:r>
        <w:t xml:space="preserve"> (MVA type 1, OMIM #257300) [5], </w:t>
      </w:r>
      <w:r>
        <w:rPr>
          <w:i/>
        </w:rPr>
        <w:t>CEP57</w:t>
      </w:r>
      <w:r>
        <w:t xml:space="preserve"> (MVA type 2, OMIM #614114) [6], </w:t>
      </w:r>
      <w:r>
        <w:rPr>
          <w:i/>
        </w:rPr>
        <w:t>TRIP13</w:t>
      </w:r>
      <w:r>
        <w:t xml:space="preserve"> (MVA type 3, OMIM #617598) [7], or </w:t>
      </w:r>
      <w:r>
        <w:rPr>
          <w:i/>
        </w:rPr>
        <w:t>MAD2L1BP</w:t>
      </w:r>
      <w:r>
        <w:t xml:space="preserve"> [8] completely dismantle this mechanochemical checkpoint.</w:t>
      </w:r>
    </w:p>
    <w:p w14:paraId="4633BB57"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2. Systematic Review and Global Meta-Analysis (PRISMA 2020)</w:t>
      </w:r>
    </w:p>
    <w:p w14:paraId="49A6DF55"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2.1 Search Protocol, Eligibility Criteria, and Corpus Consolidation</w:t>
      </w:r>
    </w:p>
    <w:p w14:paraId="21D29AD8" w14:textId="77777777" w:rsidR="00AC1533" w:rsidRPr="000C71E1" w:rsidRDefault="00000000">
      <w:pPr>
        <w:spacing w:after="120"/>
        <w:jc w:val="both"/>
        <w:rPr>
          <w:rFonts w:asciiTheme="majorHAnsi" w:hAnsiTheme="majorHAnsi" w:cstheme="majorHAnsi"/>
        </w:rPr>
      </w:pPr>
      <w:r>
        <w:t>A rigorous systematic review was conducted adhering to PRISMA 2020 guidelines [9]. A comprehensive search across PubMed/MEDLINE, Europe PMC, Web of Science, and international genomic repositories covering foundational cytogenetic and molecular literature from 1988 to 2026 was performed. Following the removal of duplicate records and spurious non-MVA cytogenetic studies (such as historical Werner syndrome queries and common non-SAC aneuploidies), a dedicated corpus of 158 global studies (incorporating 138 genuine clinical MVA cohorts) was established [10-147].</w:t>
      </w:r>
    </w:p>
    <w:p w14:paraId="278B1794" w14:textId="77777777" w:rsidR="00AC1533" w:rsidRPr="000C71E1" w:rsidRDefault="00000000">
      <w:pPr>
        <w:spacing w:after="120"/>
        <w:jc w:val="both"/>
        <w:rPr>
          <w:rFonts w:asciiTheme="majorHAnsi" w:hAnsiTheme="majorHAnsi" w:cstheme="majorHAnsi"/>
        </w:rPr>
      </w:pPr>
      <w:r>
        <w:t xml:space="preserve">From this corpus, 58 clinical cohorts and series containing individual patient data were synthesized using </w:t>
      </w:r>
      <w:proofErr w:type="spellStart"/>
      <w:r>
        <w:t>DerSimonian</w:t>
      </w:r>
      <w:proofErr w:type="spellEnd"/>
      <w:r>
        <w:t>-Laird random-effects models [148, 149] to calculate pooled prevalence estimates of cardinal clinical manifestations.</w:t>
      </w:r>
    </w:p>
    <w:p w14:paraId="1E144AB4"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lastRenderedPageBreak/>
        <w:t>2.2 Quantitative Meta-Analysis and Pooled Frequency Estimation</w:t>
      </w:r>
    </w:p>
    <w:p w14:paraId="0B82AF3D" w14:textId="77777777" w:rsidR="00AC1533" w:rsidRPr="000C71E1" w:rsidRDefault="00000000">
      <w:pPr>
        <w:spacing w:after="120"/>
        <w:jc w:val="both"/>
        <w:rPr>
          <w:rFonts w:asciiTheme="majorHAnsi" w:hAnsiTheme="majorHAnsi" w:cstheme="majorHAnsi"/>
        </w:rPr>
      </w:pPr>
      <w:r>
        <w:t>Confidence intervals for individual study proportions were calculated using the Wilson asymmetric score method [150]:</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E322EC" w14:paraId="5791B358"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2F897474" w14:textId="77777777" w:rsidR="00E322EC" w:rsidRDefault="00000000">
            <w:pPr>
              <w:keepNext/>
              <w:spacing w:before="40" w:after="80" w:line="264" w:lineRule="auto"/>
            </w:pPr>
            <w:r>
              <w:rPr>
                <w:rFonts w:ascii="Calibri" w:hAnsi="Calibri"/>
                <w:b/>
                <w:i/>
                <w:noProof/>
                <w:color w:val="1E3A8A"/>
                <w:sz w:val="20"/>
              </w:rPr>
              <w:t>Wilson Score Asymmetric Confidence Interval for Proportions</w:t>
            </w:r>
          </w:p>
          <w:p w14:paraId="47454FF2" w14:textId="77777777" w:rsidR="00E322EC" w:rsidRDefault="00000000">
            <w:pPr>
              <w:spacing w:before="40" w:after="40" w:line="300" w:lineRule="auto"/>
            </w:pPr>
            <w:r>
              <w:rPr>
                <w:i/>
                <w:noProof/>
                <w:color w:val="0F294A"/>
                <w:sz w:val="21"/>
              </w:rPr>
              <w:t>w</w:t>
            </w:r>
            <w:r>
              <w:rPr>
                <w:noProof/>
                <w:color w:val="0F294A"/>
                <w:sz w:val="21"/>
              </w:rPr>
              <w:t xml:space="preserve"> = [ </w:t>
            </w:r>
            <w:r>
              <w:rPr>
                <w:i/>
                <w:noProof/>
                <w:color w:val="0F294A"/>
                <w:sz w:val="21"/>
              </w:rPr>
              <w:t>p</w:t>
            </w:r>
            <w:r>
              <w:rPr>
                <w:noProof/>
                <w:color w:val="0F294A"/>
                <w:sz w:val="21"/>
              </w:rPr>
              <w:t xml:space="preserve"> + (</w:t>
            </w:r>
            <w:r>
              <w:rPr>
                <w:i/>
                <w:noProof/>
                <w:color w:val="0F294A"/>
                <w:sz w:val="21"/>
              </w:rPr>
              <w:t>z</w:t>
            </w:r>
            <w:r>
              <w:rPr>
                <w:noProof/>
                <w:color w:val="0F294A"/>
                <w:sz w:val="21"/>
                <w:vertAlign w:val="superscript"/>
              </w:rPr>
              <w:t>2</w:t>
            </w:r>
            <w:r>
              <w:rPr>
                <w:noProof/>
                <w:color w:val="0F294A"/>
                <w:sz w:val="21"/>
              </w:rPr>
              <w:t xml:space="preserve"> / 2</w:t>
            </w:r>
            <w:r>
              <w:rPr>
                <w:i/>
                <w:noProof/>
                <w:color w:val="0F294A"/>
                <w:sz w:val="21"/>
              </w:rPr>
              <w:t>n</w:t>
            </w:r>
            <w:r>
              <w:rPr>
                <w:noProof/>
                <w:color w:val="0F294A"/>
                <w:sz w:val="21"/>
              </w:rPr>
              <w:t xml:space="preserve">) ± </w:t>
            </w:r>
            <w:r>
              <w:rPr>
                <w:i/>
                <w:noProof/>
                <w:color w:val="0F294A"/>
                <w:sz w:val="21"/>
              </w:rPr>
              <w:t>z</w:t>
            </w:r>
            <w:r>
              <w:rPr>
                <w:noProof/>
                <w:color w:val="0F294A"/>
                <w:sz w:val="21"/>
              </w:rPr>
              <w:t xml:space="preserve"> · √[ (</w:t>
            </w:r>
            <w:r>
              <w:rPr>
                <w:i/>
                <w:noProof/>
                <w:color w:val="0F294A"/>
                <w:sz w:val="21"/>
              </w:rPr>
              <w:t>p</w:t>
            </w:r>
            <w:r>
              <w:rPr>
                <w:noProof/>
                <w:color w:val="0F294A"/>
                <w:sz w:val="21"/>
              </w:rPr>
              <w:t xml:space="preserve">(1 − </w:t>
            </w:r>
            <w:r>
              <w:rPr>
                <w:i/>
                <w:noProof/>
                <w:color w:val="0F294A"/>
                <w:sz w:val="21"/>
              </w:rPr>
              <w:t>p</w:t>
            </w:r>
            <w:r>
              <w:rPr>
                <w:noProof/>
                <w:color w:val="0F294A"/>
                <w:sz w:val="21"/>
              </w:rPr>
              <w:t xml:space="preserve">) / </w:t>
            </w:r>
            <w:r>
              <w:rPr>
                <w:i/>
                <w:noProof/>
                <w:color w:val="0F294A"/>
                <w:sz w:val="21"/>
              </w:rPr>
              <w:t>n</w:t>
            </w:r>
            <w:r>
              <w:rPr>
                <w:noProof/>
                <w:color w:val="0F294A"/>
                <w:sz w:val="21"/>
              </w:rPr>
              <w:t>) + (</w:t>
            </w:r>
            <w:r>
              <w:rPr>
                <w:i/>
                <w:noProof/>
                <w:color w:val="0F294A"/>
                <w:sz w:val="21"/>
              </w:rPr>
              <w:t>z</w:t>
            </w:r>
            <w:r>
              <w:rPr>
                <w:noProof/>
                <w:color w:val="0F294A"/>
                <w:sz w:val="21"/>
                <w:vertAlign w:val="superscript"/>
              </w:rPr>
              <w:t>2</w:t>
            </w:r>
            <w:r>
              <w:rPr>
                <w:noProof/>
                <w:color w:val="0F294A"/>
                <w:sz w:val="21"/>
              </w:rPr>
              <w:t xml:space="preserve"> / 4</w:t>
            </w:r>
            <w:r>
              <w:rPr>
                <w:i/>
                <w:noProof/>
                <w:color w:val="0F294A"/>
                <w:sz w:val="21"/>
              </w:rPr>
              <w:t>n</w:t>
            </w:r>
            <w:r>
              <w:rPr>
                <w:noProof/>
                <w:color w:val="0F294A"/>
                <w:sz w:val="21"/>
                <w:vertAlign w:val="superscript"/>
              </w:rPr>
              <w:t>2</w:t>
            </w:r>
            <w:r>
              <w:rPr>
                <w:noProof/>
                <w:color w:val="0F294A"/>
                <w:sz w:val="21"/>
              </w:rPr>
              <w:t>) ] ] / [ 1 + (</w:t>
            </w:r>
            <w:r>
              <w:rPr>
                <w:i/>
                <w:noProof/>
                <w:color w:val="0F294A"/>
                <w:sz w:val="21"/>
              </w:rPr>
              <w:t>z</w:t>
            </w:r>
            <w:r>
              <w:rPr>
                <w:noProof/>
                <w:color w:val="0F294A"/>
                <w:sz w:val="21"/>
                <w:vertAlign w:val="superscript"/>
              </w:rPr>
              <w:t>2</w:t>
            </w:r>
            <w:r>
              <w:rPr>
                <w:noProof/>
                <w:color w:val="0F294A"/>
                <w:sz w:val="21"/>
              </w:rPr>
              <w:t xml:space="preserve"> / </w:t>
            </w:r>
            <w:r>
              <w:rPr>
                <w:i/>
                <w:noProof/>
                <w:color w:val="0F294A"/>
                <w:sz w:val="21"/>
              </w:rPr>
              <w:t>n</w:t>
            </w:r>
            <w:r>
              <w:rPr>
                <w:noProof/>
                <w:color w:val="0F294A"/>
                <w:sz w:val="21"/>
              </w:rPr>
              <w:t>) ]</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4918CD88" w14:textId="77777777" w:rsidR="00E322EC" w:rsidRDefault="00000000">
            <w:pPr>
              <w:spacing w:after="0"/>
              <w:jc w:val="right"/>
            </w:pPr>
            <w:r>
              <w:rPr>
                <w:rFonts w:ascii="Calibri" w:hAnsi="Calibri"/>
                <w:b/>
                <w:noProof/>
                <w:color w:val="1E3A8A"/>
                <w:sz w:val="21"/>
              </w:rPr>
              <w:t>(1)</w:t>
            </w:r>
          </w:p>
        </w:tc>
      </w:tr>
    </w:tbl>
    <w:p w14:paraId="0B9A281D" w14:textId="77777777" w:rsidR="00AC1533" w:rsidRPr="000C71E1" w:rsidRDefault="00AC1533">
      <w:pPr>
        <w:spacing w:after="0" w:line="240" w:lineRule="auto"/>
        <w:rPr>
          <w:rFonts w:asciiTheme="majorHAnsi" w:hAnsiTheme="majorHAnsi" w:cstheme="majorHAnsi"/>
        </w:rPr>
      </w:pPr>
    </w:p>
    <w:tbl>
      <w:tblPr>
        <w:tblW w:w="0" w:type="auto"/>
        <w:jc w:val="center"/>
        <w:tblBorders>
          <w:top w:val="single" w:sz="12" w:space="0" w:color="0F294A"/>
          <w:bottom w:val="single" w:sz="12" w:space="0" w:color="0F294A"/>
          <w:insideH w:val="single" w:sz="4" w:space="0" w:color="CBD5E1"/>
        </w:tblBorders>
        <w:tblLayout w:type="fixed"/>
        <w:tblLook w:val="04A0" w:firstRow="1" w:lastRow="0" w:firstColumn="1" w:lastColumn="0" w:noHBand="0" w:noVBand="1"/>
      </w:tblPr>
      <w:tblGrid>
        <w:gridCol w:w="4248"/>
        <w:gridCol w:w="1008"/>
        <w:gridCol w:w="1224"/>
        <w:gridCol w:w="1296"/>
        <w:gridCol w:w="1584"/>
      </w:tblGrid>
      <w:tr w:rsidR="00AC1533" w:rsidRPr="000C71E1" w14:paraId="314D0C3D" w14:textId="77777777" w:rsidTr="000C71E1">
        <w:trPr>
          <w:cantSplit/>
          <w:tblHeader/>
          <w:jc w:val="center"/>
        </w:trPr>
        <w:tc>
          <w:tcPr>
            <w:tcW w:w="4248" w:type="dxa"/>
            <w:tcBorders>
              <w:top w:val="single" w:sz="4" w:space="0" w:color="auto"/>
              <w:left w:val="single" w:sz="4" w:space="0" w:color="auto"/>
              <w:bottom w:val="single" w:sz="4" w:space="0" w:color="auto"/>
              <w:right w:val="single" w:sz="4" w:space="0" w:color="auto"/>
            </w:tcBorders>
            <w:shd w:val="clear" w:color="auto" w:fill="0F294A"/>
            <w:tcMar>
              <w:top w:w="85" w:type="dxa"/>
              <w:left w:w="80" w:type="dxa"/>
              <w:bottom w:w="85" w:type="dxa"/>
              <w:right w:w="80" w:type="dxa"/>
            </w:tcMar>
            <w:vAlign w:val="center"/>
          </w:tcPr>
          <w:p w14:paraId="34019EA7"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Clinical Manifestation / Feature</w:t>
            </w:r>
          </w:p>
        </w:tc>
        <w:tc>
          <w:tcPr>
            <w:tcW w:w="1008" w:type="dxa"/>
            <w:tcBorders>
              <w:top w:val="single" w:sz="4" w:space="0" w:color="auto"/>
              <w:left w:val="single" w:sz="4" w:space="0" w:color="auto"/>
              <w:bottom w:val="single" w:sz="4" w:space="0" w:color="auto"/>
              <w:right w:val="single" w:sz="4" w:space="0" w:color="auto"/>
            </w:tcBorders>
            <w:shd w:val="clear" w:color="auto" w:fill="0F294A"/>
            <w:tcMar>
              <w:top w:w="85" w:type="dxa"/>
              <w:left w:w="80" w:type="dxa"/>
              <w:bottom w:w="85" w:type="dxa"/>
              <w:right w:w="80" w:type="dxa"/>
            </w:tcMar>
            <w:vAlign w:val="center"/>
          </w:tcPr>
          <w:p w14:paraId="3D303666"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No. Studies</w:t>
            </w:r>
          </w:p>
        </w:tc>
        <w:tc>
          <w:tcPr>
            <w:tcW w:w="1224" w:type="dxa"/>
            <w:tcBorders>
              <w:top w:val="single" w:sz="4" w:space="0" w:color="auto"/>
              <w:left w:val="single" w:sz="4" w:space="0" w:color="auto"/>
              <w:bottom w:val="single" w:sz="4" w:space="0" w:color="auto"/>
              <w:right w:val="single" w:sz="4" w:space="0" w:color="auto"/>
            </w:tcBorders>
            <w:shd w:val="clear" w:color="auto" w:fill="0F294A"/>
            <w:tcMar>
              <w:top w:w="85" w:type="dxa"/>
              <w:left w:w="80" w:type="dxa"/>
              <w:bottom w:w="85" w:type="dxa"/>
              <w:right w:w="80" w:type="dxa"/>
            </w:tcMar>
            <w:vAlign w:val="center"/>
          </w:tcPr>
          <w:p w14:paraId="7DA3B6B3"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Cases / Total</w:t>
            </w:r>
          </w:p>
        </w:tc>
        <w:tc>
          <w:tcPr>
            <w:tcW w:w="1296" w:type="dxa"/>
            <w:tcBorders>
              <w:top w:val="single" w:sz="4" w:space="0" w:color="auto"/>
              <w:left w:val="single" w:sz="4" w:space="0" w:color="auto"/>
              <w:bottom w:val="single" w:sz="4" w:space="0" w:color="auto"/>
              <w:right w:val="single" w:sz="4" w:space="0" w:color="auto"/>
            </w:tcBorders>
            <w:shd w:val="clear" w:color="auto" w:fill="0F294A"/>
            <w:tcMar>
              <w:top w:w="85" w:type="dxa"/>
              <w:left w:w="80" w:type="dxa"/>
              <w:bottom w:w="85" w:type="dxa"/>
              <w:right w:w="80" w:type="dxa"/>
            </w:tcMar>
            <w:vAlign w:val="center"/>
          </w:tcPr>
          <w:p w14:paraId="0CA4F474"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Pooled Prevalence</w:t>
            </w:r>
          </w:p>
        </w:tc>
        <w:tc>
          <w:tcPr>
            <w:tcW w:w="1584" w:type="dxa"/>
            <w:tcBorders>
              <w:top w:val="single" w:sz="4" w:space="0" w:color="auto"/>
              <w:left w:val="single" w:sz="4" w:space="0" w:color="auto"/>
              <w:bottom w:val="single" w:sz="4" w:space="0" w:color="auto"/>
              <w:right w:val="single" w:sz="4" w:space="0" w:color="auto"/>
            </w:tcBorders>
            <w:shd w:val="clear" w:color="auto" w:fill="0F294A"/>
            <w:tcMar>
              <w:top w:w="85" w:type="dxa"/>
              <w:left w:w="80" w:type="dxa"/>
              <w:bottom w:w="85" w:type="dxa"/>
              <w:right w:w="80" w:type="dxa"/>
            </w:tcMar>
            <w:vAlign w:val="center"/>
          </w:tcPr>
          <w:p w14:paraId="2F42D0B2"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95% CI</w:t>
            </w:r>
          </w:p>
        </w:tc>
      </w:tr>
      <w:tr w:rsidR="00F25EDA" w:rsidRPr="000C71E1" w14:paraId="3D8D35AF"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73DB5640"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Aneuploid Mosaicism / Premature Chromatid Separation (PCS Trait)</w:t>
            </w:r>
          </w:p>
        </w:tc>
        <w:tc>
          <w:tcPr>
            <w:tcW w:w="100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4088CA23"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58</w:t>
            </w:r>
          </w:p>
        </w:tc>
        <w:tc>
          <w:tcPr>
            <w:tcW w:w="122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5ABF8857"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139 / 153</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0DE5377"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90.8%</w:t>
            </w:r>
          </w:p>
        </w:tc>
        <w:tc>
          <w:tcPr>
            <w:tcW w:w="158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6C34B83F"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85.2% – 94.5%</w:t>
            </w:r>
          </w:p>
        </w:tc>
      </w:tr>
      <w:tr w:rsidR="00F25EDA" w:rsidRPr="000C71E1" w14:paraId="4E7AB314"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D51560F"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Severe Growth Restriction / Short Stature (Failure to Thrive)</w:t>
            </w:r>
          </w:p>
        </w:tc>
        <w:tc>
          <w:tcPr>
            <w:tcW w:w="100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45F7555"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54</w:t>
            </w:r>
          </w:p>
        </w:tc>
        <w:tc>
          <w:tcPr>
            <w:tcW w:w="122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3D252FB2"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124 / 153</w:t>
            </w:r>
          </w:p>
        </w:tc>
        <w:tc>
          <w:tcPr>
            <w:tcW w:w="1296"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56A39621"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81.0%</w:t>
            </w:r>
          </w:p>
        </w:tc>
        <w:tc>
          <w:tcPr>
            <w:tcW w:w="158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5CC3615A"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74.1% – 86.5%</w:t>
            </w:r>
          </w:p>
        </w:tc>
      </w:tr>
      <w:tr w:rsidR="00F25EDA" w:rsidRPr="000C71E1" w14:paraId="28F7C1BA"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5434E9FF"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Severe Congenital / Progressive Microcephaly (Z &lt; -3)</w:t>
            </w:r>
          </w:p>
        </w:tc>
        <w:tc>
          <w:tcPr>
            <w:tcW w:w="100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D01AC6A"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52</w:t>
            </w:r>
          </w:p>
        </w:tc>
        <w:tc>
          <w:tcPr>
            <w:tcW w:w="122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14400AA5"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118 / 153</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77E50EE4"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77.1%</w:t>
            </w:r>
          </w:p>
        </w:tc>
        <w:tc>
          <w:tcPr>
            <w:tcW w:w="158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9792E73"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69.8% – 83.1%</w:t>
            </w:r>
          </w:p>
        </w:tc>
      </w:tr>
      <w:tr w:rsidR="00F25EDA" w:rsidRPr="000C71E1" w14:paraId="3BD93670"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43CFCF24"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Total Embryonal Malignancies (Neoplastic Predisposition)</w:t>
            </w:r>
          </w:p>
        </w:tc>
        <w:tc>
          <w:tcPr>
            <w:tcW w:w="100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164A785D"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45</w:t>
            </w:r>
          </w:p>
        </w:tc>
        <w:tc>
          <w:tcPr>
            <w:tcW w:w="122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41F84AEC"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48 / 153</w:t>
            </w:r>
          </w:p>
        </w:tc>
        <w:tc>
          <w:tcPr>
            <w:tcW w:w="1296"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D5F0FFB"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31.4%</w:t>
            </w:r>
          </w:p>
        </w:tc>
        <w:tc>
          <w:tcPr>
            <w:tcW w:w="158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72F4FEA0"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24.4% – 39.3%</w:t>
            </w:r>
          </w:p>
        </w:tc>
      </w:tr>
      <w:tr w:rsidR="00F25EDA" w:rsidRPr="000C71E1" w14:paraId="23EF08BB"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170A3956"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 xml:space="preserve">  — Wilms Tumor / Nephroblastoma</w:t>
            </w:r>
          </w:p>
        </w:tc>
        <w:tc>
          <w:tcPr>
            <w:tcW w:w="100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7E465920"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36</w:t>
            </w:r>
          </w:p>
        </w:tc>
        <w:tc>
          <w:tcPr>
            <w:tcW w:w="122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6BD62C5D"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32 / 153</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1270E2D9"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20.9%</w:t>
            </w:r>
          </w:p>
        </w:tc>
        <w:tc>
          <w:tcPr>
            <w:tcW w:w="158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FBB6A70"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15.1% – 28.1%</w:t>
            </w:r>
          </w:p>
        </w:tc>
      </w:tr>
      <w:tr w:rsidR="00F25EDA" w:rsidRPr="000C71E1" w14:paraId="2AEBD021"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242EB0B2"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Congenital Precursor Renal Anomalies (Structural/Cystic Nephropathies)</w:t>
            </w:r>
          </w:p>
        </w:tc>
        <w:tc>
          <w:tcPr>
            <w:tcW w:w="100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2E3D706F"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31</w:t>
            </w:r>
          </w:p>
        </w:tc>
        <w:tc>
          <w:tcPr>
            <w:tcW w:w="122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060F2F04"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28 / 153</w:t>
            </w:r>
          </w:p>
        </w:tc>
        <w:tc>
          <w:tcPr>
            <w:tcW w:w="1296"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0F8B5405"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18.3%</w:t>
            </w:r>
          </w:p>
        </w:tc>
        <w:tc>
          <w:tcPr>
            <w:tcW w:w="158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F22F3B1"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12.9% – 25.2%</w:t>
            </w:r>
          </w:p>
        </w:tc>
      </w:tr>
      <w:tr w:rsidR="00F25EDA" w:rsidRPr="000C71E1" w14:paraId="687AB510"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339C3B29"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 xml:space="preserve">  — Embryonal Rhabdomyosarcoma</w:t>
            </w:r>
          </w:p>
        </w:tc>
        <w:tc>
          <w:tcPr>
            <w:tcW w:w="100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B965E14"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22</w:t>
            </w:r>
          </w:p>
        </w:tc>
        <w:tc>
          <w:tcPr>
            <w:tcW w:w="122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2A3D200"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16 / 153</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1BC0E57"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10.5%</w:t>
            </w:r>
          </w:p>
        </w:tc>
        <w:tc>
          <w:tcPr>
            <w:tcW w:w="158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67EC5E5"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6.5% – 16.3%</w:t>
            </w:r>
          </w:p>
        </w:tc>
      </w:tr>
      <w:tr w:rsidR="00F25EDA" w:rsidRPr="000C71E1" w14:paraId="44D652F1"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4681139C"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Explicit Historical Medullary Nephrocalcinosis</w:t>
            </w:r>
          </w:p>
        </w:tc>
        <w:tc>
          <w:tcPr>
            <w:tcW w:w="100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0DA179E"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58</w:t>
            </w:r>
          </w:p>
        </w:tc>
        <w:tc>
          <w:tcPr>
            <w:tcW w:w="122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29C90156"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 / 153</w:t>
            </w:r>
          </w:p>
        </w:tc>
        <w:tc>
          <w:tcPr>
            <w:tcW w:w="1296"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1F44FA2A"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0.0%</w:t>
            </w:r>
          </w:p>
        </w:tc>
        <w:tc>
          <w:tcPr>
            <w:tcW w:w="1584"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343DE065"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0.0% – 2.4%</w:t>
            </w:r>
          </w:p>
        </w:tc>
      </w:tr>
      <w:tr w:rsidR="00F25EDA" w:rsidRPr="000C71E1" w14:paraId="7B84CDF5" w14:textId="77777777" w:rsidTr="000C71E1">
        <w:trPr>
          <w:cantSplit/>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6D38AFA1"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Bilateral Medullary Nephrocalcinosis in Index Proband (with WT1 frameshift)</w:t>
            </w:r>
          </w:p>
        </w:tc>
        <w:tc>
          <w:tcPr>
            <w:tcW w:w="100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32B6A9A7"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w:t>
            </w:r>
          </w:p>
        </w:tc>
        <w:tc>
          <w:tcPr>
            <w:tcW w:w="122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4973061"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 / 1</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5727C25E"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100.0%</w:t>
            </w:r>
          </w:p>
        </w:tc>
        <w:tc>
          <w:tcPr>
            <w:tcW w:w="1584"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B5874C7" w14:textId="77777777" w:rsidR="00F25EDA"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MVA Challenge 2026</w:t>
            </w:r>
          </w:p>
        </w:tc>
      </w:tr>
    </w:tbl>
    <w:p w14:paraId="30DE1DC6"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Table 1. Quantitative Meta-Analysis and Systematic Synthesis of Clinical Manifestation Prevalences in Mosaic Variegated Aneuploidy Syndrome (1988–2026; N = 158 Studies / 138 Genuine MVA Cohorts).</w:t>
      </w:r>
    </w:p>
    <w:p w14:paraId="542912D0"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3. Pediatric Index Case: International MVA Rare Disease Hackathon 2026 Challenge</w:t>
      </w:r>
    </w:p>
    <w:p w14:paraId="46C3A641"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3.1 Clinical Presentation, Perinatal Background, and Cardinal Phenotype</w:t>
      </w:r>
    </w:p>
    <w:p w14:paraId="5ACDECA5" w14:textId="77777777" w:rsidR="00AC1533" w:rsidRPr="000C71E1" w:rsidRDefault="00000000">
      <w:pPr>
        <w:spacing w:after="120"/>
        <w:jc w:val="both"/>
        <w:rPr>
          <w:rFonts w:asciiTheme="majorHAnsi" w:hAnsiTheme="majorHAnsi" w:cstheme="majorHAnsi"/>
        </w:rPr>
      </w:pPr>
      <w:r>
        <w:t>Within the framework of the international precision genomics challenge MVA Rare Disease Hackathon 2026 [151], an 11-month-old female infant was evaluated. Born at term following severe early-onset intrauterine growth restriction (IUGR), birth metrics included weight 1,850 g (Z-score: -3.4), length 41 cm (Z-score: -3.8), and head circumference 29.5 cm (Z-score: -4.2).</w:t>
      </w:r>
    </w:p>
    <w:p w14:paraId="28FC5866" w14:textId="77777777" w:rsidR="00AC1533" w:rsidRPr="000C71E1" w:rsidRDefault="00000000">
      <w:pPr>
        <w:spacing w:after="120"/>
        <w:jc w:val="both"/>
        <w:rPr>
          <w:rFonts w:asciiTheme="majorHAnsi" w:hAnsiTheme="majorHAnsi" w:cstheme="majorHAnsi"/>
        </w:rPr>
      </w:pPr>
      <w:r>
        <w:lastRenderedPageBreak/>
        <w:t xml:space="preserve">At 11 months, clinical examination revealed profound progressive microcephaly (head circumference: 36.2 cm; Z-score: -5.3), craniofacial dysmorphisms with a narrow forehead, bilateral posterior subcapsular cataracts, and severe failure to thrive unresponsive to enteral hypercaloric formulas. Phenotypes were systematically mapped using the Human Phenotype Ontology (HPO) and </w:t>
      </w:r>
      <w:proofErr w:type="spellStart"/>
      <w:r>
        <w:t>Exomiser</w:t>
      </w:r>
      <w:proofErr w:type="spellEnd"/>
      <w:r>
        <w:t xml:space="preserve"> </w:t>
      </w:r>
      <w:proofErr w:type="spellStart"/>
      <w:r>
        <w:t>phenomic</w:t>
      </w:r>
      <w:proofErr w:type="spellEnd"/>
      <w:r>
        <w:t xml:space="preserve"> prioritization [152, 153].</w:t>
      </w:r>
    </w:p>
    <w:p w14:paraId="73D80E74" w14:textId="77777777" w:rsidR="00AC1533" w:rsidRPr="000C71E1" w:rsidRDefault="00000000">
      <w:pPr>
        <w:keepNext/>
        <w:spacing w:before="200" w:after="40"/>
        <w:jc w:val="center"/>
        <w:rPr>
          <w:rFonts w:asciiTheme="majorHAnsi" w:hAnsiTheme="majorHAnsi" w:cstheme="majorHAnsi"/>
        </w:rPr>
      </w:pPr>
      <w:r w:rsidRPr="000C71E1">
        <w:rPr>
          <w:rFonts w:asciiTheme="majorHAnsi" w:hAnsiTheme="majorHAnsi" w:cstheme="majorHAnsi"/>
          <w:noProof/>
        </w:rPr>
        <w:drawing>
          <wp:inline distT="0" distB="0" distL="0" distR="0" wp14:anchorId="35CD61BF" wp14:editId="232BA8BE">
            <wp:extent cx="5669280" cy="4075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ectacion Multiorganica y Sistemas MVA.png"/>
                    <pic:cNvPicPr/>
                  </pic:nvPicPr>
                  <pic:blipFill>
                    <a:blip r:embed="rId8"/>
                    <a:stretch>
                      <a:fillRect/>
                    </a:stretch>
                  </pic:blipFill>
                  <pic:spPr>
                    <a:xfrm>
                      <a:off x="0" y="0"/>
                      <a:ext cx="5669280" cy="4075795"/>
                    </a:xfrm>
                    <a:prstGeom prst="rect">
                      <a:avLst/>
                    </a:prstGeom>
                  </pic:spPr>
                </pic:pic>
              </a:graphicData>
            </a:graphic>
          </wp:inline>
        </w:drawing>
      </w:r>
    </w:p>
    <w:p w14:paraId="42AF6A55"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Figure 1. Phenotypic Spectrum and Multiorgan Involvement in the Expanded Global MVA Synthesis (1988–2026; N = 158 Studies / 138 Genuine MVA Cohorts) and Index Proband.</w:t>
      </w:r>
      <w:r>
        <w:rPr>
          <w:rFonts w:ascii="Calibri" w:hAnsi="Calibri"/>
          <w:color w:val="334155"/>
          <w:sz w:val="20"/>
        </w:rPr>
        <w:t xml:space="preserve"> Quantitative prevalence mapping integrating classic SAC/</w:t>
      </w:r>
      <w:proofErr w:type="spellStart"/>
      <w:r>
        <w:rPr>
          <w:rFonts w:ascii="Calibri" w:hAnsi="Calibri"/>
          <w:color w:val="334155"/>
          <w:sz w:val="20"/>
        </w:rPr>
        <w:t>centrosomal</w:t>
      </w:r>
      <w:proofErr w:type="spellEnd"/>
      <w:r>
        <w:rPr>
          <w:rFonts w:ascii="Calibri" w:hAnsi="Calibri"/>
          <w:color w:val="334155"/>
          <w:sz w:val="20"/>
        </w:rPr>
        <w:t xml:space="preserve"> phenotypes (</w:t>
      </w:r>
      <w:r>
        <w:rPr>
          <w:rFonts w:ascii="Calibri" w:hAnsi="Calibri"/>
          <w:i/>
          <w:color w:val="334155"/>
          <w:sz w:val="20"/>
        </w:rPr>
        <w:t>BUB1B</w:t>
      </w:r>
      <w:r>
        <w:rPr>
          <w:rFonts w:ascii="Calibri" w:hAnsi="Calibri"/>
          <w:color w:val="334155"/>
          <w:sz w:val="20"/>
        </w:rPr>
        <w:t xml:space="preserve">, </w:t>
      </w:r>
      <w:r>
        <w:rPr>
          <w:rFonts w:ascii="Calibri" w:hAnsi="Calibri"/>
          <w:i/>
          <w:color w:val="334155"/>
          <w:sz w:val="20"/>
        </w:rPr>
        <w:t>CEP57</w:t>
      </w:r>
      <w:r>
        <w:rPr>
          <w:rFonts w:ascii="Calibri" w:hAnsi="Calibri"/>
          <w:color w:val="334155"/>
          <w:sz w:val="20"/>
        </w:rPr>
        <w:t xml:space="preserve">, </w:t>
      </w:r>
      <w:r>
        <w:rPr>
          <w:rFonts w:ascii="Calibri" w:hAnsi="Calibri"/>
          <w:i/>
          <w:color w:val="334155"/>
          <w:sz w:val="20"/>
        </w:rPr>
        <w:t>TRIP13</w:t>
      </w:r>
      <w:r>
        <w:rPr>
          <w:rFonts w:ascii="Calibri" w:hAnsi="Calibri"/>
          <w:color w:val="334155"/>
          <w:sz w:val="20"/>
        </w:rPr>
        <w:t xml:space="preserve">, </w:t>
      </w:r>
      <w:r>
        <w:rPr>
          <w:rFonts w:ascii="Calibri" w:hAnsi="Calibri"/>
          <w:i/>
          <w:color w:val="334155"/>
          <w:sz w:val="20"/>
        </w:rPr>
        <w:t>CENPE</w:t>
      </w:r>
      <w:r>
        <w:rPr>
          <w:rFonts w:ascii="Calibri" w:hAnsi="Calibri"/>
          <w:color w:val="334155"/>
          <w:sz w:val="20"/>
        </w:rPr>
        <w:t>), minor spliceosome (</w:t>
      </w:r>
      <w:r>
        <w:rPr>
          <w:rFonts w:ascii="Calibri" w:hAnsi="Calibri"/>
          <w:i/>
          <w:color w:val="334155"/>
          <w:sz w:val="20"/>
        </w:rPr>
        <w:t>CENATAC</w:t>
      </w:r>
      <w:r>
        <w:rPr>
          <w:rFonts w:ascii="Calibri" w:hAnsi="Calibri"/>
          <w:color w:val="334155"/>
          <w:sz w:val="20"/>
        </w:rPr>
        <w:t xml:space="preserve">), </w:t>
      </w:r>
      <w:r>
        <w:rPr>
          <w:rFonts w:ascii="Calibri" w:hAnsi="Calibri"/>
          <w:i/>
          <w:color w:val="334155"/>
          <w:sz w:val="20"/>
        </w:rPr>
        <w:t>MAD1L1</w:t>
      </w:r>
      <w:r>
        <w:rPr>
          <w:rFonts w:ascii="Calibri" w:hAnsi="Calibri"/>
          <w:color w:val="334155"/>
          <w:sz w:val="20"/>
        </w:rPr>
        <w:t xml:space="preserve"> (MVA4), </w:t>
      </w:r>
      <w:r>
        <w:rPr>
          <w:rFonts w:ascii="Calibri" w:hAnsi="Calibri"/>
          <w:i/>
          <w:color w:val="334155"/>
          <w:sz w:val="20"/>
        </w:rPr>
        <w:t>BUB1</w:t>
      </w:r>
      <w:r>
        <w:rPr>
          <w:rFonts w:ascii="Calibri" w:hAnsi="Calibri"/>
          <w:color w:val="334155"/>
          <w:sz w:val="20"/>
        </w:rPr>
        <w:t xml:space="preserve">, and </w:t>
      </w:r>
      <w:r>
        <w:rPr>
          <w:rFonts w:ascii="Calibri" w:hAnsi="Calibri"/>
          <w:i/>
          <w:color w:val="334155"/>
          <w:sz w:val="20"/>
        </w:rPr>
        <w:t>SMC5</w:t>
      </w:r>
      <w:r>
        <w:rPr>
          <w:rFonts w:ascii="Calibri" w:hAnsi="Calibri"/>
          <w:color w:val="334155"/>
          <w:sz w:val="20"/>
        </w:rPr>
        <w:t>/6-</w:t>
      </w:r>
      <w:r>
        <w:rPr>
          <w:rFonts w:ascii="Calibri" w:hAnsi="Calibri"/>
          <w:i/>
          <w:color w:val="334155"/>
          <w:sz w:val="20"/>
        </w:rPr>
        <w:t>SLF2</w:t>
      </w:r>
      <w:r>
        <w:rPr>
          <w:rFonts w:ascii="Calibri" w:hAnsi="Calibri"/>
          <w:color w:val="334155"/>
          <w:sz w:val="20"/>
        </w:rPr>
        <w:t xml:space="preserve"> ataxia-telangiectasia-like immunodeficiency/anemia alongside the proband's primary medullary nephrocalcinosis (</w:t>
      </w:r>
      <w:r>
        <w:rPr>
          <w:rFonts w:ascii="Calibri" w:hAnsi="Calibri"/>
          <w:i/>
          <w:color w:val="334155"/>
          <w:sz w:val="20"/>
        </w:rPr>
        <w:t>WT1</w:t>
      </w:r>
      <w:r>
        <w:rPr>
          <w:rFonts w:ascii="Calibri" w:hAnsi="Calibri"/>
          <w:color w:val="334155"/>
          <w:sz w:val="20"/>
        </w:rPr>
        <w:t xml:space="preserve"> + </w:t>
      </w:r>
      <w:r>
        <w:rPr>
          <w:rFonts w:ascii="Calibri" w:hAnsi="Calibri"/>
          <w:i/>
          <w:color w:val="334155"/>
          <w:sz w:val="20"/>
        </w:rPr>
        <w:t>CENPE</w:t>
      </w:r>
      <w:r>
        <w:rPr>
          <w:rFonts w:ascii="Calibri" w:hAnsi="Calibri"/>
          <w:color w:val="334155"/>
          <w:sz w:val="20"/>
        </w:rPr>
        <w:t>/</w:t>
      </w:r>
      <w:r>
        <w:rPr>
          <w:rFonts w:ascii="Calibri" w:hAnsi="Calibri"/>
          <w:i/>
          <w:color w:val="334155"/>
          <w:sz w:val="20"/>
        </w:rPr>
        <w:t>BUB1B</w:t>
      </w:r>
      <w:r>
        <w:rPr>
          <w:rFonts w:ascii="Calibri" w:hAnsi="Calibri"/>
          <w:color w:val="334155"/>
          <w:sz w:val="20"/>
        </w:rPr>
        <w:t>).</w:t>
      </w:r>
    </w:p>
    <w:p w14:paraId="5E8F11D3"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3.2 Renal Phenotype Characterization: Bilateral Medullary Nephrocalcinosis</w:t>
      </w:r>
    </w:p>
    <w:p w14:paraId="31ABA86A" w14:textId="77777777" w:rsidR="00AC1533" w:rsidRPr="000C71E1" w:rsidRDefault="00000000">
      <w:pPr>
        <w:spacing w:after="120"/>
        <w:jc w:val="both"/>
        <w:rPr>
          <w:rFonts w:asciiTheme="majorHAnsi" w:hAnsiTheme="majorHAnsi" w:cstheme="majorHAnsi"/>
        </w:rPr>
      </w:pPr>
      <w:r>
        <w:t xml:space="preserve">Abdominal ultrasound protocolized for Wilms tumor screening revealed severe bilateral medullary nephrocalcinosis (HP:0000121). Both kidneys displayed intense confluent </w:t>
      </w:r>
      <w:proofErr w:type="spellStart"/>
      <w:r>
        <w:t>hyperechogenicity</w:t>
      </w:r>
      <w:proofErr w:type="spellEnd"/>
      <w:r>
        <w:t xml:space="preserve"> across all medullary pyramids with acoustic shadowing, consistent with Anderson-Carr grade II–III nephrocalcinosis.</w:t>
      </w:r>
    </w:p>
    <w:p w14:paraId="2168BF67" w14:textId="77777777" w:rsidR="00AC1533" w:rsidRPr="000C71E1" w:rsidRDefault="00000000">
      <w:pPr>
        <w:spacing w:after="120"/>
        <w:jc w:val="both"/>
        <w:rPr>
          <w:rFonts w:asciiTheme="majorHAnsi" w:hAnsiTheme="majorHAnsi" w:cstheme="majorHAnsi"/>
        </w:rPr>
      </w:pPr>
      <w:r>
        <w:t xml:space="preserve">Metabolic evaluation demonstrated moderate idiopathic hypercalciuria (urinary calcium/creatinine: 0.38 mg/mg, normal &lt;0.20; 24-h urinary calcium excretion: 4.8 mg/kg/day), hypocitraturia (citrate/creatinine: 180 mg/g), and persistently neutral-alkaline urinary pH (6.8–7.2), in the absence of serum hypercalcemia (serum calcium: 9.4 mg/dL; intact PTH: 24 </w:t>
      </w:r>
      <w:proofErr w:type="spellStart"/>
      <w:r>
        <w:t>pg</w:t>
      </w:r>
      <w:proofErr w:type="spellEnd"/>
      <w:r>
        <w:t>/mL).</w:t>
      </w:r>
    </w:p>
    <w:p w14:paraId="4A83A48A" w14:textId="77777777" w:rsidR="00AC1533" w:rsidRPr="000C71E1" w:rsidRDefault="00000000">
      <w:pPr>
        <w:keepNext/>
        <w:spacing w:before="200" w:after="40"/>
        <w:jc w:val="center"/>
        <w:rPr>
          <w:rFonts w:asciiTheme="majorHAnsi" w:hAnsiTheme="majorHAnsi" w:cstheme="majorHAnsi"/>
        </w:rPr>
      </w:pPr>
      <w:r w:rsidRPr="000C71E1">
        <w:rPr>
          <w:rFonts w:asciiTheme="majorHAnsi" w:hAnsiTheme="majorHAnsi" w:cstheme="majorHAnsi"/>
          <w:noProof/>
        </w:rPr>
        <w:lastRenderedPageBreak/>
        <w:drawing>
          <wp:inline distT="0" distB="0" distL="0" distR="0" wp14:anchorId="5CF53805" wp14:editId="4672FE18">
            <wp:extent cx="5669280" cy="40936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ograma Cromosomico Loci MVA.png"/>
                    <pic:cNvPicPr/>
                  </pic:nvPicPr>
                  <pic:blipFill>
                    <a:blip r:embed="rId9"/>
                    <a:stretch>
                      <a:fillRect/>
                    </a:stretch>
                  </pic:blipFill>
                  <pic:spPr>
                    <a:xfrm>
                      <a:off x="0" y="0"/>
                      <a:ext cx="5669280" cy="4093679"/>
                    </a:xfrm>
                    <a:prstGeom prst="rect">
                      <a:avLst/>
                    </a:prstGeom>
                  </pic:spPr>
                </pic:pic>
              </a:graphicData>
            </a:graphic>
          </wp:inline>
        </w:drawing>
      </w:r>
    </w:p>
    <w:p w14:paraId="374C1EF8"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Figure 2. Expanded Cytogenetic Mapping of 11 Causal and Phenotypic Modifier Loci in MVA Syndrome (10 Canonical Mitotic/Spliceosome Loci + Renal Master Regulator WT1) Across the Human Karyotype (GRCh38/hg38).</w:t>
      </w:r>
      <w:r>
        <w:rPr>
          <w:rFonts w:ascii="Calibri" w:hAnsi="Calibri"/>
          <w:color w:val="334155"/>
          <w:sz w:val="20"/>
        </w:rPr>
        <w:t xml:space="preserve"> High-resolution </w:t>
      </w:r>
      <w:proofErr w:type="spellStart"/>
      <w:r>
        <w:rPr>
          <w:rFonts w:ascii="Calibri" w:hAnsi="Calibri"/>
          <w:color w:val="334155"/>
          <w:sz w:val="20"/>
        </w:rPr>
        <w:t>idiogram</w:t>
      </w:r>
      <w:proofErr w:type="spellEnd"/>
      <w:r>
        <w:rPr>
          <w:rFonts w:ascii="Calibri" w:hAnsi="Calibri"/>
          <w:color w:val="334155"/>
          <w:sz w:val="20"/>
        </w:rPr>
        <w:t xml:space="preserve"> mapping the canonical SAC/</w:t>
      </w:r>
      <w:proofErr w:type="spellStart"/>
      <w:r>
        <w:rPr>
          <w:rFonts w:ascii="Calibri" w:hAnsi="Calibri"/>
          <w:color w:val="334155"/>
          <w:sz w:val="20"/>
        </w:rPr>
        <w:t>centrosomal</w:t>
      </w:r>
      <w:proofErr w:type="spellEnd"/>
      <w:r>
        <w:rPr>
          <w:rFonts w:ascii="Calibri" w:hAnsi="Calibri"/>
          <w:color w:val="334155"/>
          <w:sz w:val="20"/>
        </w:rPr>
        <w:t xml:space="preserve"> cluster—</w:t>
      </w:r>
      <w:r>
        <w:rPr>
          <w:rFonts w:ascii="Calibri" w:hAnsi="Calibri"/>
          <w:i/>
          <w:color w:val="334155"/>
          <w:sz w:val="20"/>
        </w:rPr>
        <w:t>BUB1</w:t>
      </w:r>
      <w:r>
        <w:rPr>
          <w:rFonts w:ascii="Calibri" w:hAnsi="Calibri"/>
          <w:color w:val="334155"/>
          <w:sz w:val="20"/>
        </w:rPr>
        <w:t xml:space="preserve"> (2q13), </w:t>
      </w:r>
      <w:r>
        <w:rPr>
          <w:rFonts w:ascii="Calibri" w:hAnsi="Calibri"/>
          <w:i/>
          <w:color w:val="334155"/>
          <w:sz w:val="20"/>
        </w:rPr>
        <w:t>CENPE</w:t>
      </w:r>
      <w:r>
        <w:rPr>
          <w:rFonts w:ascii="Calibri" w:hAnsi="Calibri"/>
          <w:color w:val="334155"/>
          <w:sz w:val="20"/>
        </w:rPr>
        <w:t xml:space="preserve"> (4q24), </w:t>
      </w:r>
      <w:r>
        <w:rPr>
          <w:rFonts w:ascii="Calibri" w:hAnsi="Calibri"/>
          <w:i/>
          <w:color w:val="334155"/>
          <w:sz w:val="20"/>
        </w:rPr>
        <w:t>TRIP13</w:t>
      </w:r>
      <w:r>
        <w:rPr>
          <w:rFonts w:ascii="Calibri" w:hAnsi="Calibri"/>
          <w:color w:val="334155"/>
          <w:sz w:val="20"/>
        </w:rPr>
        <w:t xml:space="preserve"> (5q31.2), </w:t>
      </w:r>
      <w:r>
        <w:rPr>
          <w:rFonts w:ascii="Calibri" w:hAnsi="Calibri"/>
          <w:i/>
          <w:color w:val="334155"/>
          <w:sz w:val="20"/>
        </w:rPr>
        <w:t>MAD1L1</w:t>
      </w:r>
      <w:r>
        <w:rPr>
          <w:rFonts w:ascii="Calibri" w:hAnsi="Calibri"/>
          <w:color w:val="334155"/>
          <w:sz w:val="20"/>
        </w:rPr>
        <w:t xml:space="preserve"> (7p22.3), </w:t>
      </w:r>
      <w:r>
        <w:rPr>
          <w:rFonts w:ascii="Calibri" w:hAnsi="Calibri"/>
          <w:i/>
          <w:color w:val="334155"/>
          <w:sz w:val="20"/>
        </w:rPr>
        <w:t>CEP57</w:t>
      </w:r>
      <w:r>
        <w:rPr>
          <w:rFonts w:ascii="Calibri" w:hAnsi="Calibri"/>
          <w:color w:val="334155"/>
          <w:sz w:val="20"/>
        </w:rPr>
        <w:t xml:space="preserve"> (11q21), </w:t>
      </w:r>
      <w:r>
        <w:rPr>
          <w:rFonts w:ascii="Calibri" w:hAnsi="Calibri"/>
          <w:i/>
          <w:color w:val="334155"/>
          <w:sz w:val="20"/>
        </w:rPr>
        <w:t>BUB1B</w:t>
      </w:r>
      <w:r>
        <w:rPr>
          <w:rFonts w:ascii="Calibri" w:hAnsi="Calibri"/>
          <w:color w:val="334155"/>
          <w:sz w:val="20"/>
        </w:rPr>
        <w:t xml:space="preserve"> (15q15.1), and </w:t>
      </w:r>
      <w:r>
        <w:rPr>
          <w:rFonts w:ascii="Calibri" w:hAnsi="Calibri"/>
          <w:i/>
          <w:color w:val="334155"/>
          <w:sz w:val="20"/>
        </w:rPr>
        <w:t>CEP192</w:t>
      </w:r>
      <w:r>
        <w:rPr>
          <w:rFonts w:ascii="Calibri" w:hAnsi="Calibri"/>
          <w:color w:val="334155"/>
          <w:sz w:val="20"/>
        </w:rPr>
        <w:t xml:space="preserve"> (18p11.21)—together with the non-canonical minor spliceosome locus </w:t>
      </w:r>
      <w:r>
        <w:rPr>
          <w:rFonts w:ascii="Calibri" w:hAnsi="Calibri"/>
          <w:i/>
          <w:color w:val="334155"/>
          <w:sz w:val="20"/>
        </w:rPr>
        <w:t>CENATAC</w:t>
      </w:r>
      <w:r>
        <w:rPr>
          <w:rFonts w:ascii="Calibri" w:hAnsi="Calibri"/>
          <w:color w:val="334155"/>
          <w:sz w:val="20"/>
        </w:rPr>
        <w:t xml:space="preserve"> (11q14.1), the replication/repair complex </w:t>
      </w:r>
      <w:r>
        <w:rPr>
          <w:rFonts w:ascii="Calibri" w:hAnsi="Calibri"/>
          <w:i/>
          <w:color w:val="334155"/>
          <w:sz w:val="20"/>
        </w:rPr>
        <w:t>SMC5</w:t>
      </w:r>
      <w:r>
        <w:rPr>
          <w:rFonts w:ascii="Calibri" w:hAnsi="Calibri"/>
          <w:color w:val="334155"/>
          <w:sz w:val="20"/>
        </w:rPr>
        <w:t xml:space="preserve"> (9q21.13)–</w:t>
      </w:r>
      <w:r>
        <w:rPr>
          <w:rFonts w:ascii="Calibri" w:hAnsi="Calibri"/>
          <w:i/>
          <w:color w:val="334155"/>
          <w:sz w:val="20"/>
        </w:rPr>
        <w:t>SLF2</w:t>
      </w:r>
      <w:r>
        <w:rPr>
          <w:rFonts w:ascii="Calibri" w:hAnsi="Calibri"/>
          <w:color w:val="334155"/>
          <w:sz w:val="20"/>
        </w:rPr>
        <w:t xml:space="preserve"> (10q24.2), and the master renal modifier </w:t>
      </w:r>
      <w:r>
        <w:rPr>
          <w:rFonts w:ascii="Calibri" w:hAnsi="Calibri"/>
          <w:i/>
          <w:color w:val="334155"/>
          <w:sz w:val="20"/>
        </w:rPr>
        <w:t>WT1</w:t>
      </w:r>
      <w:r>
        <w:rPr>
          <w:rFonts w:ascii="Calibri" w:hAnsi="Calibri"/>
          <w:color w:val="334155"/>
          <w:sz w:val="20"/>
        </w:rPr>
        <w:t xml:space="preserve"> (11p13). Stars (★) highlight prioritized proband loci (</w:t>
      </w:r>
      <w:r>
        <w:rPr>
          <w:rFonts w:ascii="Calibri" w:hAnsi="Calibri"/>
          <w:i/>
          <w:color w:val="334155"/>
          <w:sz w:val="20"/>
        </w:rPr>
        <w:t>CENPE</w:t>
      </w:r>
      <w:r>
        <w:rPr>
          <w:rFonts w:ascii="Calibri" w:hAnsi="Calibri"/>
          <w:color w:val="334155"/>
          <w:sz w:val="20"/>
        </w:rPr>
        <w:t xml:space="preserve">, </w:t>
      </w:r>
      <w:r>
        <w:rPr>
          <w:rFonts w:ascii="Calibri" w:hAnsi="Calibri"/>
          <w:i/>
          <w:color w:val="334155"/>
          <w:sz w:val="20"/>
        </w:rPr>
        <w:t>BUB1B</w:t>
      </w:r>
      <w:r>
        <w:rPr>
          <w:rFonts w:ascii="Calibri" w:hAnsi="Calibri"/>
          <w:color w:val="334155"/>
          <w:sz w:val="20"/>
        </w:rPr>
        <w:t xml:space="preserve">, </w:t>
      </w:r>
      <w:r>
        <w:rPr>
          <w:rFonts w:ascii="Calibri" w:hAnsi="Calibri"/>
          <w:i/>
          <w:color w:val="334155"/>
          <w:sz w:val="20"/>
        </w:rPr>
        <w:t>WT1</w:t>
      </w:r>
      <w:r>
        <w:rPr>
          <w:rFonts w:ascii="Calibri" w:hAnsi="Calibri"/>
          <w:color w:val="334155"/>
          <w:sz w:val="20"/>
        </w:rPr>
        <w:t>).</w:t>
      </w:r>
    </w:p>
    <w:p w14:paraId="7E4CEBF4"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4. Computational Methodology: Google Antigravity + Kaggle Cloud GPUs Hybrid Infrastructure and Trimodal AI</w:t>
      </w:r>
    </w:p>
    <w:p w14:paraId="6804E401"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4.1 Hybrid Computational Infrastructure: Agentic Orchestration and Cloud Acceleration</w:t>
      </w:r>
    </w:p>
    <w:p w14:paraId="1EABD7A7" w14:textId="77777777" w:rsidR="00AC1533" w:rsidRPr="000C71E1" w:rsidRDefault="00000000">
      <w:pPr>
        <w:spacing w:after="120"/>
        <w:jc w:val="both"/>
        <w:rPr>
          <w:rFonts w:asciiTheme="majorHAnsi" w:hAnsiTheme="majorHAnsi" w:cstheme="majorHAnsi"/>
        </w:rPr>
      </w:pPr>
      <w:r>
        <w:t>To decipher the multigenic and mechanistic complexity of the proband's genome, a hybrid computational architecture was deployed:</w:t>
      </w:r>
    </w:p>
    <w:p w14:paraId="417CDA9D" w14:textId="77777777" w:rsidR="00AC1533" w:rsidRPr="000C71E1" w:rsidRDefault="00000000">
      <w:pPr>
        <w:spacing w:before="60" w:after="100"/>
        <w:ind w:left="360" w:hanging="259"/>
        <w:jc w:val="both"/>
        <w:rPr>
          <w:rFonts w:asciiTheme="majorHAnsi" w:hAnsiTheme="majorHAnsi" w:cstheme="majorHAnsi"/>
        </w:rPr>
      </w:pPr>
      <w:r>
        <w:rPr>
          <w:b/>
          <w:color w:val="0F294A"/>
        </w:rPr>
        <w:t>1. Google Antigravity Agentic Platform (Google DeepMind) [154]:</w:t>
      </w:r>
      <w:r>
        <w:t xml:space="preserve"> Served as the master pair-programming and scientific workflow orchestrator, deploying the foundational reasoning models gemini-3.8-flash (for rapid iterative scripting, data validation, and bioinformatic pipeline plumbing) and gemini-4-argon (for deep architectural genomics, high-dimensional Lie-derivative reasoning, and multimodal variant interpretation) within an enterprise-grade execution environment operating under commercial zero-data-retention terms. All algorithmic </w:t>
      </w:r>
      <w:r>
        <w:lastRenderedPageBreak/>
        <w:t>logic, prompt chains, and analytical gates were conceived and validated under continuous human physician oversight.</w:t>
      </w:r>
    </w:p>
    <w:p w14:paraId="6DDB94AC" w14:textId="77777777" w:rsidR="00AC1533" w:rsidRPr="000C71E1" w:rsidRDefault="00000000">
      <w:pPr>
        <w:spacing w:before="60" w:after="100"/>
        <w:ind w:left="360" w:hanging="259"/>
        <w:jc w:val="both"/>
        <w:rPr>
          <w:rFonts w:asciiTheme="majorHAnsi" w:hAnsiTheme="majorHAnsi" w:cstheme="majorHAnsi"/>
        </w:rPr>
      </w:pPr>
      <w:r>
        <w:rPr>
          <w:b/>
          <w:color w:val="0F294A"/>
        </w:rPr>
        <w:t>2. Kaggle Cloud Compute and GPU Acceleration (Kaggle Kernels):</w:t>
      </w:r>
      <w:r>
        <w:t xml:space="preserve"> Given the massive dataset footprint and computational demands of whole-genome processing, Kaggle's cloud infrastructure (equipped with NVIDIA T4/P100 GPUs and multi-threaded Linux environments) served as the centralized execution engine. This cloud platform hosted both the high-throughput streaming pre-processing and quality control audit of the 85.0 GB raw FASTQ files via </w:t>
      </w:r>
      <w:proofErr w:type="spellStart"/>
      <w:r>
        <w:t>fastp</w:t>
      </w:r>
      <w:proofErr w:type="spellEnd"/>
      <w:r>
        <w:t xml:space="preserve"> (v0.23.4) [155], and the heavy deep-learning inference workflows (16 kb long-context epigenomic prediction with </w:t>
      </w:r>
      <w:proofErr w:type="spellStart"/>
      <w:r>
        <w:t>AlphaGenome</w:t>
      </w:r>
      <w:proofErr w:type="spellEnd"/>
      <w:r>
        <w:t xml:space="preserve"> and 7B-parameter evolutionary sequence modeling with Evo 2).</w:t>
      </w:r>
    </w:p>
    <w:p w14:paraId="1BE369F2" w14:textId="77777777" w:rsidR="00AC1533" w:rsidRPr="000C71E1" w:rsidRDefault="00000000">
      <w:pPr>
        <w:spacing w:after="120"/>
        <w:jc w:val="both"/>
        <w:rPr>
          <w:rFonts w:asciiTheme="majorHAnsi" w:hAnsiTheme="majorHAnsi" w:cstheme="majorHAnsi"/>
        </w:rPr>
      </w:pPr>
      <w:r>
        <w:rPr>
          <w:b/>
          <w:color w:val="0F294A"/>
        </w:rPr>
        <w:t>Translational Continuity Across Suite Articles:</w:t>
      </w:r>
      <w:r>
        <w:t xml:space="preserve"> As illustrated in the unified computational architecture (Figure 3), the end-to-end pipeline operates in six interconnected phases. While the present study (Article 1) rigorously focuses on Phase 1 (WGS pre-processing &amp; QC), Phase 2 (HPO clinical phenomics), Phase 3 (Trimodal AI scoring), and Phase 5 (PRISMA 2020 meta-analysis), it establishes the immediate biological foundation for downstream molecular intervention. Specifically, Phase 4 (3D structural graph </w:t>
      </w:r>
      <w:proofErr w:type="spellStart"/>
      <w:r>
        <w:t>decompilation</w:t>
      </w:r>
      <w:proofErr w:type="spellEnd"/>
      <w:r>
        <w:t xml:space="preserve"> with AlphaFold 2/3, ESM-2, and </w:t>
      </w:r>
      <w:proofErr w:type="spellStart"/>
      <w:r>
        <w:t>GraphConv</w:t>
      </w:r>
      <w:proofErr w:type="spellEnd"/>
      <w:r>
        <w:t>/</w:t>
      </w:r>
      <w:proofErr w:type="spellStart"/>
      <w:r>
        <w:t>SAGPool</w:t>
      </w:r>
      <w:proofErr w:type="spellEnd"/>
      <w:r>
        <w:t>) and Phase 6 (</w:t>
      </w:r>
      <w:r>
        <w:rPr>
          <w:i/>
        </w:rPr>
        <w:t>de novo</w:t>
      </w:r>
      <w:r>
        <w:t xml:space="preserve"> pharmacology, platelet-sparing PROTAC design, </w:t>
      </w:r>
      <w:r>
        <w:rPr>
          <w:i/>
        </w:rPr>
        <w:t>Ambystoma mexicanum</w:t>
      </w:r>
      <w:r>
        <w:t xml:space="preserve"> anticancer peptides MVA-AMP-01/12/13, and double-strand-break-free ABE8e/Prime Editing curative architecture) are developed and computationally validated in companion Article 2 ('De Novo Molecular Pharmacology, Synthetic Lethality, and 3D Conformational Modeling in Mosaic Variegated Aneuploidy').</w:t>
      </w:r>
    </w:p>
    <w:p w14:paraId="7E642C45"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 xml:space="preserve">4.2 </w:t>
      </w:r>
      <w:proofErr w:type="spellStart"/>
      <w:r w:rsidRPr="000C71E1">
        <w:rPr>
          <w:rFonts w:asciiTheme="majorHAnsi" w:hAnsiTheme="majorHAnsi" w:cstheme="majorHAnsi"/>
          <w:b/>
          <w:color w:val="1E3A8A"/>
          <w:sz w:val="25"/>
        </w:rPr>
        <w:t>AlphaGenome</w:t>
      </w:r>
      <w:proofErr w:type="spellEnd"/>
      <w:r w:rsidRPr="000C71E1">
        <w:rPr>
          <w:rFonts w:asciiTheme="majorHAnsi" w:hAnsiTheme="majorHAnsi" w:cstheme="majorHAnsi"/>
          <w:b/>
          <w:color w:val="1E3A8A"/>
          <w:sz w:val="25"/>
        </w:rPr>
        <w:t>: 16 kb Transformer Foundation Model and Epigenomic Loss Function</w:t>
      </w:r>
    </w:p>
    <w:p w14:paraId="64035E95" w14:textId="77777777" w:rsidR="00AC1533" w:rsidRPr="000C71E1" w:rsidRDefault="00000000">
      <w:pPr>
        <w:spacing w:after="120"/>
        <w:jc w:val="both"/>
        <w:rPr>
          <w:rFonts w:asciiTheme="majorHAnsi" w:hAnsiTheme="majorHAnsi" w:cstheme="majorHAnsi"/>
        </w:rPr>
      </w:pPr>
      <w:proofErr w:type="spellStart"/>
      <w:r>
        <w:t>AlphaGenome</w:t>
      </w:r>
      <w:proofErr w:type="spellEnd"/>
      <w:r>
        <w:t xml:space="preserve"> [161] is a Transformer foundation model processing long-range DNA context (up to 16,384 bp) to capture distal chromatin interactions, promoters, enhancers, and transcription factor binding sites. </w:t>
      </w:r>
      <w:proofErr w:type="gramStart"/>
      <w:r>
        <w:t>Its</w:t>
      </w:r>
      <w:proofErr w:type="gramEnd"/>
      <w:r>
        <w:t xml:space="preserve"> multitask loss combines Poisson log-likelihood for accessibility tracks and histone modifications:</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E322EC" w14:paraId="102975E6"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70505C5B" w14:textId="77777777" w:rsidR="00E322EC" w:rsidRDefault="00000000">
            <w:pPr>
              <w:keepNext/>
              <w:spacing w:before="40" w:after="80" w:line="264" w:lineRule="auto"/>
            </w:pPr>
            <w:r>
              <w:rPr>
                <w:rFonts w:ascii="Calibri" w:hAnsi="Calibri"/>
                <w:b/>
                <w:i/>
                <w:noProof/>
                <w:color w:val="1E3A8A"/>
                <w:sz w:val="20"/>
              </w:rPr>
              <w:t>AlphaGenome Multitask Epigenomic Loss Function</w:t>
            </w:r>
          </w:p>
          <w:p w14:paraId="55F41448" w14:textId="77777777" w:rsidR="00E322EC" w:rsidRDefault="00000000">
            <w:pPr>
              <w:spacing w:before="40" w:after="40" w:line="300" w:lineRule="auto"/>
            </w:pPr>
            <w:r>
              <w:rPr>
                <w:b/>
                <w:noProof/>
                <w:color w:val="0F294A"/>
                <w:sz w:val="21"/>
              </w:rPr>
              <w:t>ℒ</w:t>
            </w:r>
            <w:r>
              <w:rPr>
                <w:b/>
                <w:noProof/>
                <w:color w:val="0F294A"/>
                <w:sz w:val="21"/>
                <w:vertAlign w:val="subscript"/>
              </w:rPr>
              <w:t>AlphaGenome</w:t>
            </w:r>
            <w:r>
              <w:rPr>
                <w:noProof/>
                <w:color w:val="0F294A"/>
                <w:sz w:val="21"/>
              </w:rPr>
              <w:t xml:space="preserve"> = </w:t>
            </w:r>
            <w:r>
              <w:rPr>
                <w:b/>
                <w:noProof/>
                <w:color w:val="0F294A"/>
                <w:sz w:val="21"/>
              </w:rPr>
              <w:t>∑</w:t>
            </w:r>
            <w:r>
              <w:rPr>
                <w:noProof/>
                <w:color w:val="0F294A"/>
                <w:sz w:val="21"/>
                <w:vertAlign w:val="subscript"/>
              </w:rPr>
              <w:t>i=1</w:t>
            </w:r>
            <w:r>
              <w:rPr>
                <w:i/>
                <w:noProof/>
                <w:color w:val="0F294A"/>
                <w:sz w:val="21"/>
                <w:vertAlign w:val="superscript"/>
              </w:rPr>
              <w:t>T</w:t>
            </w:r>
            <w:r>
              <w:rPr>
                <w:noProof/>
                <w:color w:val="0F294A"/>
                <w:sz w:val="21"/>
              </w:rPr>
              <w:t xml:space="preserve"> [ </w:t>
            </w:r>
            <w:r>
              <w:rPr>
                <w:i/>
                <w:noProof/>
                <w:color w:val="0F294A"/>
                <w:sz w:val="21"/>
              </w:rPr>
              <w:t>y</w:t>
            </w:r>
            <w:r>
              <w:rPr>
                <w:i/>
                <w:noProof/>
                <w:color w:val="0F294A"/>
                <w:sz w:val="21"/>
                <w:vertAlign w:val="subscript"/>
              </w:rPr>
              <w:t>i</w:t>
            </w:r>
            <w:r>
              <w:rPr>
                <w:noProof/>
                <w:color w:val="0F294A"/>
                <w:sz w:val="21"/>
              </w:rPr>
              <w:t xml:space="preserve"> · ln(</w:t>
            </w:r>
            <w:r>
              <w:rPr>
                <w:i/>
                <w:noProof/>
                <w:color w:val="0F294A"/>
                <w:sz w:val="21"/>
              </w:rPr>
              <w:t>λ</w:t>
            </w:r>
            <w:r>
              <w:rPr>
                <w:i/>
                <w:noProof/>
                <w:color w:val="0F294A"/>
                <w:sz w:val="21"/>
                <w:vertAlign w:val="subscript"/>
              </w:rPr>
              <w:t>i</w:t>
            </w:r>
            <w:r>
              <w:rPr>
                <w:noProof/>
                <w:color w:val="0F294A"/>
                <w:sz w:val="21"/>
              </w:rPr>
              <w:t xml:space="preserve">) − </w:t>
            </w:r>
            <w:r>
              <w:rPr>
                <w:i/>
                <w:noProof/>
                <w:color w:val="0F294A"/>
                <w:sz w:val="21"/>
              </w:rPr>
              <w:t>λ</w:t>
            </w:r>
            <w:r>
              <w:rPr>
                <w:i/>
                <w:noProof/>
                <w:color w:val="0F294A"/>
                <w:sz w:val="21"/>
                <w:vertAlign w:val="subscript"/>
              </w:rPr>
              <w:t>i</w:t>
            </w:r>
            <w:r>
              <w:rPr>
                <w:noProof/>
                <w:color w:val="0F294A"/>
                <w:sz w:val="21"/>
              </w:rPr>
              <w:t xml:space="preserve"> − ln(</w:t>
            </w:r>
            <w:r>
              <w:rPr>
                <w:i/>
                <w:noProof/>
                <w:color w:val="0F294A"/>
                <w:sz w:val="21"/>
              </w:rPr>
              <w:t>y</w:t>
            </w:r>
            <w:r>
              <w:rPr>
                <w:i/>
                <w:noProof/>
                <w:color w:val="0F294A"/>
                <w:sz w:val="21"/>
                <w:vertAlign w:val="subscript"/>
              </w:rPr>
              <w:t>i</w:t>
            </w:r>
            <w:r>
              <w:rPr>
                <w:noProof/>
                <w:color w:val="0F294A"/>
                <w:sz w:val="21"/>
              </w:rPr>
              <w:t xml:space="preserve">!) ] + </w:t>
            </w:r>
            <w:r>
              <w:rPr>
                <w:i/>
                <w:noProof/>
                <w:color w:val="0F294A"/>
                <w:sz w:val="21"/>
              </w:rPr>
              <w:t>γ</w:t>
            </w:r>
            <w:r>
              <w:rPr>
                <w:noProof/>
                <w:color w:val="0F294A"/>
                <w:sz w:val="21"/>
              </w:rPr>
              <w:t xml:space="preserve"> · </w:t>
            </w:r>
            <w:r>
              <w:rPr>
                <w:b/>
                <w:noProof/>
                <w:color w:val="0F294A"/>
                <w:sz w:val="21"/>
              </w:rPr>
              <w:t>ℒ</w:t>
            </w:r>
            <w:r>
              <w:rPr>
                <w:b/>
                <w:noProof/>
                <w:color w:val="0F294A"/>
                <w:sz w:val="21"/>
                <w:vertAlign w:val="subscript"/>
              </w:rPr>
              <w:t>splice</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0FBAE680" w14:textId="77777777" w:rsidR="00E322EC" w:rsidRDefault="00000000">
            <w:pPr>
              <w:spacing w:after="0"/>
              <w:jc w:val="right"/>
            </w:pPr>
            <w:r>
              <w:rPr>
                <w:rFonts w:ascii="Calibri" w:hAnsi="Calibri"/>
                <w:b/>
                <w:noProof/>
                <w:color w:val="1E3A8A"/>
                <w:sz w:val="21"/>
              </w:rPr>
              <w:t>(2)</w:t>
            </w:r>
          </w:p>
        </w:tc>
      </w:tr>
    </w:tbl>
    <w:p w14:paraId="219CB147" w14:textId="77777777" w:rsidR="00AC1533" w:rsidRPr="000C71E1" w:rsidRDefault="00AC1533">
      <w:pPr>
        <w:spacing w:after="0" w:line="240" w:lineRule="auto"/>
        <w:rPr>
          <w:rFonts w:asciiTheme="majorHAnsi" w:hAnsiTheme="majorHAnsi" w:cstheme="majorHAnsi"/>
        </w:rPr>
      </w:pPr>
    </w:p>
    <w:p w14:paraId="1349B787"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 xml:space="preserve">4.3 </w:t>
      </w:r>
      <w:proofErr w:type="spellStart"/>
      <w:r w:rsidRPr="000C71E1">
        <w:rPr>
          <w:rFonts w:asciiTheme="majorHAnsi" w:hAnsiTheme="majorHAnsi" w:cstheme="majorHAnsi"/>
          <w:b/>
          <w:color w:val="1E3A8A"/>
          <w:sz w:val="25"/>
        </w:rPr>
        <w:t>AlphaMissense</w:t>
      </w:r>
      <w:proofErr w:type="spellEnd"/>
      <w:r w:rsidRPr="000C71E1">
        <w:rPr>
          <w:rFonts w:asciiTheme="majorHAnsi" w:hAnsiTheme="majorHAnsi" w:cstheme="majorHAnsi"/>
          <w:b/>
          <w:color w:val="1E3A8A"/>
          <w:sz w:val="25"/>
        </w:rPr>
        <w:t>: Bayesian Structural Pathogenicity and Free Energy Perturbation</w:t>
      </w:r>
    </w:p>
    <w:p w14:paraId="0E127B81" w14:textId="77777777" w:rsidR="00AC1533" w:rsidRPr="000C71E1" w:rsidRDefault="00000000">
      <w:pPr>
        <w:spacing w:after="120"/>
        <w:jc w:val="both"/>
        <w:rPr>
          <w:rFonts w:asciiTheme="majorHAnsi" w:hAnsiTheme="majorHAnsi" w:cstheme="majorHAnsi"/>
        </w:rPr>
      </w:pPr>
      <w:r>
        <w:t xml:space="preserve">Missense variants were scored using </w:t>
      </w:r>
      <w:proofErr w:type="spellStart"/>
      <w:r>
        <w:t>AlphaMissense</w:t>
      </w:r>
      <w:proofErr w:type="spellEnd"/>
      <w:r>
        <w:t xml:space="preserve"> (DeepMind) [162], which integrates 3D structural embeddings from AlphaFold and AlphaFold 3 [163, 164] with thermodynamic stability predictions and macromolecular visualization in UCSF </w:t>
      </w:r>
      <w:proofErr w:type="spellStart"/>
      <w:r>
        <w:t>ChimeraX</w:t>
      </w:r>
      <w:proofErr w:type="spellEnd"/>
      <w:r>
        <w:t xml:space="preserve"> [165]:</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E322EC" w14:paraId="27BDBFB6"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7618C5F2" w14:textId="77777777" w:rsidR="00E322EC" w:rsidRDefault="00000000">
            <w:pPr>
              <w:keepNext/>
              <w:spacing w:before="40" w:after="80" w:line="264" w:lineRule="auto"/>
            </w:pPr>
            <w:r>
              <w:rPr>
                <w:rFonts w:ascii="Calibri" w:hAnsi="Calibri"/>
                <w:b/>
                <w:i/>
                <w:noProof/>
                <w:color w:val="1E3A8A"/>
                <w:sz w:val="20"/>
              </w:rPr>
              <w:t>AlphaMissense Structural Pathogenicity Posterior Probability</w:t>
            </w:r>
          </w:p>
          <w:p w14:paraId="2F6EDD0F" w14:textId="77777777" w:rsidR="00E322EC" w:rsidRDefault="00000000">
            <w:pPr>
              <w:spacing w:before="40" w:after="40" w:line="300" w:lineRule="auto"/>
            </w:pPr>
            <w:r>
              <w:rPr>
                <w:i/>
                <w:noProof/>
                <w:color w:val="0F294A"/>
                <w:sz w:val="21"/>
              </w:rPr>
              <w:t>P</w:t>
            </w:r>
            <w:r>
              <w:rPr>
                <w:noProof/>
                <w:color w:val="0F294A"/>
                <w:sz w:val="21"/>
              </w:rPr>
              <w:t xml:space="preserve">(Pathogenic | </w:t>
            </w:r>
            <w:r>
              <w:rPr>
                <w:i/>
                <w:noProof/>
                <w:color w:val="0F294A"/>
                <w:sz w:val="21"/>
              </w:rPr>
              <w:t>v</w:t>
            </w:r>
            <w:r>
              <w:rPr>
                <w:noProof/>
                <w:color w:val="0F294A"/>
                <w:sz w:val="21"/>
              </w:rPr>
              <w:t xml:space="preserve">) = σ( </w:t>
            </w:r>
            <w:r>
              <w:rPr>
                <w:b/>
                <w:i/>
                <w:noProof/>
                <w:color w:val="0F294A"/>
                <w:sz w:val="21"/>
              </w:rPr>
              <w:t>w</w:t>
            </w:r>
            <w:r>
              <w:rPr>
                <w:noProof/>
                <w:color w:val="0F294A"/>
                <w:sz w:val="21"/>
                <w:vertAlign w:val="superscript"/>
              </w:rPr>
              <w:t>T</w:t>
            </w:r>
            <w:r>
              <w:rPr>
                <w:noProof/>
                <w:color w:val="0F294A"/>
                <w:sz w:val="21"/>
              </w:rPr>
              <w:t xml:space="preserve"> · </w:t>
            </w:r>
            <w:r>
              <w:rPr>
                <w:b/>
                <w:i/>
                <w:noProof/>
                <w:color w:val="0F294A"/>
                <w:sz w:val="21"/>
              </w:rPr>
              <w:t>f</w:t>
            </w:r>
            <w:r>
              <w:rPr>
                <w:b/>
                <w:noProof/>
                <w:color w:val="0F294A"/>
                <w:sz w:val="21"/>
                <w:vertAlign w:val="subscript"/>
              </w:rPr>
              <w:t>AF</w:t>
            </w:r>
            <w:r>
              <w:rPr>
                <w:noProof/>
                <w:color w:val="0F294A"/>
                <w:sz w:val="21"/>
              </w:rPr>
              <w:t>(</w:t>
            </w:r>
            <w:r>
              <w:rPr>
                <w:i/>
                <w:noProof/>
                <w:color w:val="0F294A"/>
                <w:sz w:val="21"/>
              </w:rPr>
              <w:t>v</w:t>
            </w:r>
            <w:r>
              <w:rPr>
                <w:noProof/>
                <w:color w:val="0F294A"/>
                <w:sz w:val="21"/>
              </w:rPr>
              <w:t xml:space="preserve">) + </w:t>
            </w:r>
            <w:r>
              <w:rPr>
                <w:i/>
                <w:noProof/>
                <w:color w:val="0F294A"/>
                <w:sz w:val="21"/>
              </w:rPr>
              <w:t>β</w:t>
            </w:r>
            <w:r>
              <w:rPr>
                <w:noProof/>
                <w:color w:val="0F294A"/>
                <w:sz w:val="21"/>
              </w:rPr>
              <w:t xml:space="preserve"> · ΔΔ</w:t>
            </w:r>
            <w:r>
              <w:rPr>
                <w:i/>
                <w:noProof/>
                <w:color w:val="0F294A"/>
                <w:sz w:val="21"/>
              </w:rPr>
              <w:t>G</w:t>
            </w:r>
            <w:r>
              <w:rPr>
                <w:noProof/>
                <w:color w:val="0F294A"/>
                <w:sz w:val="21"/>
                <w:vertAlign w:val="subscript"/>
              </w:rPr>
              <w:t>fold</w:t>
            </w:r>
            <w:r>
              <w:rPr>
                <w:noProof/>
                <w:color w:val="0F294A"/>
                <w:sz w:val="21"/>
              </w:rPr>
              <w:t xml:space="preserve"> + </w:t>
            </w:r>
            <w:r>
              <w:rPr>
                <w:i/>
                <w:noProof/>
                <w:color w:val="0F294A"/>
                <w:sz w:val="21"/>
              </w:rPr>
              <w:t>b</w:t>
            </w:r>
            <w:r>
              <w:rPr>
                <w:noProof/>
                <w:color w:val="0F294A"/>
                <w:sz w:val="21"/>
              </w:rPr>
              <w:t xml:space="preserve"> )</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4B2363F0" w14:textId="77777777" w:rsidR="00E322EC" w:rsidRDefault="00000000">
            <w:pPr>
              <w:spacing w:after="0"/>
              <w:jc w:val="right"/>
            </w:pPr>
            <w:r>
              <w:rPr>
                <w:rFonts w:ascii="Calibri" w:hAnsi="Calibri"/>
                <w:b/>
                <w:noProof/>
                <w:color w:val="1E3A8A"/>
                <w:sz w:val="21"/>
              </w:rPr>
              <w:t>(3)</w:t>
            </w:r>
          </w:p>
        </w:tc>
      </w:tr>
    </w:tbl>
    <w:p w14:paraId="35707492" w14:textId="77777777" w:rsidR="00AC1533" w:rsidRPr="000C71E1" w:rsidRDefault="00AC1533">
      <w:pPr>
        <w:spacing w:after="0" w:line="240" w:lineRule="auto"/>
        <w:rPr>
          <w:rFonts w:asciiTheme="majorHAnsi" w:hAnsiTheme="majorHAnsi" w:cstheme="majorHAnsi"/>
        </w:rPr>
      </w:pPr>
    </w:p>
    <w:p w14:paraId="3634DB82"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lastRenderedPageBreak/>
        <w:t>4.4 Evo 2: 7B-Parameter Biological Foundation Model and Evolutionary Delta Log-Likelihood (</w:t>
      </w:r>
      <w:proofErr w:type="spellStart"/>
      <w:r w:rsidRPr="000C71E1">
        <w:rPr>
          <w:rFonts w:asciiTheme="majorHAnsi" w:hAnsiTheme="majorHAnsi" w:cstheme="majorHAnsi"/>
          <w:b/>
          <w:color w:val="1E3A8A"/>
          <w:sz w:val="25"/>
        </w:rPr>
        <w:t>DeltaLLR</w:t>
      </w:r>
      <w:proofErr w:type="spellEnd"/>
      <w:r w:rsidRPr="000C71E1">
        <w:rPr>
          <w:rFonts w:asciiTheme="majorHAnsi" w:hAnsiTheme="majorHAnsi" w:cstheme="majorHAnsi"/>
          <w:b/>
          <w:color w:val="1E3A8A"/>
          <w:sz w:val="25"/>
        </w:rPr>
        <w:t>)</w:t>
      </w:r>
    </w:p>
    <w:p w14:paraId="24D5D53B" w14:textId="77777777" w:rsidR="00AC1533" w:rsidRPr="000C71E1" w:rsidRDefault="00000000">
      <w:pPr>
        <w:keepNext/>
        <w:spacing w:after="120"/>
        <w:jc w:val="both"/>
        <w:rPr>
          <w:rFonts w:asciiTheme="majorHAnsi" w:hAnsiTheme="majorHAnsi" w:cstheme="majorHAnsi"/>
        </w:rPr>
      </w:pPr>
      <w:r>
        <w:t>Evo 2 (Arc Institute / Together AI) [166] is a 7-billion parameter biological foundation model trained across 300 billion tokens spanning thousands of species, evaluating whether a position has been conserved across 500 million years:</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E322EC" w14:paraId="43EFC484"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3A620B74" w14:textId="77777777" w:rsidR="00E322EC" w:rsidRDefault="00000000">
            <w:pPr>
              <w:keepNext/>
              <w:spacing w:before="40" w:after="80" w:line="264" w:lineRule="auto"/>
            </w:pPr>
            <w:r>
              <w:rPr>
                <w:rFonts w:ascii="Calibri" w:hAnsi="Calibri"/>
                <w:b/>
                <w:i/>
                <w:noProof/>
                <w:color w:val="1E3A8A"/>
                <w:sz w:val="20"/>
              </w:rPr>
              <w:t>Evo 2 Biological Foundation Model Evolutionary Delta Log-Likelihood Ratio</w:t>
            </w:r>
          </w:p>
          <w:p w14:paraId="5E5E44DE" w14:textId="77777777" w:rsidR="00E322EC" w:rsidRDefault="00000000">
            <w:pPr>
              <w:spacing w:before="40" w:after="40" w:line="300" w:lineRule="auto"/>
            </w:pPr>
            <w:r>
              <w:rPr>
                <w:noProof/>
                <w:color w:val="0F294A"/>
                <w:sz w:val="21"/>
              </w:rPr>
              <w:t>ΔLLR(</w:t>
            </w:r>
            <w:r>
              <w:rPr>
                <w:i/>
                <w:noProof/>
                <w:color w:val="0F294A"/>
                <w:sz w:val="21"/>
              </w:rPr>
              <w:t>v</w:t>
            </w:r>
            <w:r>
              <w:rPr>
                <w:noProof/>
                <w:color w:val="0F294A"/>
                <w:sz w:val="21"/>
              </w:rPr>
              <w:t xml:space="preserve">) = ln </w:t>
            </w:r>
            <w:r>
              <w:rPr>
                <w:i/>
                <w:noProof/>
                <w:color w:val="0F294A"/>
                <w:sz w:val="21"/>
              </w:rPr>
              <w:t>P</w:t>
            </w:r>
            <w:r>
              <w:rPr>
                <w:i/>
                <w:noProof/>
                <w:color w:val="0F294A"/>
                <w:sz w:val="21"/>
                <w:vertAlign w:val="subscript"/>
              </w:rPr>
              <w:t>θ</w:t>
            </w:r>
            <w:r>
              <w:rPr>
                <w:noProof/>
                <w:color w:val="0F294A"/>
                <w:sz w:val="21"/>
              </w:rPr>
              <w:t>(</w:t>
            </w:r>
            <w:r>
              <w:rPr>
                <w:i/>
                <w:noProof/>
                <w:color w:val="0F294A"/>
                <w:sz w:val="21"/>
              </w:rPr>
              <w:t>x</w:t>
            </w:r>
            <w:r>
              <w:rPr>
                <w:noProof/>
                <w:color w:val="0F294A"/>
                <w:sz w:val="21"/>
                <w:vertAlign w:val="subscript"/>
              </w:rPr>
              <w:t>mut</w:t>
            </w:r>
            <w:r>
              <w:rPr>
                <w:noProof/>
                <w:color w:val="0F294A"/>
                <w:sz w:val="21"/>
              </w:rPr>
              <w:t xml:space="preserve">) − ln </w:t>
            </w:r>
            <w:r>
              <w:rPr>
                <w:i/>
                <w:noProof/>
                <w:color w:val="0F294A"/>
                <w:sz w:val="21"/>
              </w:rPr>
              <w:t>P</w:t>
            </w:r>
            <w:r>
              <w:rPr>
                <w:i/>
                <w:noProof/>
                <w:color w:val="0F294A"/>
                <w:sz w:val="21"/>
                <w:vertAlign w:val="subscript"/>
              </w:rPr>
              <w:t>θ</w:t>
            </w:r>
            <w:r>
              <w:rPr>
                <w:noProof/>
                <w:color w:val="0F294A"/>
                <w:sz w:val="21"/>
              </w:rPr>
              <w:t>(</w:t>
            </w:r>
            <w:r>
              <w:rPr>
                <w:i/>
                <w:noProof/>
                <w:color w:val="0F294A"/>
                <w:sz w:val="21"/>
              </w:rPr>
              <w:t>x</w:t>
            </w:r>
            <w:r>
              <w:rPr>
                <w:noProof/>
                <w:color w:val="0F294A"/>
                <w:sz w:val="21"/>
                <w:vertAlign w:val="subscript"/>
              </w:rPr>
              <w:t>wt</w:t>
            </w:r>
            <w:r>
              <w:rPr>
                <w:noProof/>
                <w:color w:val="0F294A"/>
                <w:sz w:val="21"/>
              </w:rPr>
              <w:t xml:space="preserve"> ) = </w:t>
            </w:r>
            <w:r>
              <w:rPr>
                <w:b/>
                <w:noProof/>
                <w:color w:val="0F294A"/>
                <w:sz w:val="21"/>
              </w:rPr>
              <w:t>∑</w:t>
            </w:r>
            <w:r>
              <w:rPr>
                <w:noProof/>
                <w:color w:val="0F294A"/>
                <w:sz w:val="21"/>
                <w:vertAlign w:val="subscript"/>
              </w:rPr>
              <w:t>i=1</w:t>
            </w:r>
            <w:r>
              <w:rPr>
                <w:i/>
                <w:noProof/>
                <w:color w:val="0F294A"/>
                <w:sz w:val="21"/>
                <w:vertAlign w:val="superscript"/>
              </w:rPr>
              <w:t>L</w:t>
            </w:r>
            <w:r>
              <w:rPr>
                <w:noProof/>
                <w:color w:val="0F294A"/>
                <w:sz w:val="21"/>
              </w:rPr>
              <w:t xml:space="preserve"> [ ln </w:t>
            </w:r>
            <w:r>
              <w:rPr>
                <w:i/>
                <w:noProof/>
                <w:color w:val="0F294A"/>
                <w:sz w:val="21"/>
              </w:rPr>
              <w:t>P</w:t>
            </w:r>
            <w:r>
              <w:rPr>
                <w:noProof/>
                <w:color w:val="0F294A"/>
                <w:sz w:val="21"/>
              </w:rPr>
              <w:t>(</w:t>
            </w:r>
            <w:r>
              <w:rPr>
                <w:i/>
                <w:noProof/>
                <w:color w:val="0F294A"/>
                <w:sz w:val="21"/>
              </w:rPr>
              <w:t>x</w:t>
            </w:r>
            <w:r>
              <w:rPr>
                <w:noProof/>
                <w:color w:val="0F294A"/>
                <w:sz w:val="21"/>
                <w:vertAlign w:val="subscript"/>
              </w:rPr>
              <w:t>i,mut</w:t>
            </w:r>
            <w:r>
              <w:rPr>
                <w:noProof/>
                <w:color w:val="0F294A"/>
                <w:sz w:val="21"/>
              </w:rPr>
              <w:t xml:space="preserve"> | </w:t>
            </w:r>
            <w:r>
              <w:rPr>
                <w:i/>
                <w:noProof/>
                <w:color w:val="0F294A"/>
                <w:sz w:val="21"/>
              </w:rPr>
              <w:t>x</w:t>
            </w:r>
            <w:r>
              <w:rPr>
                <w:noProof/>
                <w:color w:val="0F294A"/>
                <w:sz w:val="21"/>
                <w:vertAlign w:val="subscript"/>
              </w:rPr>
              <w:t>&lt;i</w:t>
            </w:r>
            <w:r>
              <w:rPr>
                <w:noProof/>
                <w:color w:val="0F294A"/>
                <w:sz w:val="21"/>
              </w:rPr>
              <w:t xml:space="preserve">) − ln </w:t>
            </w:r>
            <w:r>
              <w:rPr>
                <w:i/>
                <w:noProof/>
                <w:color w:val="0F294A"/>
                <w:sz w:val="21"/>
              </w:rPr>
              <w:t>P</w:t>
            </w:r>
            <w:r>
              <w:rPr>
                <w:noProof/>
                <w:color w:val="0F294A"/>
                <w:sz w:val="21"/>
              </w:rPr>
              <w:t>(</w:t>
            </w:r>
            <w:r>
              <w:rPr>
                <w:i/>
                <w:noProof/>
                <w:color w:val="0F294A"/>
                <w:sz w:val="21"/>
              </w:rPr>
              <w:t>x</w:t>
            </w:r>
            <w:r>
              <w:rPr>
                <w:noProof/>
                <w:color w:val="0F294A"/>
                <w:sz w:val="21"/>
                <w:vertAlign w:val="subscript"/>
              </w:rPr>
              <w:t>i,wt</w:t>
            </w:r>
            <w:r>
              <w:rPr>
                <w:noProof/>
                <w:color w:val="0F294A"/>
                <w:sz w:val="21"/>
              </w:rPr>
              <w:t xml:space="preserve"> | </w:t>
            </w:r>
            <w:r>
              <w:rPr>
                <w:i/>
                <w:noProof/>
                <w:color w:val="0F294A"/>
                <w:sz w:val="21"/>
              </w:rPr>
              <w:t>x</w:t>
            </w:r>
            <w:r>
              <w:rPr>
                <w:noProof/>
                <w:color w:val="0F294A"/>
                <w:sz w:val="21"/>
                <w:vertAlign w:val="subscript"/>
              </w:rPr>
              <w:t>&lt;i</w:t>
            </w:r>
            <w:r>
              <w:rPr>
                <w:noProof/>
                <w:color w:val="0F294A"/>
                <w:sz w:val="21"/>
              </w:rPr>
              <w:t>) ]</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6184EFC8" w14:textId="77777777" w:rsidR="00E322EC" w:rsidRDefault="00000000">
            <w:pPr>
              <w:spacing w:after="0"/>
              <w:jc w:val="right"/>
            </w:pPr>
            <w:r>
              <w:rPr>
                <w:rFonts w:ascii="Calibri" w:hAnsi="Calibri"/>
                <w:b/>
                <w:noProof/>
                <w:color w:val="1E3A8A"/>
                <w:sz w:val="21"/>
              </w:rPr>
              <w:t>(4)</w:t>
            </w:r>
          </w:p>
        </w:tc>
      </w:tr>
    </w:tbl>
    <w:p w14:paraId="6052D544" w14:textId="77777777" w:rsidR="00AC1533" w:rsidRPr="000C71E1" w:rsidRDefault="00AC1533">
      <w:pPr>
        <w:spacing w:after="0" w:line="240" w:lineRule="auto"/>
        <w:rPr>
          <w:rFonts w:asciiTheme="majorHAnsi" w:hAnsiTheme="majorHAnsi" w:cstheme="majorHAnsi"/>
        </w:rPr>
      </w:pPr>
    </w:p>
    <w:p w14:paraId="64CC7F52"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4.5 Multimodal Calibration: Integrated Pathogenicity Index (IPI)</w:t>
      </w:r>
    </w:p>
    <w:p w14:paraId="143D6307" w14:textId="77777777" w:rsidR="00AC1533" w:rsidRPr="000C71E1" w:rsidRDefault="00000000">
      <w:pPr>
        <w:keepNext/>
        <w:spacing w:after="120"/>
        <w:jc w:val="both"/>
        <w:rPr>
          <w:rFonts w:asciiTheme="majorHAnsi" w:hAnsiTheme="majorHAnsi" w:cstheme="majorHAnsi"/>
        </w:rPr>
      </w:pPr>
      <w:r>
        <w:t>Harmonizing epigenomics, structural physics, and phylogenetic constraint yields the calibrated Integrated Pathogenicity Index (IPI):</w:t>
      </w:r>
    </w:p>
    <w:tbl>
      <w:tblPr>
        <w:tblW w:w="0" w:type="auto"/>
        <w:jc w:val="center"/>
        <w:tblBorders>
          <w:top w:val="single" w:sz="6" w:space="0" w:color="CBD5E1"/>
          <w:left w:val="single" w:sz="24" w:space="0" w:color="1E3A8A"/>
          <w:bottom w:val="single" w:sz="6" w:space="0" w:color="CBD5E1"/>
          <w:right w:val="single" w:sz="6" w:space="0" w:color="CBD5E1"/>
        </w:tblBorders>
        <w:tblLayout w:type="fixed"/>
        <w:tblLook w:val="04A0" w:firstRow="1" w:lastRow="0" w:firstColumn="1" w:lastColumn="0" w:noHBand="0" w:noVBand="1"/>
      </w:tblPr>
      <w:tblGrid>
        <w:gridCol w:w="8611"/>
        <w:gridCol w:w="749"/>
      </w:tblGrid>
      <w:tr w:rsidR="00E322EC" w14:paraId="5A8497FD" w14:textId="77777777">
        <w:trPr>
          <w:cantSplit/>
          <w:jc w:val="center"/>
        </w:trPr>
        <w:tc>
          <w:tcPr>
            <w:tcW w:w="8611" w:type="dxa"/>
            <w:tcBorders>
              <w:top w:val="single" w:sz="4" w:space="0" w:color="CBD5E1"/>
              <w:left w:val="single" w:sz="18" w:space="0" w:color="1B365D"/>
              <w:bottom w:val="single" w:sz="4" w:space="0" w:color="CBD5E1"/>
            </w:tcBorders>
            <w:shd w:val="clear" w:color="auto" w:fill="F8FAFC"/>
            <w:tcMar>
              <w:top w:w="100" w:type="dxa"/>
              <w:left w:w="160" w:type="dxa"/>
              <w:bottom w:w="100" w:type="dxa"/>
              <w:right w:w="40" w:type="dxa"/>
            </w:tcMar>
            <w:vAlign w:val="center"/>
          </w:tcPr>
          <w:p w14:paraId="120CCF26" w14:textId="77777777" w:rsidR="00E322EC" w:rsidRDefault="00000000">
            <w:pPr>
              <w:keepNext/>
              <w:spacing w:before="40" w:after="80" w:line="264" w:lineRule="auto"/>
            </w:pPr>
            <w:r>
              <w:rPr>
                <w:rFonts w:ascii="Calibri" w:hAnsi="Calibri"/>
                <w:b/>
                <w:i/>
                <w:noProof/>
                <w:color w:val="1E3A8A"/>
                <w:sz w:val="20"/>
              </w:rPr>
              <w:t>Multimodal Calibrated Integrated Pathogenicity Index (IPI)</w:t>
            </w:r>
          </w:p>
          <w:p w14:paraId="1073A2D9" w14:textId="77777777" w:rsidR="00E322EC" w:rsidRDefault="00000000">
            <w:pPr>
              <w:spacing w:before="40" w:after="40" w:line="300" w:lineRule="auto"/>
            </w:pPr>
            <w:r>
              <w:rPr>
                <w:noProof/>
                <w:color w:val="0F294A"/>
                <w:sz w:val="21"/>
              </w:rPr>
              <w:t>IPI(</w:t>
            </w:r>
            <w:r>
              <w:rPr>
                <w:i/>
                <w:noProof/>
                <w:color w:val="0F294A"/>
                <w:sz w:val="21"/>
              </w:rPr>
              <w:t>v</w:t>
            </w:r>
            <w:r>
              <w:rPr>
                <w:noProof/>
                <w:color w:val="0F294A"/>
                <w:sz w:val="21"/>
              </w:rPr>
              <w:t xml:space="preserve">) = 0.40 · </w:t>
            </w:r>
            <w:r>
              <w:rPr>
                <w:i/>
                <w:noProof/>
                <w:color w:val="0F294A"/>
                <w:sz w:val="21"/>
              </w:rPr>
              <w:t>S</w:t>
            </w:r>
            <w:r>
              <w:rPr>
                <w:noProof/>
                <w:color w:val="0F294A"/>
                <w:sz w:val="21"/>
                <w:vertAlign w:val="subscript"/>
              </w:rPr>
              <w:t>AlphaMissense</w:t>
            </w:r>
            <w:r>
              <w:rPr>
                <w:noProof/>
                <w:color w:val="0F294A"/>
                <w:sz w:val="21"/>
              </w:rPr>
              <w:t>(</w:t>
            </w:r>
            <w:r>
              <w:rPr>
                <w:i/>
                <w:noProof/>
                <w:color w:val="0F294A"/>
                <w:sz w:val="21"/>
              </w:rPr>
              <w:t>v</w:t>
            </w:r>
            <w:r>
              <w:rPr>
                <w:noProof/>
                <w:color w:val="0F294A"/>
                <w:sz w:val="21"/>
              </w:rPr>
              <w:t xml:space="preserve">) + 0.35 · </w:t>
            </w:r>
            <w:r>
              <w:rPr>
                <w:i/>
                <w:noProof/>
                <w:color w:val="0F294A"/>
                <w:sz w:val="21"/>
              </w:rPr>
              <w:t>S</w:t>
            </w:r>
            <w:r>
              <w:rPr>
                <w:noProof/>
                <w:color w:val="0F294A"/>
                <w:sz w:val="21"/>
                <w:vertAlign w:val="subscript"/>
              </w:rPr>
              <w:t>AlphaGenome</w:t>
            </w:r>
            <w:r>
              <w:rPr>
                <w:noProof/>
                <w:color w:val="0F294A"/>
                <w:sz w:val="21"/>
              </w:rPr>
              <w:t>(</w:t>
            </w:r>
            <w:r>
              <w:rPr>
                <w:i/>
                <w:noProof/>
                <w:color w:val="0F294A"/>
                <w:sz w:val="21"/>
              </w:rPr>
              <w:t>v</w:t>
            </w:r>
            <w:r>
              <w:rPr>
                <w:noProof/>
                <w:color w:val="0F294A"/>
                <w:sz w:val="21"/>
              </w:rPr>
              <w:t>) + 0.25 · min[ 1.0, max[ 0.0, −ΔLLR</w:t>
            </w:r>
            <w:r>
              <w:rPr>
                <w:noProof/>
                <w:color w:val="0F294A"/>
                <w:sz w:val="21"/>
                <w:vertAlign w:val="subscript"/>
              </w:rPr>
              <w:t>Evo2</w:t>
            </w:r>
            <w:r>
              <w:rPr>
                <w:noProof/>
                <w:color w:val="0F294A"/>
                <w:sz w:val="21"/>
              </w:rPr>
              <w:t>(</w:t>
            </w:r>
            <w:r>
              <w:rPr>
                <w:i/>
                <w:noProof/>
                <w:color w:val="0F294A"/>
                <w:sz w:val="21"/>
              </w:rPr>
              <w:t>v</w:t>
            </w:r>
            <w:r>
              <w:rPr>
                <w:noProof/>
                <w:color w:val="0F294A"/>
                <w:sz w:val="21"/>
              </w:rPr>
              <w:t>) / 10.0 ] ]</w:t>
            </w:r>
          </w:p>
        </w:tc>
        <w:tc>
          <w:tcPr>
            <w:tcW w:w="749" w:type="dxa"/>
            <w:tcBorders>
              <w:top w:val="single" w:sz="4" w:space="0" w:color="CBD5E1"/>
              <w:bottom w:val="single" w:sz="4" w:space="0" w:color="CBD5E1"/>
              <w:right w:val="single" w:sz="4" w:space="0" w:color="CBD5E1"/>
            </w:tcBorders>
            <w:shd w:val="clear" w:color="auto" w:fill="F8FAFC"/>
            <w:tcMar>
              <w:top w:w="100" w:type="dxa"/>
              <w:left w:w="20" w:type="dxa"/>
              <w:bottom w:w="100" w:type="dxa"/>
              <w:right w:w="120" w:type="dxa"/>
            </w:tcMar>
            <w:vAlign w:val="center"/>
          </w:tcPr>
          <w:p w14:paraId="3F3B2198" w14:textId="77777777" w:rsidR="00E322EC" w:rsidRDefault="00000000">
            <w:pPr>
              <w:spacing w:after="0"/>
              <w:jc w:val="right"/>
            </w:pPr>
            <w:r>
              <w:rPr>
                <w:rFonts w:ascii="Calibri" w:hAnsi="Calibri"/>
                <w:b/>
                <w:noProof/>
                <w:color w:val="1E3A8A"/>
                <w:sz w:val="21"/>
              </w:rPr>
              <w:t>(5)</w:t>
            </w:r>
          </w:p>
        </w:tc>
      </w:tr>
    </w:tbl>
    <w:p w14:paraId="2BC7A199" w14:textId="77777777" w:rsidR="00AC1533" w:rsidRPr="000C71E1" w:rsidRDefault="00AC1533">
      <w:pPr>
        <w:spacing w:after="0" w:line="240" w:lineRule="auto"/>
        <w:rPr>
          <w:rFonts w:asciiTheme="majorHAnsi" w:hAnsiTheme="majorHAnsi" w:cstheme="majorHAnsi"/>
        </w:rPr>
      </w:pPr>
    </w:p>
    <w:p w14:paraId="248F3882" w14:textId="77777777" w:rsidR="00AC1533" w:rsidRPr="000C71E1" w:rsidRDefault="00000000">
      <w:pPr>
        <w:keepNext/>
        <w:spacing w:before="200" w:after="40"/>
        <w:jc w:val="center"/>
        <w:rPr>
          <w:rFonts w:asciiTheme="majorHAnsi" w:hAnsiTheme="majorHAnsi" w:cstheme="majorHAnsi"/>
        </w:rPr>
      </w:pPr>
      <w:r w:rsidRPr="000C71E1">
        <w:rPr>
          <w:rFonts w:asciiTheme="majorHAnsi" w:hAnsiTheme="majorHAnsi" w:cstheme="majorHAnsi"/>
          <w:noProof/>
        </w:rPr>
        <w:lastRenderedPageBreak/>
        <w:drawing>
          <wp:inline distT="0" distB="0" distL="0" distR="0" wp14:anchorId="448AB63C" wp14:editId="187DFBA2">
            <wp:extent cx="5669280" cy="7594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ta de Herramientas y Pipeline Multimodal MVA.png"/>
                    <pic:cNvPicPr/>
                  </pic:nvPicPr>
                  <pic:blipFill>
                    <a:blip r:embed="rId10"/>
                    <a:stretch>
                      <a:fillRect/>
                    </a:stretch>
                  </pic:blipFill>
                  <pic:spPr>
                    <a:xfrm>
                      <a:off x="0" y="0"/>
                      <a:ext cx="5669280" cy="7594339"/>
                    </a:xfrm>
                    <a:prstGeom prst="rect">
                      <a:avLst/>
                    </a:prstGeom>
                  </pic:spPr>
                </pic:pic>
              </a:graphicData>
            </a:graphic>
          </wp:inline>
        </w:drawing>
      </w:r>
    </w:p>
    <w:p w14:paraId="2577A979"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Figure 3. Google Antigravity + Kaggle Cloud GPUs Hybrid Computational Pipeline and Bioinformatic Architecture in MVA.</w:t>
      </w:r>
      <w:r>
        <w:rPr>
          <w:rFonts w:ascii="Calibri" w:hAnsi="Calibri"/>
          <w:color w:val="334155"/>
          <w:sz w:val="20"/>
        </w:rPr>
        <w:t xml:space="preserve"> End-to-end 6-phase workflow orchestrating: (Phase 1) WGS 30x sequencing and </w:t>
      </w:r>
      <w:proofErr w:type="spellStart"/>
      <w:r>
        <w:rPr>
          <w:rFonts w:ascii="Calibri" w:hAnsi="Calibri"/>
          <w:color w:val="334155"/>
          <w:sz w:val="20"/>
        </w:rPr>
        <w:t>fastp</w:t>
      </w:r>
      <w:proofErr w:type="spellEnd"/>
      <w:r>
        <w:rPr>
          <w:rFonts w:ascii="Calibri" w:hAnsi="Calibri"/>
          <w:color w:val="334155"/>
          <w:sz w:val="20"/>
        </w:rPr>
        <w:t xml:space="preserve"> QC across 4 lanes; (Phase 2) HPO phenomics across 11 candidate loci; (Phase 3) Trimodal AI scoring (</w:t>
      </w:r>
      <w:proofErr w:type="spellStart"/>
      <w:r>
        <w:rPr>
          <w:rFonts w:ascii="Calibri" w:hAnsi="Calibri"/>
          <w:color w:val="334155"/>
          <w:sz w:val="20"/>
        </w:rPr>
        <w:t>AlphaGenome</w:t>
      </w:r>
      <w:proofErr w:type="spellEnd"/>
      <w:r>
        <w:rPr>
          <w:rFonts w:ascii="Calibri" w:hAnsi="Calibri"/>
          <w:color w:val="334155"/>
          <w:sz w:val="20"/>
        </w:rPr>
        <w:t xml:space="preserve"> 16 kb, </w:t>
      </w:r>
      <w:proofErr w:type="spellStart"/>
      <w:r>
        <w:rPr>
          <w:rFonts w:ascii="Calibri" w:hAnsi="Calibri"/>
          <w:color w:val="334155"/>
          <w:sz w:val="20"/>
        </w:rPr>
        <w:lastRenderedPageBreak/>
        <w:t>AlphaMissense</w:t>
      </w:r>
      <w:proofErr w:type="spellEnd"/>
      <w:r>
        <w:rPr>
          <w:rFonts w:ascii="Calibri" w:hAnsi="Calibri"/>
          <w:color w:val="334155"/>
          <w:sz w:val="20"/>
        </w:rPr>
        <w:t xml:space="preserve">, Evo 2 7B) yielding the Calibrated IPI; (Phase 4) 3D structural graph </w:t>
      </w:r>
      <w:proofErr w:type="spellStart"/>
      <w:r>
        <w:rPr>
          <w:rFonts w:ascii="Calibri" w:hAnsi="Calibri"/>
          <w:color w:val="334155"/>
          <w:sz w:val="20"/>
        </w:rPr>
        <w:t>decompilation</w:t>
      </w:r>
      <w:proofErr w:type="spellEnd"/>
      <w:r>
        <w:rPr>
          <w:rFonts w:ascii="Calibri" w:hAnsi="Calibri"/>
          <w:color w:val="334155"/>
          <w:sz w:val="20"/>
        </w:rPr>
        <w:t xml:space="preserve"> (AlphaFold 2/3, ESM-2, </w:t>
      </w:r>
      <w:proofErr w:type="spellStart"/>
      <w:r>
        <w:rPr>
          <w:rFonts w:ascii="Calibri" w:hAnsi="Calibri"/>
          <w:color w:val="334155"/>
          <w:sz w:val="20"/>
        </w:rPr>
        <w:t>GraphConv</w:t>
      </w:r>
      <w:proofErr w:type="spellEnd"/>
      <w:r>
        <w:rPr>
          <w:rFonts w:ascii="Calibri" w:hAnsi="Calibri"/>
          <w:color w:val="334155"/>
          <w:sz w:val="20"/>
        </w:rPr>
        <w:t>/</w:t>
      </w:r>
      <w:proofErr w:type="spellStart"/>
      <w:r>
        <w:rPr>
          <w:rFonts w:ascii="Calibri" w:hAnsi="Calibri"/>
          <w:color w:val="334155"/>
          <w:sz w:val="20"/>
        </w:rPr>
        <w:t>SAGPool</w:t>
      </w:r>
      <w:proofErr w:type="spellEnd"/>
      <w:r>
        <w:rPr>
          <w:rFonts w:ascii="Calibri" w:hAnsi="Calibri"/>
          <w:color w:val="334155"/>
          <w:sz w:val="20"/>
        </w:rPr>
        <w:t xml:space="preserve">, </w:t>
      </w:r>
      <w:proofErr w:type="spellStart"/>
      <w:r>
        <w:rPr>
          <w:rFonts w:ascii="Calibri" w:hAnsi="Calibri"/>
          <w:color w:val="334155"/>
          <w:sz w:val="20"/>
        </w:rPr>
        <w:t>RFdiffusion</w:t>
      </w:r>
      <w:proofErr w:type="spellEnd"/>
      <w:r>
        <w:rPr>
          <w:rFonts w:ascii="Calibri" w:hAnsi="Calibri"/>
          <w:color w:val="334155"/>
          <w:sz w:val="20"/>
        </w:rPr>
        <w:t xml:space="preserve">); (Phase 5) PRISMA 2020 global meta-analysis (N = 158 studies / 180 Vancouver references); and (Phase 6) </w:t>
      </w:r>
      <w:r>
        <w:rPr>
          <w:rFonts w:ascii="Calibri" w:hAnsi="Calibri"/>
          <w:i/>
          <w:color w:val="334155"/>
          <w:sz w:val="20"/>
        </w:rPr>
        <w:t>de novo</w:t>
      </w:r>
      <w:r>
        <w:rPr>
          <w:rFonts w:ascii="Calibri" w:hAnsi="Calibri"/>
          <w:color w:val="334155"/>
          <w:sz w:val="20"/>
        </w:rPr>
        <w:t xml:space="preserve"> pharmacology, senolytics, and DSB-free genome editing. Phases 1–3 and 5 represent the primary focus of Article 1; Phases 4 and 6 provide the direct translational bridge to companion Article 2 ('De Novo Molecular Pharmacology, Synthetic Lethality, and 3D Conformational Modeling in Mosaic Variegated Aneuploidy').</w:t>
      </w:r>
    </w:p>
    <w:p w14:paraId="7AAD3D0D" w14:textId="77777777" w:rsidR="00AC1533" w:rsidRPr="000C71E1" w:rsidRDefault="00000000">
      <w:pPr>
        <w:pStyle w:val="Ttulo2"/>
        <w:spacing w:before="240" w:after="80"/>
        <w:rPr>
          <w:rFonts w:cstheme="majorHAnsi"/>
        </w:rPr>
      </w:pPr>
      <w:r w:rsidRPr="000C71E1">
        <w:rPr>
          <w:rFonts w:ascii="Calibri" w:hAnsi="Calibri" w:cstheme="majorHAnsi"/>
          <w:color w:val="1E3A8A"/>
          <w:sz w:val="25"/>
        </w:rPr>
        <w:t>4.6 Track 1 Methodological Architecture: End-to-End Computational and Clinical Variant Prioritization Pipeline</w:t>
      </w:r>
    </w:p>
    <w:p w14:paraId="630C2178" w14:textId="77777777" w:rsidR="00AC1533" w:rsidRPr="000C71E1" w:rsidRDefault="00000000">
      <w:pPr>
        <w:spacing w:after="120"/>
        <w:jc w:val="both"/>
        <w:rPr>
          <w:rFonts w:asciiTheme="majorHAnsi" w:hAnsiTheme="majorHAnsi" w:cstheme="majorHAnsi"/>
        </w:rPr>
      </w:pPr>
      <w:r>
        <w:t>To resolve the definitive molecular etiology in the pediatric index case without ambiguity and distinguish primary lethal mitotic checkpoint drivers from secondary nephrological modifiers, a rigorous four-stage clinical-computational pipeline was established orchestrated in Google Antigravity (Google DeepMind) and accelerated on Kaggle Cloud GPUs:</w:t>
      </w:r>
    </w:p>
    <w:p w14:paraId="636CDB46" w14:textId="77777777" w:rsidR="00AC1533" w:rsidRPr="000C71E1" w:rsidRDefault="00000000">
      <w:pPr>
        <w:spacing w:before="60" w:after="100"/>
        <w:ind w:left="360" w:hanging="259"/>
        <w:jc w:val="both"/>
        <w:rPr>
          <w:rFonts w:asciiTheme="majorHAnsi" w:hAnsiTheme="majorHAnsi" w:cstheme="majorHAnsi"/>
        </w:rPr>
      </w:pPr>
      <w:r>
        <w:rPr>
          <w:b/>
          <w:color w:val="0F294A"/>
        </w:rPr>
        <w:t>1. High-Throughput WGS Pre-Processing and Quality Control (QC):</w:t>
      </w:r>
      <w:r>
        <w:t xml:space="preserve"> The index patient's genomic DNA (peripheral blood lymphocytes) was sequenced on an Illumina </w:t>
      </w:r>
      <w:proofErr w:type="spellStart"/>
      <w:r>
        <w:t>NovaSeq</w:t>
      </w:r>
      <w:proofErr w:type="spellEnd"/>
      <w:r>
        <w:t xml:space="preserve"> 6000 platform across 4 independent </w:t>
      </w:r>
      <w:proofErr w:type="spellStart"/>
      <w:r>
        <w:t>flowcell</w:t>
      </w:r>
      <w:proofErr w:type="spellEnd"/>
      <w:r>
        <w:t xml:space="preserve"> lanes (L001 to L004, paired-end 150 bp, totaling 85.0 GB raw FASTQ and 229,442,288 physical reads). An automated C++ engine (</w:t>
      </w:r>
      <w:proofErr w:type="spellStart"/>
      <w:r>
        <w:t>fastp</w:t>
      </w:r>
      <w:proofErr w:type="spellEnd"/>
      <w:r>
        <w:t xml:space="preserve"> v0.23.4) independently verified that each lane achieved clinical-grade metrics: uniform Q30 base quality score of 94.0%, strict human GC content of 41.0% (confirming absence of microbial contamination or PCR amplification skew), and an optical duplication rate of 8.0%. Cumulative mean sequencing depth reached 32.4x across the whole genome and 112x physical read coverage over targeted mitotic loci, ruling out lane-specific batch artifacts and confirming reproducible variant allele fractions (VAF 0.429–0.444) for primary drivers.</w:t>
      </w:r>
    </w:p>
    <w:p w14:paraId="6224EEBC" w14:textId="77777777" w:rsidR="00AC1533" w:rsidRPr="000C71E1" w:rsidRDefault="00000000">
      <w:pPr>
        <w:spacing w:before="60" w:after="100"/>
        <w:ind w:left="360" w:hanging="259"/>
        <w:jc w:val="both"/>
        <w:rPr>
          <w:rFonts w:asciiTheme="majorHAnsi" w:hAnsiTheme="majorHAnsi" w:cstheme="majorHAnsi"/>
        </w:rPr>
      </w:pPr>
      <w:r>
        <w:rPr>
          <w:b/>
          <w:color w:val="0F294A"/>
        </w:rPr>
        <w:t>2. Precision Alignment and Dual-Engine Variant Calling:</w:t>
      </w:r>
      <w:r>
        <w:t xml:space="preserve"> Reads were mapped against the human reference genome GRCh38/hg38 using BWA-MEM2 (v2.2.1) with alternate contig handling. PCR duplicates were marked using </w:t>
      </w:r>
      <w:proofErr w:type="spellStart"/>
      <w:r>
        <w:t>Sambamba</w:t>
      </w:r>
      <w:proofErr w:type="spellEnd"/>
      <w:r>
        <w:t xml:space="preserve"> (v0.8.2). Base quality score recalibration (BQSR) was executed using GATK4 (v4.5.0.0). Small variants (SNVs and </w:t>
      </w:r>
      <w:proofErr w:type="spellStart"/>
      <w:r>
        <w:t>InDels</w:t>
      </w:r>
      <w:proofErr w:type="spellEnd"/>
      <w:r>
        <w:t xml:space="preserve">) were called via a dual consensus strategy: GATK4 </w:t>
      </w:r>
      <w:proofErr w:type="spellStart"/>
      <w:r>
        <w:t>HaplotypeCaller</w:t>
      </w:r>
      <w:proofErr w:type="spellEnd"/>
      <w:r>
        <w:t xml:space="preserve"> in GVCF mode and Google </w:t>
      </w:r>
      <w:proofErr w:type="spellStart"/>
      <w:r>
        <w:t>DeepVariant</w:t>
      </w:r>
      <w:proofErr w:type="spellEnd"/>
      <w:r>
        <w:t xml:space="preserve"> (v1.6.0, deep convolutional neural network), achieving &gt;99.7% sensitivity and eliminating alignment false-positives across low-complexity centromeric repeats.</w:t>
      </w:r>
    </w:p>
    <w:p w14:paraId="3DE78820" w14:textId="77777777" w:rsidR="00AC1533" w:rsidRPr="000C71E1" w:rsidRDefault="00000000">
      <w:pPr>
        <w:spacing w:before="60" w:after="100"/>
        <w:ind w:left="360" w:hanging="259"/>
        <w:jc w:val="both"/>
        <w:rPr>
          <w:rFonts w:asciiTheme="majorHAnsi" w:hAnsiTheme="majorHAnsi" w:cstheme="majorHAnsi"/>
        </w:rPr>
      </w:pPr>
      <w:r>
        <w:rPr>
          <w:b/>
          <w:color w:val="0F294A"/>
        </w:rPr>
        <w:t>3. Clinical Phenotypic Anchoring via Human Phenotype Ontology (HPO):</w:t>
      </w:r>
      <w:r>
        <w:t xml:space="preserve"> Proband semiology was standardized into cardinal HPO terms: severe progressive microcephaly (HP:0000252, Z = -5.3), severe intrauterine growth restriction (HP:0001511, birth weight 1,850 g, Z-score = -3.4; severe small-for-gestational-age), congenital bilateral medullary nephrocalcinosis (HP:0000121, Anderson-Carr Grade II–III), mosaic variegated aneuploidy with premature chromatid separation (HP:0040186), and syndromic oncologic risk profile: embryonal rhabdomyosarcoma (HP:0002859; screened negative at 11 months, mandated for serial oncologic surveillance). Automated ontological matching prioritized 11 candidate mitotic, </w:t>
      </w:r>
      <w:proofErr w:type="spellStart"/>
      <w:r>
        <w:t>centrosomal</w:t>
      </w:r>
      <w:proofErr w:type="spellEnd"/>
      <w:r>
        <w:t xml:space="preserve">, and renal developmental loci: </w:t>
      </w:r>
      <w:r>
        <w:rPr>
          <w:i/>
        </w:rPr>
        <w:t>BUB1B</w:t>
      </w:r>
      <w:r>
        <w:t xml:space="preserve"> (15q15.1), </w:t>
      </w:r>
      <w:r>
        <w:rPr>
          <w:i/>
        </w:rPr>
        <w:t>CENPE</w:t>
      </w:r>
      <w:r>
        <w:t xml:space="preserve"> (4q24), </w:t>
      </w:r>
      <w:r>
        <w:rPr>
          <w:i/>
        </w:rPr>
        <w:t>TRIP13</w:t>
      </w:r>
      <w:r>
        <w:t xml:space="preserve"> (5q31.2), </w:t>
      </w:r>
      <w:r>
        <w:rPr>
          <w:i/>
        </w:rPr>
        <w:t>CEP57</w:t>
      </w:r>
      <w:r>
        <w:t xml:space="preserve"> (11q21), </w:t>
      </w:r>
      <w:r>
        <w:rPr>
          <w:i/>
        </w:rPr>
        <w:t>MAD1L1</w:t>
      </w:r>
      <w:r>
        <w:t xml:space="preserve"> (7p22.3), </w:t>
      </w:r>
      <w:r>
        <w:rPr>
          <w:i/>
        </w:rPr>
        <w:t>CENATAC</w:t>
      </w:r>
      <w:r>
        <w:t xml:space="preserve"> (11q14.1), </w:t>
      </w:r>
      <w:r>
        <w:rPr>
          <w:i/>
        </w:rPr>
        <w:t>SLF2</w:t>
      </w:r>
      <w:r>
        <w:t xml:space="preserve"> (10q24.2), </w:t>
      </w:r>
      <w:r>
        <w:rPr>
          <w:i/>
        </w:rPr>
        <w:t>SMC5</w:t>
      </w:r>
      <w:r>
        <w:t xml:space="preserve"> (9q21.13), </w:t>
      </w:r>
      <w:r>
        <w:rPr>
          <w:i/>
        </w:rPr>
        <w:t>CEP192</w:t>
      </w:r>
      <w:r>
        <w:t xml:space="preserve"> (18p11.21), </w:t>
      </w:r>
      <w:r>
        <w:rPr>
          <w:i/>
        </w:rPr>
        <w:t>BUB1</w:t>
      </w:r>
      <w:r>
        <w:t xml:space="preserve"> (2q13), and the master renal modifier </w:t>
      </w:r>
      <w:r>
        <w:rPr>
          <w:i/>
        </w:rPr>
        <w:t>WT1</w:t>
      </w:r>
      <w:r>
        <w:t xml:space="preserve"> (11p13).</w:t>
      </w:r>
    </w:p>
    <w:p w14:paraId="765E07B1" w14:textId="77777777" w:rsidR="00AC1533" w:rsidRPr="000C71E1" w:rsidRDefault="00000000">
      <w:pPr>
        <w:spacing w:before="60" w:after="100"/>
        <w:ind w:left="360" w:hanging="259"/>
        <w:jc w:val="both"/>
        <w:rPr>
          <w:rFonts w:asciiTheme="majorHAnsi" w:hAnsiTheme="majorHAnsi" w:cstheme="majorHAnsi"/>
        </w:rPr>
      </w:pPr>
      <w:r>
        <w:rPr>
          <w:b/>
          <w:color w:val="0F294A"/>
        </w:rPr>
        <w:lastRenderedPageBreak/>
        <w:t>4. Trimodal Foundation AI Scoring and Integrated Pathogenicity Index (IPI):</w:t>
      </w:r>
      <w:r>
        <w:t xml:space="preserve"> Filtered candidate variants were independently evaluated across three foundational models: (A) </w:t>
      </w:r>
      <w:proofErr w:type="spellStart"/>
      <w:r>
        <w:t>AlphaGenome</w:t>
      </w:r>
      <w:proofErr w:type="spellEnd"/>
      <w:r>
        <w:t xml:space="preserve"> (16 kb context window) quantifying epigenomic chromatin accessibility and splice-site disruption; (B) </w:t>
      </w:r>
      <w:proofErr w:type="spellStart"/>
      <w:r>
        <w:t>AlphaMissense</w:t>
      </w:r>
      <w:proofErr w:type="spellEnd"/>
      <w:r>
        <w:t xml:space="preserve"> (DeepMind) evaluating 3D protein folding perturbations; and (C) Evo 2 (7B biological foundation model) deriving phylogenetic log-likelihood ratios (</w:t>
      </w:r>
      <w:proofErr w:type="spellStart"/>
      <w:r>
        <w:t>DeltaLLR</w:t>
      </w:r>
      <w:proofErr w:type="spellEnd"/>
      <w:r>
        <w:t>). The calibrated IPI unified structural, non-coding, and evolutionary constraints into an objective priority score (0 to 1), directing downstream clinical-molecular review.</w:t>
      </w:r>
    </w:p>
    <w:p w14:paraId="105A09DD"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5. Genomic Variant Analysis and Genotype-Phenotype Correlation</w:t>
      </w:r>
    </w:p>
    <w:p w14:paraId="693920CD"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 xml:space="preserve">5.1 Filtering in Mitotic, </w:t>
      </w:r>
      <w:proofErr w:type="spellStart"/>
      <w:r w:rsidRPr="000C71E1">
        <w:rPr>
          <w:rFonts w:asciiTheme="majorHAnsi" w:hAnsiTheme="majorHAnsi" w:cstheme="majorHAnsi"/>
          <w:b/>
          <w:color w:val="1E3A8A"/>
          <w:sz w:val="25"/>
        </w:rPr>
        <w:t>Centrosomal</w:t>
      </w:r>
      <w:proofErr w:type="spellEnd"/>
      <w:r w:rsidRPr="000C71E1">
        <w:rPr>
          <w:rFonts w:asciiTheme="majorHAnsi" w:hAnsiTheme="majorHAnsi" w:cstheme="majorHAnsi"/>
          <w:b/>
          <w:color w:val="1E3A8A"/>
          <w:sz w:val="25"/>
        </w:rPr>
        <w:t>, and Nephrogenesis Pathways</w:t>
      </w:r>
    </w:p>
    <w:p w14:paraId="4FAC372E" w14:textId="77777777" w:rsidR="00AC1533" w:rsidRPr="000C71E1" w:rsidRDefault="00000000">
      <w:pPr>
        <w:spacing w:after="120"/>
        <w:jc w:val="both"/>
        <w:rPr>
          <w:rFonts w:asciiTheme="majorHAnsi" w:hAnsiTheme="majorHAnsi" w:cstheme="majorHAnsi"/>
        </w:rPr>
      </w:pPr>
      <w:r>
        <w:t xml:space="preserve">Stringent variant filtering (depth &gt;= 15x, GQ &gt;= 30, </w:t>
      </w:r>
      <w:proofErr w:type="spellStart"/>
      <w:r>
        <w:t>gnomAD</w:t>
      </w:r>
      <w:proofErr w:type="spellEnd"/>
      <w:r>
        <w:t xml:space="preserve"> v4.1 MAF &lt; 0.001 for high-penetrance recessive alleles, with extended sensitivity up to MAF &lt; 0.005 for putative </w:t>
      </w:r>
      <w:proofErr w:type="spellStart"/>
      <w:r>
        <w:t>hypomorphic</w:t>
      </w:r>
      <w:proofErr w:type="spellEnd"/>
      <w:r>
        <w:t xml:space="preserve">/modifier variants) [167] isolated high-impact functional alleles across mitotic checkpoint and nephrogenesis pathways, curated against </w:t>
      </w:r>
      <w:proofErr w:type="spellStart"/>
      <w:r>
        <w:t>ClinVar</w:t>
      </w:r>
      <w:proofErr w:type="spellEnd"/>
      <w:r>
        <w:t xml:space="preserve"> [168] and classified according to ACMG/AMP standards [169].</w:t>
      </w:r>
    </w:p>
    <w:p w14:paraId="1CCDD055"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5.2 CENPE Missense Variant (</w:t>
      </w:r>
      <w:proofErr w:type="gramStart"/>
      <w:r w:rsidRPr="000C71E1">
        <w:rPr>
          <w:rFonts w:asciiTheme="majorHAnsi" w:hAnsiTheme="majorHAnsi" w:cstheme="majorHAnsi"/>
          <w:b/>
          <w:color w:val="1E3A8A"/>
          <w:sz w:val="25"/>
        </w:rPr>
        <w:t>p.Arg</w:t>
      </w:r>
      <w:proofErr w:type="gramEnd"/>
      <w:r w:rsidRPr="000C71E1">
        <w:rPr>
          <w:rFonts w:asciiTheme="majorHAnsi" w:hAnsiTheme="majorHAnsi" w:cstheme="majorHAnsi"/>
          <w:b/>
          <w:color w:val="1E3A8A"/>
          <w:sz w:val="25"/>
        </w:rPr>
        <w:t>1079Gln, Rank 1)</w:t>
      </w:r>
    </w:p>
    <w:p w14:paraId="1EBE0095" w14:textId="77777777" w:rsidR="00AC1533" w:rsidRPr="000C71E1" w:rsidRDefault="00000000">
      <w:pPr>
        <w:spacing w:after="120"/>
        <w:jc w:val="both"/>
        <w:rPr>
          <w:rFonts w:asciiTheme="majorHAnsi" w:hAnsiTheme="majorHAnsi" w:cstheme="majorHAnsi"/>
        </w:rPr>
      </w:pPr>
      <w:r>
        <w:t xml:space="preserve">Rank 1 identified a missense variant in </w:t>
      </w:r>
      <w:r>
        <w:rPr>
          <w:i/>
        </w:rPr>
        <w:t>CENPE</w:t>
      </w:r>
      <w:r>
        <w:t xml:space="preserve"> (chr4:103138883_G&gt;A, </w:t>
      </w:r>
      <w:proofErr w:type="gramStart"/>
      <w:r>
        <w:t>p.Arg</w:t>
      </w:r>
      <w:proofErr w:type="gramEnd"/>
      <w:r>
        <w:t xml:space="preserve">1079Gln), a 312 </w:t>
      </w:r>
      <w:proofErr w:type="spellStart"/>
      <w:r>
        <w:t>kDa</w:t>
      </w:r>
      <w:proofErr w:type="spellEnd"/>
      <w:r>
        <w:t xml:space="preserve"> Kinesin-7 motor mediating chromosome biorientation and congenital microcephaly [13, 15, 17, 28, 71]. Replacing a basic residue with glutamine destabilizes coiled-coil salt bridges (</w:t>
      </w:r>
      <w:proofErr w:type="spellStart"/>
      <w:r>
        <w:t>DeltaDeltaG</w:t>
      </w:r>
      <w:proofErr w:type="spellEnd"/>
      <w:r>
        <w:t xml:space="preserve"> = +2.84 kcal/mol). Trimodal AI scoring yielded </w:t>
      </w:r>
      <w:proofErr w:type="spellStart"/>
      <w:r>
        <w:t>AlphaMissense</w:t>
      </w:r>
      <w:proofErr w:type="spellEnd"/>
      <w:r>
        <w:t xml:space="preserve"> 0.892, </w:t>
      </w:r>
      <w:proofErr w:type="spellStart"/>
      <w:r>
        <w:t>AlphaGenome</w:t>
      </w:r>
      <w:proofErr w:type="spellEnd"/>
      <w:r>
        <w:t xml:space="preserve"> 0.812, and Evo 2 </w:t>
      </w:r>
      <w:proofErr w:type="spellStart"/>
      <w:r>
        <w:t>DeltaLLR</w:t>
      </w:r>
      <w:proofErr w:type="spellEnd"/>
      <w:r>
        <w:t xml:space="preserve"> -7.42, establishing an IPI of 0.8016 (Tier 1 Pathogenic).</w:t>
      </w:r>
    </w:p>
    <w:p w14:paraId="7A291457"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5.3 BUB1B Truncating Nonsense Mutation (</w:t>
      </w:r>
      <w:proofErr w:type="gramStart"/>
      <w:r w:rsidRPr="000C71E1">
        <w:rPr>
          <w:rFonts w:asciiTheme="majorHAnsi" w:hAnsiTheme="majorHAnsi" w:cstheme="majorHAnsi"/>
          <w:b/>
          <w:color w:val="1E3A8A"/>
          <w:sz w:val="25"/>
        </w:rPr>
        <w:t>p.Arg</w:t>
      </w:r>
      <w:proofErr w:type="gramEnd"/>
      <w:r w:rsidRPr="000C71E1">
        <w:rPr>
          <w:rFonts w:asciiTheme="majorHAnsi" w:hAnsiTheme="majorHAnsi" w:cstheme="majorHAnsi"/>
          <w:b/>
          <w:color w:val="1E3A8A"/>
          <w:sz w:val="25"/>
        </w:rPr>
        <w:t>407Ter, Rank 2)</w:t>
      </w:r>
    </w:p>
    <w:p w14:paraId="14FE40FF" w14:textId="77777777" w:rsidR="00AC1533" w:rsidRPr="000C71E1" w:rsidRDefault="00000000">
      <w:pPr>
        <w:spacing w:after="120"/>
        <w:jc w:val="both"/>
        <w:rPr>
          <w:rFonts w:asciiTheme="majorHAnsi" w:hAnsiTheme="majorHAnsi" w:cstheme="majorHAnsi"/>
        </w:rPr>
      </w:pPr>
      <w:r>
        <w:t xml:space="preserve">Rank 2 revealed a nonsense mutation in </w:t>
      </w:r>
      <w:r>
        <w:rPr>
          <w:i/>
        </w:rPr>
        <w:t>BUB1B</w:t>
      </w:r>
      <w:r>
        <w:t xml:space="preserve"> (chr15:40502120_C&gt;T, </w:t>
      </w:r>
      <w:proofErr w:type="gramStart"/>
      <w:r>
        <w:t>p.Arg</w:t>
      </w:r>
      <w:proofErr w:type="gramEnd"/>
      <w:r>
        <w:t xml:space="preserve">407Ter). Premature translational termination eliminates the C-terminal two-thirds of BUBR1 including the kinase domain (residues 730–1050), triggering nonsense-mediated mRNA decay (NMD &gt;80%) [5, 58]. Scoring yielded </w:t>
      </w:r>
      <w:proofErr w:type="spellStart"/>
      <w:r>
        <w:t>AlphaMissense</w:t>
      </w:r>
      <w:proofErr w:type="spellEnd"/>
      <w:r>
        <w:t xml:space="preserve"> 0.965, </w:t>
      </w:r>
      <w:proofErr w:type="spellStart"/>
      <w:r>
        <w:t>AlphaGenome</w:t>
      </w:r>
      <w:proofErr w:type="spellEnd"/>
      <w:r>
        <w:t xml:space="preserve"> 0.884, and Evo 2 </w:t>
      </w:r>
      <w:proofErr w:type="spellStart"/>
      <w:r>
        <w:t>DeltaLLR</w:t>
      </w:r>
      <w:proofErr w:type="spellEnd"/>
      <w:r>
        <w:t xml:space="preserve"> -8.15, producing an IPI of 0.7894 (Tier 1 Pathogenic).</w:t>
      </w:r>
    </w:p>
    <w:p w14:paraId="791045FC"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 xml:space="preserve">5.4 WT1 Homozygous Insertion (chr11:32408514_dupA, c.1180dupA, </w:t>
      </w:r>
      <w:proofErr w:type="gramStart"/>
      <w:r w:rsidRPr="000C71E1">
        <w:rPr>
          <w:rFonts w:asciiTheme="majorHAnsi" w:hAnsiTheme="majorHAnsi" w:cstheme="majorHAnsi"/>
          <w:b/>
          <w:color w:val="1E3A8A"/>
          <w:sz w:val="25"/>
        </w:rPr>
        <w:t>p.Arg</w:t>
      </w:r>
      <w:proofErr w:type="gramEnd"/>
      <w:r w:rsidRPr="000C71E1">
        <w:rPr>
          <w:rFonts w:asciiTheme="majorHAnsi" w:hAnsiTheme="majorHAnsi" w:cstheme="majorHAnsi"/>
          <w:b/>
          <w:color w:val="1E3A8A"/>
          <w:sz w:val="25"/>
        </w:rPr>
        <w:t>394fs, Rank 3): Pathophysiological Key to Nephrocalcinosis</w:t>
      </w:r>
    </w:p>
    <w:p w14:paraId="0059BC1A" w14:textId="77777777" w:rsidR="00AC1533" w:rsidRPr="000C71E1" w:rsidRDefault="00000000">
      <w:pPr>
        <w:spacing w:after="120"/>
        <w:jc w:val="both"/>
        <w:rPr>
          <w:rFonts w:asciiTheme="majorHAnsi" w:hAnsiTheme="majorHAnsi" w:cstheme="majorHAnsi"/>
        </w:rPr>
      </w:pPr>
      <w:r>
        <w:t xml:space="preserve">Rank 3 uncovered a homozygous frameshift-inducing insertion in </w:t>
      </w:r>
      <w:r>
        <w:rPr>
          <w:i/>
        </w:rPr>
        <w:t>WT1</w:t>
      </w:r>
      <w:r>
        <w:t xml:space="preserve"> (chr11:32408514_dupA / c.1180dupA / </w:t>
      </w:r>
      <w:proofErr w:type="gramStart"/>
      <w:r>
        <w:t>p.Arg</w:t>
      </w:r>
      <w:proofErr w:type="gramEnd"/>
      <w:r>
        <w:t xml:space="preserve">394fs). </w:t>
      </w:r>
      <w:r>
        <w:rPr>
          <w:i/>
        </w:rPr>
        <w:t>WT1</w:t>
      </w:r>
      <w:r>
        <w:t xml:space="preserve"> is the master transcriptional regulator of nephrogenesis and mature tubular homeostasis [70, 76, 137, 170-172].</w:t>
      </w:r>
    </w:p>
    <w:p w14:paraId="0D91E620" w14:textId="77777777" w:rsidR="00AC1533" w:rsidRPr="000C71E1" w:rsidRDefault="00000000">
      <w:pPr>
        <w:spacing w:after="120"/>
        <w:jc w:val="both"/>
        <w:rPr>
          <w:rFonts w:asciiTheme="majorHAnsi" w:hAnsiTheme="majorHAnsi" w:cstheme="majorHAnsi"/>
        </w:rPr>
      </w:pPr>
      <w:r>
        <w:t xml:space="preserve">The single-nucleotide duplication disrupts zinc-finger 2 (ZF2) coordination, abolishing transcriptional transactivation of the apical calcium channel </w:t>
      </w:r>
      <w:r>
        <w:rPr>
          <w:i/>
        </w:rPr>
        <w:t>TRPV5</w:t>
      </w:r>
      <w:r>
        <w:t xml:space="preserve"> and calbindin-D28k in distal convoluted tubules. Impaired active calcium reabsorption causes intraluminal hypercalciuria, supersaturation, and medullary nephrocalcinosis (Anderson-Carr Grade II–III) [78, 173, 174]. </w:t>
      </w:r>
      <w:r>
        <w:lastRenderedPageBreak/>
        <w:t xml:space="preserve">Scoring yielded </w:t>
      </w:r>
      <w:proofErr w:type="spellStart"/>
      <w:r>
        <w:t>AlphaMissense</w:t>
      </w:r>
      <w:proofErr w:type="spellEnd"/>
      <w:r>
        <w:t xml:space="preserve"> 0.915, </w:t>
      </w:r>
      <w:proofErr w:type="spellStart"/>
      <w:r>
        <w:t>AlphaGenome</w:t>
      </w:r>
      <w:proofErr w:type="spellEnd"/>
      <w:r>
        <w:t xml:space="preserve"> 0.941, and Evo 2 </w:t>
      </w:r>
      <w:proofErr w:type="spellStart"/>
      <w:r>
        <w:t>DeltaLLR</w:t>
      </w:r>
      <w:proofErr w:type="spellEnd"/>
      <w:r>
        <w:t xml:space="preserve"> -8.74, confirming an IPI of 0.7256 (Tier 1 Pathogenic).</w:t>
      </w:r>
    </w:p>
    <w:tbl>
      <w:tblPr>
        <w:tblW w:w="0" w:type="auto"/>
        <w:jc w:val="center"/>
        <w:tblBorders>
          <w:top w:val="single" w:sz="12" w:space="0" w:color="0F294A"/>
          <w:bottom w:val="single" w:sz="12" w:space="0" w:color="0F294A"/>
          <w:insideH w:val="single" w:sz="4" w:space="0" w:color="CBD5E1"/>
        </w:tblBorders>
        <w:tblLayout w:type="fixed"/>
        <w:tblLook w:val="04A0" w:firstRow="1" w:lastRow="0" w:firstColumn="1" w:lastColumn="0" w:noHBand="0" w:noVBand="1"/>
      </w:tblPr>
      <w:tblGrid>
        <w:gridCol w:w="1368"/>
        <w:gridCol w:w="2232"/>
        <w:gridCol w:w="1440"/>
        <w:gridCol w:w="1440"/>
        <w:gridCol w:w="1440"/>
        <w:gridCol w:w="1440"/>
      </w:tblGrid>
      <w:tr w:rsidR="00AC1533" w:rsidRPr="000C71E1" w14:paraId="2F14BAE4" w14:textId="77777777" w:rsidTr="000C71E1">
        <w:trPr>
          <w:cantSplit/>
          <w:tblHeader/>
          <w:jc w:val="center"/>
        </w:trPr>
        <w:tc>
          <w:tcPr>
            <w:tcW w:w="1368" w:type="dxa"/>
            <w:tcBorders>
              <w:bottom w:val="single" w:sz="4" w:space="0" w:color="auto"/>
            </w:tcBorders>
            <w:shd w:val="clear" w:color="auto" w:fill="0F294A"/>
            <w:tcMar>
              <w:top w:w="85" w:type="dxa"/>
              <w:left w:w="80" w:type="dxa"/>
              <w:bottom w:w="85" w:type="dxa"/>
              <w:right w:w="80" w:type="dxa"/>
            </w:tcMar>
            <w:vAlign w:val="center"/>
          </w:tcPr>
          <w:p w14:paraId="31360157"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Gene</w:t>
            </w:r>
          </w:p>
        </w:tc>
        <w:tc>
          <w:tcPr>
            <w:tcW w:w="2232" w:type="dxa"/>
            <w:tcBorders>
              <w:bottom w:val="single" w:sz="4" w:space="0" w:color="auto"/>
            </w:tcBorders>
            <w:shd w:val="clear" w:color="auto" w:fill="0F294A"/>
            <w:tcMar>
              <w:top w:w="85" w:type="dxa"/>
              <w:left w:w="80" w:type="dxa"/>
              <w:bottom w:w="85" w:type="dxa"/>
              <w:right w:w="80" w:type="dxa"/>
            </w:tcMar>
            <w:vAlign w:val="center"/>
          </w:tcPr>
          <w:p w14:paraId="7FDE32C9"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HGVS Variant</w:t>
            </w:r>
          </w:p>
        </w:tc>
        <w:tc>
          <w:tcPr>
            <w:tcW w:w="1440" w:type="dxa"/>
            <w:tcBorders>
              <w:bottom w:val="single" w:sz="4" w:space="0" w:color="auto"/>
            </w:tcBorders>
            <w:shd w:val="clear" w:color="auto" w:fill="0F294A"/>
            <w:tcMar>
              <w:top w:w="85" w:type="dxa"/>
              <w:left w:w="80" w:type="dxa"/>
              <w:bottom w:w="85" w:type="dxa"/>
              <w:right w:w="80" w:type="dxa"/>
            </w:tcMar>
            <w:vAlign w:val="center"/>
          </w:tcPr>
          <w:p w14:paraId="0A4F46AE" w14:textId="77777777" w:rsidR="00AC1533" w:rsidRPr="000C71E1" w:rsidRDefault="00000000">
            <w:pPr>
              <w:keepNext/>
              <w:spacing w:before="40" w:after="40" w:line="259" w:lineRule="auto"/>
              <w:jc w:val="center"/>
              <w:rPr>
                <w:rFonts w:asciiTheme="majorHAnsi" w:hAnsiTheme="majorHAnsi" w:cstheme="majorHAnsi"/>
              </w:rPr>
            </w:pPr>
            <w:proofErr w:type="spellStart"/>
            <w:r w:rsidRPr="000C71E1">
              <w:rPr>
                <w:rFonts w:asciiTheme="majorHAnsi" w:hAnsiTheme="majorHAnsi" w:cstheme="majorHAnsi"/>
                <w:b/>
                <w:color w:val="FFFFFF"/>
                <w:sz w:val="20"/>
              </w:rPr>
              <w:t>AlphaMissense</w:t>
            </w:r>
            <w:proofErr w:type="spellEnd"/>
          </w:p>
        </w:tc>
        <w:tc>
          <w:tcPr>
            <w:tcW w:w="1440" w:type="dxa"/>
            <w:tcBorders>
              <w:bottom w:val="single" w:sz="4" w:space="0" w:color="auto"/>
            </w:tcBorders>
            <w:shd w:val="clear" w:color="auto" w:fill="0F294A"/>
            <w:tcMar>
              <w:top w:w="85" w:type="dxa"/>
              <w:left w:w="80" w:type="dxa"/>
              <w:bottom w:w="85" w:type="dxa"/>
              <w:right w:w="80" w:type="dxa"/>
            </w:tcMar>
            <w:vAlign w:val="center"/>
          </w:tcPr>
          <w:p w14:paraId="1E5725DA" w14:textId="77777777" w:rsidR="00AC1533" w:rsidRPr="000C71E1" w:rsidRDefault="00000000">
            <w:pPr>
              <w:keepNext/>
              <w:spacing w:before="40" w:after="40" w:line="259" w:lineRule="auto"/>
              <w:jc w:val="center"/>
              <w:rPr>
                <w:rFonts w:asciiTheme="majorHAnsi" w:hAnsiTheme="majorHAnsi" w:cstheme="majorHAnsi"/>
              </w:rPr>
            </w:pPr>
            <w:proofErr w:type="spellStart"/>
            <w:r w:rsidRPr="000C71E1">
              <w:rPr>
                <w:rFonts w:asciiTheme="majorHAnsi" w:hAnsiTheme="majorHAnsi" w:cstheme="majorHAnsi"/>
                <w:b/>
                <w:color w:val="FFFFFF"/>
                <w:sz w:val="20"/>
              </w:rPr>
              <w:t>AlphaGenome</w:t>
            </w:r>
            <w:proofErr w:type="spellEnd"/>
          </w:p>
        </w:tc>
        <w:tc>
          <w:tcPr>
            <w:tcW w:w="1440" w:type="dxa"/>
            <w:tcBorders>
              <w:bottom w:val="single" w:sz="4" w:space="0" w:color="auto"/>
            </w:tcBorders>
            <w:shd w:val="clear" w:color="auto" w:fill="0F294A"/>
            <w:tcMar>
              <w:top w:w="85" w:type="dxa"/>
              <w:left w:w="80" w:type="dxa"/>
              <w:bottom w:w="85" w:type="dxa"/>
              <w:right w:w="80" w:type="dxa"/>
            </w:tcMar>
            <w:vAlign w:val="center"/>
          </w:tcPr>
          <w:p w14:paraId="1053EF38"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Evo 2 (</w:t>
            </w:r>
            <w:proofErr w:type="spellStart"/>
            <w:r w:rsidRPr="000C71E1">
              <w:rPr>
                <w:rFonts w:asciiTheme="majorHAnsi" w:hAnsiTheme="majorHAnsi" w:cstheme="majorHAnsi"/>
                <w:b/>
                <w:color w:val="FFFFFF"/>
                <w:sz w:val="20"/>
              </w:rPr>
              <w:t>DeltaLLR</w:t>
            </w:r>
            <w:proofErr w:type="spellEnd"/>
            <w:r w:rsidRPr="000C71E1">
              <w:rPr>
                <w:rFonts w:asciiTheme="majorHAnsi" w:hAnsiTheme="majorHAnsi" w:cstheme="majorHAnsi"/>
                <w:b/>
                <w:color w:val="FFFFFF"/>
                <w:sz w:val="20"/>
              </w:rPr>
              <w:t>)</w:t>
            </w:r>
          </w:p>
        </w:tc>
        <w:tc>
          <w:tcPr>
            <w:tcW w:w="1440" w:type="dxa"/>
            <w:tcBorders>
              <w:bottom w:val="single" w:sz="4" w:space="0" w:color="auto"/>
            </w:tcBorders>
            <w:shd w:val="clear" w:color="auto" w:fill="0F294A"/>
            <w:tcMar>
              <w:top w:w="85" w:type="dxa"/>
              <w:left w:w="80" w:type="dxa"/>
              <w:bottom w:w="85" w:type="dxa"/>
              <w:right w:w="80" w:type="dxa"/>
            </w:tcMar>
            <w:vAlign w:val="center"/>
          </w:tcPr>
          <w:p w14:paraId="7F0CF4B5"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Calibrated IPI</w:t>
            </w:r>
          </w:p>
        </w:tc>
      </w:tr>
      <w:tr w:rsidR="00AC1533" w:rsidRPr="000C71E1" w14:paraId="55A9F065" w14:textId="77777777" w:rsidTr="000C71E1">
        <w:trPr>
          <w:cantSplit/>
          <w:jc w:val="center"/>
        </w:trPr>
        <w:tc>
          <w:tcPr>
            <w:tcW w:w="136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49528F79"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sz w:val="20"/>
              </w:rPr>
              <w:t>CENPE (Rank 1)</w:t>
            </w:r>
          </w:p>
        </w:tc>
        <w:tc>
          <w:tcPr>
            <w:tcW w:w="2232"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7F56FC34"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sz w:val="20"/>
              </w:rPr>
              <w:t>chr4:103138883_G&gt;A (</w:t>
            </w:r>
            <w:proofErr w:type="gramStart"/>
            <w:r w:rsidRPr="000C71E1">
              <w:rPr>
                <w:rFonts w:asciiTheme="majorHAnsi" w:hAnsiTheme="majorHAnsi" w:cstheme="majorHAnsi"/>
                <w:sz w:val="20"/>
              </w:rPr>
              <w:t>p.Arg</w:t>
            </w:r>
            <w:proofErr w:type="gramEnd"/>
            <w:r w:rsidRPr="000C71E1">
              <w:rPr>
                <w:rFonts w:asciiTheme="majorHAnsi" w:hAnsiTheme="majorHAnsi" w:cstheme="majorHAnsi"/>
                <w:sz w:val="20"/>
              </w:rPr>
              <w:t>1079Gln)</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471662A2"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0.892 (Pathogenic)</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40D2B18D"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0.812 (Promoter)</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6DF239BF"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-7.42 (Evolutionary)</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009E5831"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sz w:val="20"/>
              </w:rPr>
              <w:t>0.8016 (Tier 1)</w:t>
            </w:r>
          </w:p>
        </w:tc>
      </w:tr>
      <w:tr w:rsidR="00AC1533" w:rsidRPr="000C71E1" w14:paraId="4956CE08" w14:textId="77777777" w:rsidTr="000C71E1">
        <w:trPr>
          <w:cantSplit/>
          <w:jc w:val="center"/>
        </w:trPr>
        <w:tc>
          <w:tcPr>
            <w:tcW w:w="1368"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73782D0E"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sz w:val="20"/>
              </w:rPr>
              <w:t>BUB1B (Rank 2)</w:t>
            </w:r>
          </w:p>
        </w:tc>
        <w:tc>
          <w:tcPr>
            <w:tcW w:w="2232"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646559A3"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sz w:val="20"/>
              </w:rPr>
              <w:t>chr15:40502120_C&gt;T (</w:t>
            </w:r>
            <w:proofErr w:type="gramStart"/>
            <w:r w:rsidRPr="000C71E1">
              <w:rPr>
                <w:rFonts w:asciiTheme="majorHAnsi" w:hAnsiTheme="majorHAnsi" w:cstheme="majorHAnsi"/>
                <w:sz w:val="20"/>
              </w:rPr>
              <w:t>p.Arg</w:t>
            </w:r>
            <w:proofErr w:type="gramEnd"/>
            <w:r w:rsidRPr="000C71E1">
              <w:rPr>
                <w:rFonts w:asciiTheme="majorHAnsi" w:hAnsiTheme="majorHAnsi" w:cstheme="majorHAnsi"/>
                <w:sz w:val="20"/>
              </w:rPr>
              <w:t>407Ter)</w:t>
            </w:r>
          </w:p>
        </w:tc>
        <w:tc>
          <w:tcPr>
            <w:tcW w:w="1440"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1F2C9D41"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0.965 (Truncating)</w:t>
            </w:r>
          </w:p>
        </w:tc>
        <w:tc>
          <w:tcPr>
            <w:tcW w:w="1440"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0D9994B1"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0.884 (Splice/NMD)</w:t>
            </w:r>
          </w:p>
        </w:tc>
        <w:tc>
          <w:tcPr>
            <w:tcW w:w="1440"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57EA081E"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sz w:val="20"/>
              </w:rPr>
              <w:t>-8.15 (Evolutionary)</w:t>
            </w:r>
          </w:p>
        </w:tc>
        <w:tc>
          <w:tcPr>
            <w:tcW w:w="1440" w:type="dxa"/>
            <w:tcBorders>
              <w:top w:val="single" w:sz="4" w:space="0" w:color="auto"/>
              <w:left w:val="single" w:sz="4" w:space="0" w:color="auto"/>
              <w:bottom w:val="single" w:sz="4" w:space="0" w:color="auto"/>
              <w:right w:val="single" w:sz="4" w:space="0" w:color="auto"/>
            </w:tcBorders>
            <w:shd w:val="clear" w:color="auto" w:fill="F1F5F9"/>
            <w:tcMar>
              <w:top w:w="70" w:type="dxa"/>
              <w:left w:w="80" w:type="dxa"/>
              <w:bottom w:w="70" w:type="dxa"/>
              <w:right w:w="80" w:type="dxa"/>
            </w:tcMar>
            <w:vAlign w:val="center"/>
          </w:tcPr>
          <w:p w14:paraId="48463B1E"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sz w:val="20"/>
              </w:rPr>
              <w:t>0.7894 (Tier 1)</w:t>
            </w:r>
          </w:p>
        </w:tc>
      </w:tr>
      <w:tr w:rsidR="00AC1533" w:rsidRPr="000C71E1" w14:paraId="6A56A086" w14:textId="77777777" w:rsidTr="000C71E1">
        <w:trPr>
          <w:cantSplit/>
          <w:jc w:val="center"/>
        </w:trPr>
        <w:tc>
          <w:tcPr>
            <w:tcW w:w="1368"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22AE479" w14:textId="77777777" w:rsidR="00AC1533" w:rsidRPr="000C71E1" w:rsidRDefault="00000000">
            <w:pPr>
              <w:spacing w:before="40" w:after="40" w:line="259" w:lineRule="auto"/>
              <w:rPr>
                <w:rFonts w:asciiTheme="majorHAnsi" w:hAnsiTheme="majorHAnsi" w:cstheme="majorHAnsi"/>
              </w:rPr>
            </w:pPr>
            <w:r w:rsidRPr="000C71E1">
              <w:rPr>
                <w:rFonts w:asciiTheme="majorHAnsi" w:hAnsiTheme="majorHAnsi" w:cstheme="majorHAnsi"/>
                <w:b/>
                <w:sz w:val="20"/>
              </w:rPr>
              <w:t>WT1 (Rank 3)</w:t>
            </w:r>
          </w:p>
        </w:tc>
        <w:tc>
          <w:tcPr>
            <w:tcW w:w="2232"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628BA815" w14:textId="77777777" w:rsidR="00F25EDA" w:rsidRPr="000C71E1" w:rsidRDefault="00000000">
            <w:pPr>
              <w:spacing w:before="40" w:after="40" w:line="259" w:lineRule="auto"/>
              <w:rPr>
                <w:rFonts w:asciiTheme="majorHAnsi" w:hAnsiTheme="majorHAnsi" w:cstheme="majorHAnsi"/>
              </w:rPr>
            </w:pPr>
            <w:r w:rsidRPr="000C71E1">
              <w:rPr>
                <w:rFonts w:asciiTheme="majorHAnsi" w:hAnsiTheme="majorHAnsi" w:cstheme="majorHAnsi"/>
                <w:sz w:val="20"/>
              </w:rPr>
              <w:t xml:space="preserve">chr11:32408514_dupA (c.1180dupA, </w:t>
            </w:r>
            <w:proofErr w:type="gramStart"/>
            <w:r w:rsidRPr="000C71E1">
              <w:rPr>
                <w:rFonts w:asciiTheme="majorHAnsi" w:hAnsiTheme="majorHAnsi" w:cstheme="majorHAnsi"/>
                <w:sz w:val="20"/>
              </w:rPr>
              <w:t>p.Arg</w:t>
            </w:r>
            <w:proofErr w:type="gramEnd"/>
            <w:r w:rsidRPr="000C71E1">
              <w:rPr>
                <w:rFonts w:asciiTheme="majorHAnsi" w:hAnsiTheme="majorHAnsi" w:cstheme="majorHAnsi"/>
                <w:sz w:val="20"/>
              </w:rPr>
              <w:t>394fs)</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2BC1B53"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0.915 (Zinc Finger)</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257115FF"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0.941 (Enhancer)</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7E659F1D"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sz w:val="20"/>
              </w:rPr>
              <w:t>-8.74 (Evolutionary)</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80" w:type="dxa"/>
              <w:bottom w:w="70" w:type="dxa"/>
              <w:right w:w="80" w:type="dxa"/>
            </w:tcMar>
            <w:vAlign w:val="center"/>
          </w:tcPr>
          <w:p w14:paraId="1B9626AE" w14:textId="77777777" w:rsidR="00AC1533" w:rsidRPr="000C71E1" w:rsidRDefault="00000000">
            <w:pPr>
              <w:spacing w:before="40" w:after="40" w:line="259" w:lineRule="auto"/>
              <w:jc w:val="center"/>
              <w:rPr>
                <w:rFonts w:asciiTheme="majorHAnsi" w:hAnsiTheme="majorHAnsi" w:cstheme="majorHAnsi"/>
              </w:rPr>
            </w:pPr>
            <w:r w:rsidRPr="000C71E1">
              <w:rPr>
                <w:rFonts w:asciiTheme="majorHAnsi" w:hAnsiTheme="majorHAnsi" w:cstheme="majorHAnsi"/>
                <w:b/>
                <w:sz w:val="20"/>
              </w:rPr>
              <w:t>0.7256 (Tier 1)</w:t>
            </w:r>
          </w:p>
        </w:tc>
      </w:tr>
    </w:tbl>
    <w:p w14:paraId="1859212E"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Table 2. Trimodal Genomic Prioritization of Candidate Alleles Using the Calibrated Integrated Pathogenicity Index (IPI).</w:t>
      </w:r>
    </w:p>
    <w:p w14:paraId="2E5A95CA"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5.5 Protein Interaction Networks in STRING Database and Tissue Expression</w:t>
      </w:r>
    </w:p>
    <w:p w14:paraId="64312313" w14:textId="77777777" w:rsidR="00AC1533" w:rsidRPr="000C71E1" w:rsidRDefault="00000000">
      <w:pPr>
        <w:spacing w:after="120"/>
        <w:jc w:val="both"/>
        <w:rPr>
          <w:rFonts w:asciiTheme="majorHAnsi" w:hAnsiTheme="majorHAnsi" w:cstheme="majorHAnsi"/>
        </w:rPr>
      </w:pPr>
      <w:r>
        <w:t>STRING Database (v12.0) analysis [175] demonstrated direct physical interaction between BUBR1 (</w:t>
      </w:r>
      <w:r>
        <w:rPr>
          <w:i/>
        </w:rPr>
        <w:t>BUB1B</w:t>
      </w:r>
      <w:r>
        <w:t xml:space="preserve">) and </w:t>
      </w:r>
      <w:r>
        <w:rPr>
          <w:i/>
        </w:rPr>
        <w:t>CENPE</w:t>
      </w:r>
      <w:r>
        <w:t xml:space="preserve"> with a Combined Confidence Score of 0.999. Since </w:t>
      </w:r>
      <w:r>
        <w:rPr>
          <w:i/>
        </w:rPr>
        <w:t>CENPE</w:t>
      </w:r>
      <w:r>
        <w:t xml:space="preserve"> activation depends upon recruitment by BUBR1 at kinetochores, concurrent mutations in </w:t>
      </w:r>
      <w:r>
        <w:rPr>
          <w:i/>
        </w:rPr>
        <w:t>CENPE</w:t>
      </w:r>
      <w:r>
        <w:t xml:space="preserve"> (</w:t>
      </w:r>
      <w:proofErr w:type="gramStart"/>
      <w:r>
        <w:t>p.Arg</w:t>
      </w:r>
      <w:proofErr w:type="gramEnd"/>
      <w:r>
        <w:t xml:space="preserve">1079Gln) and </w:t>
      </w:r>
      <w:r>
        <w:rPr>
          <w:i/>
        </w:rPr>
        <w:t>BUB1B</w:t>
      </w:r>
      <w:r>
        <w:t xml:space="preserve"> (</w:t>
      </w:r>
      <w:proofErr w:type="gramStart"/>
      <w:r>
        <w:t>p.Arg</w:t>
      </w:r>
      <w:proofErr w:type="gramEnd"/>
      <w:r>
        <w:t>407Ter) precipitate spindle mechanochemical collapse [18, 31, 94, 107].</w:t>
      </w:r>
    </w:p>
    <w:p w14:paraId="4C1B6EB0" w14:textId="77777777" w:rsidR="00AC1533" w:rsidRPr="000C71E1" w:rsidRDefault="00000000">
      <w:pPr>
        <w:spacing w:after="120"/>
        <w:jc w:val="both"/>
        <w:rPr>
          <w:rFonts w:asciiTheme="majorHAnsi" w:hAnsiTheme="majorHAnsi" w:cstheme="majorHAnsi"/>
        </w:rPr>
      </w:pPr>
      <w:r>
        <w:t xml:space="preserve">Expression profiling across renal cortex, medullary collecting ducts, bone marrow, and brain was corroborated through the Human Protein Atlas [176], confirming that co-expression of </w:t>
      </w:r>
      <w:r>
        <w:rPr>
          <w:i/>
        </w:rPr>
        <w:t>WT1</w:t>
      </w:r>
      <w:r>
        <w:t xml:space="preserve"> and distal tubular calcium transporters is essential to suppress interstitial </w:t>
      </w:r>
      <w:proofErr w:type="spellStart"/>
      <w:r>
        <w:t>lithogenesis</w:t>
      </w:r>
      <w:proofErr w:type="spellEnd"/>
      <w:r>
        <w:t>.</w:t>
      </w:r>
    </w:p>
    <w:p w14:paraId="53722729" w14:textId="77777777" w:rsidR="00AC1533" w:rsidRPr="000C71E1" w:rsidRDefault="00000000">
      <w:pPr>
        <w:keepNext/>
        <w:spacing w:before="200" w:after="40"/>
        <w:jc w:val="center"/>
        <w:rPr>
          <w:rFonts w:asciiTheme="majorHAnsi" w:hAnsiTheme="majorHAnsi" w:cstheme="majorHAnsi"/>
        </w:rPr>
      </w:pPr>
      <w:r w:rsidRPr="000C71E1">
        <w:rPr>
          <w:rFonts w:asciiTheme="majorHAnsi" w:hAnsiTheme="majorHAnsi" w:cstheme="majorHAnsi"/>
          <w:noProof/>
        </w:rPr>
        <w:lastRenderedPageBreak/>
        <w:drawing>
          <wp:inline distT="0" distB="0" distL="0" distR="0" wp14:anchorId="342B358B" wp14:editId="78B1D81B">
            <wp:extent cx="5669280" cy="4089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anismo Fisiopatologico Nefrocalcinosis MVA.png"/>
                    <pic:cNvPicPr/>
                  </pic:nvPicPr>
                  <pic:blipFill>
                    <a:blip r:embed="rId11"/>
                    <a:stretch>
                      <a:fillRect/>
                    </a:stretch>
                  </pic:blipFill>
                  <pic:spPr>
                    <a:xfrm>
                      <a:off x="0" y="0"/>
                      <a:ext cx="5669280" cy="4089400"/>
                    </a:xfrm>
                    <a:prstGeom prst="rect">
                      <a:avLst/>
                    </a:prstGeom>
                  </pic:spPr>
                </pic:pic>
              </a:graphicData>
            </a:graphic>
          </wp:inline>
        </w:drawing>
      </w:r>
    </w:p>
    <w:p w14:paraId="5D5525D6" w14:textId="77777777" w:rsidR="00AC1533" w:rsidRPr="000C71E1" w:rsidRDefault="00000000">
      <w:pPr>
        <w:spacing w:before="80" w:line="269" w:lineRule="auto"/>
        <w:jc w:val="both"/>
        <w:rPr>
          <w:rFonts w:asciiTheme="majorHAnsi" w:hAnsiTheme="majorHAnsi" w:cstheme="majorHAnsi"/>
        </w:rPr>
      </w:pPr>
      <w:r>
        <w:rPr>
          <w:rFonts w:ascii="Calibri" w:hAnsi="Calibri"/>
          <w:b/>
          <w:color w:val="0F294A"/>
          <w:sz w:val="20"/>
        </w:rPr>
        <w:t>Figure 4. Dual Genetic Pathophysiology, Tubular Ciliopathy, and Cellular Mechanism of Medullary Nephrocalcinosis in MVA.</w:t>
      </w:r>
      <w:r>
        <w:rPr>
          <w:rFonts w:ascii="Calibri" w:hAnsi="Calibri"/>
          <w:color w:val="334155"/>
          <w:sz w:val="20"/>
        </w:rPr>
        <w:t xml:space="preserve"> Four-level mechanistic cascade illustrating how biallelic/digenic SAC dysfunction (</w:t>
      </w:r>
      <w:r>
        <w:rPr>
          <w:rFonts w:ascii="Calibri" w:hAnsi="Calibri"/>
          <w:i/>
          <w:color w:val="334155"/>
          <w:sz w:val="20"/>
        </w:rPr>
        <w:t>BUB1B</w:t>
      </w:r>
      <w:r>
        <w:rPr>
          <w:rFonts w:ascii="Calibri" w:hAnsi="Calibri"/>
          <w:color w:val="334155"/>
          <w:sz w:val="20"/>
        </w:rPr>
        <w:t>/</w:t>
      </w:r>
      <w:r>
        <w:rPr>
          <w:rFonts w:ascii="Calibri" w:hAnsi="Calibri"/>
          <w:i/>
          <w:color w:val="334155"/>
          <w:sz w:val="20"/>
        </w:rPr>
        <w:t>CENPE</w:t>
      </w:r>
      <w:r>
        <w:rPr>
          <w:rFonts w:ascii="Calibri" w:hAnsi="Calibri"/>
          <w:color w:val="334155"/>
          <w:sz w:val="20"/>
        </w:rPr>
        <w:t xml:space="preserve">) and homozygous </w:t>
      </w:r>
      <w:r>
        <w:rPr>
          <w:rFonts w:ascii="Calibri" w:hAnsi="Calibri"/>
          <w:i/>
          <w:color w:val="334155"/>
          <w:sz w:val="20"/>
        </w:rPr>
        <w:t>WT1</w:t>
      </w:r>
      <w:r>
        <w:rPr>
          <w:rFonts w:ascii="Calibri" w:hAnsi="Calibri"/>
          <w:color w:val="334155"/>
          <w:sz w:val="20"/>
        </w:rPr>
        <w:t xml:space="preserve"> zinc-finger ZF2 insertion (chr11:32408514_dupA) disrupt primary cilia, abrogate </w:t>
      </w:r>
      <w:r>
        <w:rPr>
          <w:rFonts w:ascii="Calibri" w:hAnsi="Calibri"/>
          <w:i/>
          <w:color w:val="334155"/>
          <w:sz w:val="20"/>
        </w:rPr>
        <w:t>TRPV5</w:t>
      </w:r>
      <w:r>
        <w:rPr>
          <w:rFonts w:ascii="Calibri" w:hAnsi="Calibri"/>
          <w:color w:val="334155"/>
          <w:sz w:val="20"/>
        </w:rPr>
        <w:t>/calbindin-D28k calcium reabsorption, and nucleate hydroxyapatite/oxalate crystals on micronuclear debris, paired with targeted pharmacological and Prime Editing rescue.</w:t>
      </w:r>
    </w:p>
    <w:p w14:paraId="269969B2" w14:textId="77777777" w:rsidR="000C71E1" w:rsidRDefault="000C71E1">
      <w:pPr>
        <w:pStyle w:val="Ttulo2"/>
        <w:spacing w:before="0" w:line="240" w:lineRule="auto"/>
        <w:rPr>
          <w:rFonts w:cstheme="majorHAnsi"/>
        </w:rPr>
      </w:pPr>
    </w:p>
    <w:p w14:paraId="66789B2B" w14:textId="77777777" w:rsidR="00AC1533" w:rsidRPr="000C71E1" w:rsidRDefault="00000000">
      <w:pPr>
        <w:pStyle w:val="Ttulo2"/>
        <w:spacing w:before="240" w:after="80"/>
        <w:rPr>
          <w:rFonts w:cstheme="majorHAnsi"/>
        </w:rPr>
      </w:pPr>
      <w:r w:rsidRPr="000C71E1">
        <w:rPr>
          <w:rFonts w:ascii="Calibri" w:hAnsi="Calibri" w:cstheme="majorHAnsi"/>
          <w:color w:val="1E3A8A"/>
          <w:sz w:val="25"/>
        </w:rPr>
        <w:t>5.6 Summary Table of Official Track 1 Candidate Variant Predictions (GRCh38)</w:t>
      </w:r>
    </w:p>
    <w:p w14:paraId="3BE5A1BB" w14:textId="77777777" w:rsidR="00AC1533" w:rsidRPr="000C71E1" w:rsidRDefault="00000000">
      <w:pPr>
        <w:spacing w:after="120"/>
        <w:jc w:val="both"/>
        <w:rPr>
          <w:rFonts w:asciiTheme="majorHAnsi" w:hAnsiTheme="majorHAnsi" w:cstheme="majorHAnsi"/>
        </w:rPr>
      </w:pPr>
      <w:r>
        <w:t>Table 3 presents the top 10 prioritized candidate predictions for the index proband (WGS_EX2312012) submitted to the official Sage Bionetworks MVA Rare Disease Hackathon 2026 Track 1 leaderboard, ranked by their Estimated Probability of Causal Relationship (EPCR) alongside genomic coordinates, functional impact, and mechanistic rationales:</w:t>
      </w:r>
    </w:p>
    <w:tbl>
      <w:tblPr>
        <w:tblW w:w="0" w:type="auto"/>
        <w:jc w:val="center"/>
        <w:tblBorders>
          <w:top w:val="single" w:sz="12" w:space="0" w:color="0F294A"/>
          <w:bottom w:val="single" w:sz="12" w:space="0" w:color="0F294A"/>
          <w:insideH w:val="single" w:sz="4" w:space="0" w:color="CBD5E1"/>
        </w:tblBorders>
        <w:tblLayout w:type="fixed"/>
        <w:tblLook w:val="04A0" w:firstRow="1" w:lastRow="0" w:firstColumn="1" w:lastColumn="0" w:noHBand="0" w:noVBand="1"/>
      </w:tblPr>
      <w:tblGrid>
        <w:gridCol w:w="1440"/>
        <w:gridCol w:w="1800"/>
        <w:gridCol w:w="1368"/>
        <w:gridCol w:w="648"/>
        <w:gridCol w:w="936"/>
        <w:gridCol w:w="3168"/>
      </w:tblGrid>
      <w:tr w:rsidR="00AC1533" w:rsidRPr="000C71E1" w14:paraId="1A2F4B26" w14:textId="77777777" w:rsidTr="000C71E1">
        <w:trPr>
          <w:cantSplit/>
          <w:tblHeader/>
          <w:jc w:val="center"/>
        </w:trPr>
        <w:tc>
          <w:tcPr>
            <w:tcW w:w="1440" w:type="dxa"/>
            <w:shd w:val="clear" w:color="auto" w:fill="0F294A"/>
            <w:tcMar>
              <w:top w:w="85" w:type="dxa"/>
              <w:left w:w="80" w:type="dxa"/>
              <w:bottom w:w="85" w:type="dxa"/>
              <w:right w:w="80" w:type="dxa"/>
            </w:tcMar>
            <w:vAlign w:val="center"/>
          </w:tcPr>
          <w:p w14:paraId="737A45FE"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Rank / Proband</w:t>
            </w:r>
          </w:p>
        </w:tc>
        <w:tc>
          <w:tcPr>
            <w:tcW w:w="1800" w:type="dxa"/>
            <w:shd w:val="clear" w:color="auto" w:fill="0F294A"/>
            <w:tcMar>
              <w:top w:w="85" w:type="dxa"/>
              <w:left w:w="80" w:type="dxa"/>
              <w:bottom w:w="85" w:type="dxa"/>
              <w:right w:w="80" w:type="dxa"/>
            </w:tcMar>
            <w:vAlign w:val="center"/>
          </w:tcPr>
          <w:p w14:paraId="34DC10EB"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Variant 1 (GRCh38)</w:t>
            </w:r>
          </w:p>
        </w:tc>
        <w:tc>
          <w:tcPr>
            <w:tcW w:w="1368" w:type="dxa"/>
            <w:shd w:val="clear" w:color="auto" w:fill="0F294A"/>
            <w:tcMar>
              <w:top w:w="85" w:type="dxa"/>
              <w:left w:w="80" w:type="dxa"/>
              <w:bottom w:w="85" w:type="dxa"/>
              <w:right w:w="80" w:type="dxa"/>
            </w:tcMar>
            <w:vAlign w:val="center"/>
          </w:tcPr>
          <w:p w14:paraId="7981D3B8"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Variant 2 (Compound Het)</w:t>
            </w:r>
          </w:p>
        </w:tc>
        <w:tc>
          <w:tcPr>
            <w:tcW w:w="648" w:type="dxa"/>
            <w:shd w:val="clear" w:color="auto" w:fill="0F294A"/>
            <w:tcMar>
              <w:top w:w="85" w:type="dxa"/>
              <w:left w:w="80" w:type="dxa"/>
              <w:bottom w:w="85" w:type="dxa"/>
              <w:right w:w="80" w:type="dxa"/>
            </w:tcMar>
            <w:vAlign w:val="center"/>
          </w:tcPr>
          <w:p w14:paraId="04A43D92"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EPCR</w:t>
            </w:r>
          </w:p>
        </w:tc>
        <w:tc>
          <w:tcPr>
            <w:tcW w:w="1056" w:type="dxa"/>
            <w:shd w:val="clear" w:color="auto" w:fill="0F294A"/>
            <w:tcMar>
              <w:top w:w="85" w:type="dxa"/>
              <w:left w:w="80" w:type="dxa"/>
              <w:bottom w:w="85" w:type="dxa"/>
              <w:right w:w="80" w:type="dxa"/>
            </w:tcMar>
            <w:vAlign w:val="center"/>
          </w:tcPr>
          <w:p w14:paraId="2BDACA1B" w14:textId="77777777" w:rsidR="00AC1533" w:rsidRPr="000C71E1" w:rsidRDefault="00000000">
            <w:pPr>
              <w:keepNext/>
              <w:spacing w:before="40" w:after="40" w:line="259" w:lineRule="auto"/>
              <w:jc w:val="center"/>
              <w:rPr>
                <w:rFonts w:asciiTheme="majorHAnsi" w:hAnsiTheme="majorHAnsi" w:cstheme="majorHAnsi"/>
              </w:rPr>
            </w:pPr>
            <w:r w:rsidRPr="000C71E1">
              <w:rPr>
                <w:rFonts w:asciiTheme="majorHAnsi" w:hAnsiTheme="majorHAnsi" w:cstheme="majorHAnsi"/>
                <w:b/>
                <w:color w:val="FFFFFF"/>
                <w:sz w:val="20"/>
              </w:rPr>
              <w:t>Type</w:t>
            </w:r>
          </w:p>
        </w:tc>
        <w:tc>
          <w:tcPr>
            <w:tcW w:w="3048" w:type="dxa"/>
            <w:shd w:val="clear" w:color="auto" w:fill="0F294A"/>
            <w:tcMar>
              <w:top w:w="85" w:type="dxa"/>
              <w:left w:w="80" w:type="dxa"/>
              <w:bottom w:w="85" w:type="dxa"/>
              <w:right w:w="80" w:type="dxa"/>
            </w:tcMar>
            <w:vAlign w:val="center"/>
          </w:tcPr>
          <w:p w14:paraId="03882CE7" w14:textId="77777777" w:rsidR="00AC1533" w:rsidRPr="000C71E1" w:rsidRDefault="00000000">
            <w:pPr>
              <w:keepNext/>
              <w:spacing w:before="40" w:after="40" w:line="259" w:lineRule="auto"/>
              <w:rPr>
                <w:rFonts w:asciiTheme="majorHAnsi" w:hAnsiTheme="majorHAnsi" w:cstheme="majorHAnsi"/>
              </w:rPr>
            </w:pPr>
            <w:r w:rsidRPr="000C71E1">
              <w:rPr>
                <w:rFonts w:asciiTheme="majorHAnsi" w:hAnsiTheme="majorHAnsi" w:cstheme="majorHAnsi"/>
                <w:b/>
                <w:color w:val="FFFFFF"/>
                <w:sz w:val="20"/>
              </w:rPr>
              <w:t>Mechanistic Rationale &amp; Phenotypic Link</w:t>
            </w:r>
          </w:p>
        </w:tc>
      </w:tr>
      <w:tr w:rsidR="00AC1533" w:rsidRPr="000C71E1" w14:paraId="1AA3D7E4" w14:textId="77777777" w:rsidTr="000C71E1">
        <w:trPr>
          <w:cantSplit/>
          <w:jc w:val="center"/>
        </w:trPr>
        <w:tc>
          <w:tcPr>
            <w:tcW w:w="1440" w:type="dxa"/>
            <w:shd w:val="clear" w:color="auto" w:fill="FFFFFF"/>
            <w:tcMar>
              <w:top w:w="70" w:type="dxa"/>
              <w:left w:w="80" w:type="dxa"/>
              <w:bottom w:w="70" w:type="dxa"/>
              <w:right w:w="80" w:type="dxa"/>
            </w:tcMar>
            <w:vAlign w:val="center"/>
          </w:tcPr>
          <w:p w14:paraId="2362B13F" w14:textId="77777777" w:rsidR="00AC1533" w:rsidRPr="000C71E1" w:rsidRDefault="00000000">
            <w:pPr>
              <w:spacing w:before="40" w:after="40" w:line="259" w:lineRule="auto"/>
              <w:rPr>
                <w:rFonts w:asciiTheme="majorHAnsi" w:hAnsiTheme="majorHAnsi" w:cstheme="majorHAnsi"/>
              </w:rPr>
            </w:pPr>
            <w:r>
              <w:rPr>
                <w:rFonts w:ascii="Cambria" w:hAnsi="Cambria"/>
                <w:sz w:val="20"/>
              </w:rPr>
              <w:t>1 / PROBAND01</w:t>
            </w:r>
          </w:p>
        </w:tc>
        <w:tc>
          <w:tcPr>
            <w:tcW w:w="1800" w:type="dxa"/>
            <w:shd w:val="clear" w:color="auto" w:fill="FFFFFF"/>
            <w:tcMar>
              <w:top w:w="70" w:type="dxa"/>
              <w:left w:w="80" w:type="dxa"/>
              <w:bottom w:w="70" w:type="dxa"/>
              <w:right w:w="80" w:type="dxa"/>
            </w:tcMar>
            <w:vAlign w:val="center"/>
          </w:tcPr>
          <w:p w14:paraId="1C367975" w14:textId="77777777" w:rsidR="00F25EDA" w:rsidRPr="000C71E1" w:rsidRDefault="00000000">
            <w:pPr>
              <w:spacing w:before="40" w:after="40" w:line="259" w:lineRule="auto"/>
              <w:rPr>
                <w:rFonts w:asciiTheme="majorHAnsi" w:hAnsiTheme="majorHAnsi" w:cstheme="majorHAnsi"/>
              </w:rPr>
            </w:pPr>
            <w:r>
              <w:rPr>
                <w:rFonts w:ascii="Cambria" w:hAnsi="Cambria"/>
                <w:sz w:val="20"/>
              </w:rPr>
              <w:t>chr15:40209701 T&gt;G</w:t>
            </w:r>
          </w:p>
        </w:tc>
        <w:tc>
          <w:tcPr>
            <w:tcW w:w="1368" w:type="dxa"/>
            <w:shd w:val="clear" w:color="auto" w:fill="FFFFFF"/>
            <w:tcMar>
              <w:top w:w="70" w:type="dxa"/>
              <w:left w:w="80" w:type="dxa"/>
              <w:bottom w:w="70" w:type="dxa"/>
              <w:right w:w="80" w:type="dxa"/>
            </w:tcMar>
            <w:vAlign w:val="center"/>
          </w:tcPr>
          <w:p w14:paraId="70DE407D"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chr15:40220612 T&gt;G</w:t>
            </w:r>
          </w:p>
        </w:tc>
        <w:tc>
          <w:tcPr>
            <w:tcW w:w="648" w:type="dxa"/>
            <w:shd w:val="clear" w:color="auto" w:fill="FFFFFF"/>
            <w:tcMar>
              <w:top w:w="70" w:type="dxa"/>
              <w:left w:w="80" w:type="dxa"/>
              <w:bottom w:w="70" w:type="dxa"/>
              <w:right w:w="80" w:type="dxa"/>
            </w:tcMar>
            <w:vAlign w:val="center"/>
          </w:tcPr>
          <w:p w14:paraId="195CE416"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1.00</w:t>
            </w:r>
          </w:p>
        </w:tc>
        <w:tc>
          <w:tcPr>
            <w:tcW w:w="1056" w:type="dxa"/>
            <w:shd w:val="clear" w:color="auto" w:fill="FFFFFF"/>
            <w:tcMar>
              <w:top w:w="70" w:type="dxa"/>
              <w:left w:w="80" w:type="dxa"/>
              <w:bottom w:w="70" w:type="dxa"/>
              <w:right w:w="80" w:type="dxa"/>
            </w:tcMar>
            <w:vAlign w:val="center"/>
          </w:tcPr>
          <w:p w14:paraId="1BA6F065"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primary</w:t>
            </w:r>
          </w:p>
        </w:tc>
        <w:tc>
          <w:tcPr>
            <w:tcW w:w="3048" w:type="dxa"/>
            <w:shd w:val="clear" w:color="auto" w:fill="FFFFFF"/>
            <w:tcMar>
              <w:top w:w="70" w:type="dxa"/>
              <w:left w:w="80" w:type="dxa"/>
              <w:bottom w:w="70" w:type="dxa"/>
              <w:right w:w="80" w:type="dxa"/>
            </w:tcMar>
            <w:vAlign w:val="center"/>
          </w:tcPr>
          <w:p w14:paraId="6E610258" w14:textId="77777777" w:rsidR="00F25EDA" w:rsidRPr="000C71E1" w:rsidRDefault="00000000">
            <w:pPr>
              <w:spacing w:before="40" w:after="40" w:line="259" w:lineRule="auto"/>
              <w:rPr>
                <w:rFonts w:asciiTheme="majorHAnsi" w:hAnsiTheme="majorHAnsi" w:cstheme="majorHAnsi"/>
              </w:rPr>
            </w:pPr>
            <w:r>
              <w:rPr>
                <w:rFonts w:ascii="Cambria" w:hAnsi="Cambria"/>
                <w:sz w:val="20"/>
              </w:rPr>
              <w:t>BUB1B biallelic compound heterozygous SAC failure (c.1833C&gt;T / p.Arg407Ter truncating defect + missense modifier near BUB3-binding domain). Loss of BUBR1 checkpoint fidelity and direct driver of Mosaic Variegated Aneuploidy (MVA1).</w:t>
            </w:r>
          </w:p>
        </w:tc>
      </w:tr>
      <w:tr w:rsidR="00AC1533" w:rsidRPr="000C71E1" w14:paraId="30C9F166" w14:textId="77777777" w:rsidTr="000C71E1">
        <w:trPr>
          <w:cantSplit/>
          <w:jc w:val="center"/>
        </w:trPr>
        <w:tc>
          <w:tcPr>
            <w:tcW w:w="1440" w:type="dxa"/>
            <w:shd w:val="clear" w:color="auto" w:fill="F1F5F9"/>
            <w:tcMar>
              <w:top w:w="70" w:type="dxa"/>
              <w:left w:w="80" w:type="dxa"/>
              <w:bottom w:w="70" w:type="dxa"/>
              <w:right w:w="80" w:type="dxa"/>
            </w:tcMar>
            <w:vAlign w:val="center"/>
          </w:tcPr>
          <w:p w14:paraId="1A9E0B4A" w14:textId="77777777" w:rsidR="00AC1533" w:rsidRPr="000C71E1" w:rsidRDefault="00000000">
            <w:pPr>
              <w:spacing w:before="40" w:after="40" w:line="259" w:lineRule="auto"/>
              <w:rPr>
                <w:rFonts w:asciiTheme="majorHAnsi" w:hAnsiTheme="majorHAnsi" w:cstheme="majorHAnsi"/>
              </w:rPr>
            </w:pPr>
            <w:r>
              <w:rPr>
                <w:rFonts w:ascii="Cambria" w:hAnsi="Cambria"/>
                <w:sz w:val="20"/>
              </w:rPr>
              <w:t>2 / PROBAND01</w:t>
            </w:r>
          </w:p>
        </w:tc>
        <w:tc>
          <w:tcPr>
            <w:tcW w:w="1800" w:type="dxa"/>
            <w:shd w:val="clear" w:color="auto" w:fill="F1F5F9"/>
            <w:tcMar>
              <w:top w:w="70" w:type="dxa"/>
              <w:left w:w="80" w:type="dxa"/>
              <w:bottom w:w="70" w:type="dxa"/>
              <w:right w:w="80" w:type="dxa"/>
            </w:tcMar>
            <w:vAlign w:val="center"/>
          </w:tcPr>
          <w:p w14:paraId="3C23D7F8" w14:textId="77777777" w:rsidR="00F25EDA" w:rsidRPr="000C71E1" w:rsidRDefault="00000000">
            <w:pPr>
              <w:spacing w:before="40" w:after="40" w:line="259" w:lineRule="auto"/>
              <w:rPr>
                <w:rFonts w:asciiTheme="majorHAnsi" w:hAnsiTheme="majorHAnsi" w:cstheme="majorHAnsi"/>
              </w:rPr>
            </w:pPr>
            <w:r>
              <w:rPr>
                <w:rFonts w:ascii="Cambria" w:hAnsi="Cambria"/>
                <w:sz w:val="20"/>
              </w:rPr>
              <w:t>chr4:103138883 G&gt;A</w:t>
            </w:r>
          </w:p>
        </w:tc>
        <w:tc>
          <w:tcPr>
            <w:tcW w:w="1368" w:type="dxa"/>
            <w:shd w:val="clear" w:color="auto" w:fill="F1F5F9"/>
            <w:tcMar>
              <w:top w:w="70" w:type="dxa"/>
              <w:left w:w="80" w:type="dxa"/>
              <w:bottom w:w="70" w:type="dxa"/>
              <w:right w:w="80" w:type="dxa"/>
            </w:tcMar>
            <w:vAlign w:val="center"/>
          </w:tcPr>
          <w:p w14:paraId="462126E0" w14:textId="77777777" w:rsidR="00F25EDA" w:rsidRPr="000C71E1" w:rsidRDefault="00000000">
            <w:pPr>
              <w:spacing w:before="40" w:after="40" w:line="259" w:lineRule="auto"/>
              <w:jc w:val="center"/>
              <w:rPr>
                <w:rFonts w:asciiTheme="majorHAnsi" w:hAnsiTheme="majorHAnsi" w:cstheme="majorHAnsi"/>
              </w:rPr>
            </w:pPr>
            <w:r>
              <w:rPr>
                <w:rFonts w:ascii="Cambria" w:hAnsi="Cambria"/>
                <w:sz w:val="20"/>
              </w:rPr>
              <w:t>-</w:t>
            </w:r>
          </w:p>
        </w:tc>
        <w:tc>
          <w:tcPr>
            <w:tcW w:w="648" w:type="dxa"/>
            <w:shd w:val="clear" w:color="auto" w:fill="F1F5F9"/>
            <w:tcMar>
              <w:top w:w="70" w:type="dxa"/>
              <w:left w:w="80" w:type="dxa"/>
              <w:bottom w:w="70" w:type="dxa"/>
              <w:right w:w="80" w:type="dxa"/>
            </w:tcMar>
            <w:vAlign w:val="center"/>
          </w:tcPr>
          <w:p w14:paraId="00DD3ACB"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0.95</w:t>
            </w:r>
          </w:p>
        </w:tc>
        <w:tc>
          <w:tcPr>
            <w:tcW w:w="1056" w:type="dxa"/>
            <w:shd w:val="clear" w:color="auto" w:fill="F1F5F9"/>
            <w:tcMar>
              <w:top w:w="70" w:type="dxa"/>
              <w:left w:w="80" w:type="dxa"/>
              <w:bottom w:w="70" w:type="dxa"/>
              <w:right w:w="80" w:type="dxa"/>
            </w:tcMar>
            <w:vAlign w:val="center"/>
          </w:tcPr>
          <w:p w14:paraId="422521F0"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secondary</w:t>
            </w:r>
          </w:p>
        </w:tc>
        <w:tc>
          <w:tcPr>
            <w:tcW w:w="3048" w:type="dxa"/>
            <w:shd w:val="clear" w:color="auto" w:fill="F1F5F9"/>
            <w:tcMar>
              <w:top w:w="70" w:type="dxa"/>
              <w:left w:w="80" w:type="dxa"/>
              <w:bottom w:w="70" w:type="dxa"/>
              <w:right w:w="80" w:type="dxa"/>
            </w:tcMar>
            <w:vAlign w:val="center"/>
          </w:tcPr>
          <w:p w14:paraId="2593C3C4" w14:textId="77777777" w:rsidR="00F25EDA" w:rsidRPr="000C71E1" w:rsidRDefault="00000000">
            <w:pPr>
              <w:spacing w:before="40" w:after="40" w:line="259" w:lineRule="auto"/>
              <w:rPr>
                <w:rFonts w:asciiTheme="majorHAnsi" w:hAnsiTheme="majorHAnsi" w:cstheme="majorHAnsi"/>
              </w:rPr>
            </w:pPr>
            <w:r>
              <w:rPr>
                <w:rFonts w:ascii="Cambria" w:hAnsi="Cambria"/>
                <w:sz w:val="20"/>
              </w:rPr>
              <w:t>CENPE Kinesin-7 motor stalk disruption (p.Arg1079Gln, IPI: 0.8016). Destabilizes kinetochore tension and triggers mitotic spindle collapse.</w:t>
            </w:r>
          </w:p>
        </w:tc>
      </w:tr>
      <w:tr w:rsidR="00AC1533" w:rsidRPr="000C71E1" w14:paraId="11EB9DC3" w14:textId="77777777" w:rsidTr="000C71E1">
        <w:trPr>
          <w:cantSplit/>
          <w:jc w:val="center"/>
        </w:trPr>
        <w:tc>
          <w:tcPr>
            <w:tcW w:w="1440" w:type="dxa"/>
            <w:shd w:val="clear" w:color="auto" w:fill="FFFFFF"/>
            <w:tcMar>
              <w:top w:w="70" w:type="dxa"/>
              <w:left w:w="80" w:type="dxa"/>
              <w:bottom w:w="70" w:type="dxa"/>
              <w:right w:w="80" w:type="dxa"/>
            </w:tcMar>
            <w:vAlign w:val="center"/>
          </w:tcPr>
          <w:p w14:paraId="4E3E9C90" w14:textId="77777777" w:rsidR="00AC1533" w:rsidRPr="000C71E1" w:rsidRDefault="00000000">
            <w:pPr>
              <w:spacing w:before="40" w:after="40" w:line="259" w:lineRule="auto"/>
              <w:rPr>
                <w:rFonts w:asciiTheme="majorHAnsi" w:hAnsiTheme="majorHAnsi" w:cstheme="majorHAnsi"/>
              </w:rPr>
            </w:pPr>
            <w:r>
              <w:rPr>
                <w:rFonts w:ascii="Cambria" w:hAnsi="Cambria"/>
                <w:sz w:val="20"/>
              </w:rPr>
              <w:t>3 / PROBAND01</w:t>
            </w:r>
          </w:p>
        </w:tc>
        <w:tc>
          <w:tcPr>
            <w:tcW w:w="1800" w:type="dxa"/>
            <w:shd w:val="clear" w:color="auto" w:fill="FFFFFF"/>
            <w:tcMar>
              <w:top w:w="70" w:type="dxa"/>
              <w:left w:w="80" w:type="dxa"/>
              <w:bottom w:w="70" w:type="dxa"/>
              <w:right w:w="80" w:type="dxa"/>
            </w:tcMar>
            <w:vAlign w:val="center"/>
          </w:tcPr>
          <w:p w14:paraId="5309173A" w14:textId="77777777" w:rsidR="00F25EDA" w:rsidRPr="000C71E1" w:rsidRDefault="00000000">
            <w:pPr>
              <w:spacing w:before="40" w:after="40" w:line="259" w:lineRule="auto"/>
              <w:rPr>
                <w:rFonts w:asciiTheme="majorHAnsi" w:hAnsiTheme="majorHAnsi" w:cstheme="majorHAnsi"/>
              </w:rPr>
            </w:pPr>
            <w:r>
              <w:rPr>
                <w:rFonts w:ascii="Cambria" w:hAnsi="Cambria"/>
                <w:sz w:val="20"/>
              </w:rPr>
              <w:t>chr11:32408514 T&gt;TA (dupA)</w:t>
            </w:r>
          </w:p>
        </w:tc>
        <w:tc>
          <w:tcPr>
            <w:tcW w:w="1368" w:type="dxa"/>
            <w:shd w:val="clear" w:color="auto" w:fill="FFFFFF"/>
            <w:tcMar>
              <w:top w:w="70" w:type="dxa"/>
              <w:left w:w="80" w:type="dxa"/>
              <w:bottom w:w="70" w:type="dxa"/>
              <w:right w:w="80" w:type="dxa"/>
            </w:tcMar>
            <w:vAlign w:val="center"/>
          </w:tcPr>
          <w:p w14:paraId="1ECD00E3"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w:t>
            </w:r>
          </w:p>
        </w:tc>
        <w:tc>
          <w:tcPr>
            <w:tcW w:w="648" w:type="dxa"/>
            <w:shd w:val="clear" w:color="auto" w:fill="FFFFFF"/>
            <w:tcMar>
              <w:top w:w="70" w:type="dxa"/>
              <w:left w:w="80" w:type="dxa"/>
              <w:bottom w:w="70" w:type="dxa"/>
              <w:right w:w="80" w:type="dxa"/>
            </w:tcMar>
            <w:vAlign w:val="center"/>
          </w:tcPr>
          <w:p w14:paraId="39A7BEC3"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0.85</w:t>
            </w:r>
          </w:p>
        </w:tc>
        <w:tc>
          <w:tcPr>
            <w:tcW w:w="1056" w:type="dxa"/>
            <w:shd w:val="clear" w:color="auto" w:fill="FFFFFF"/>
            <w:tcMar>
              <w:top w:w="70" w:type="dxa"/>
              <w:left w:w="80" w:type="dxa"/>
              <w:bottom w:w="70" w:type="dxa"/>
              <w:right w:w="80" w:type="dxa"/>
            </w:tcMar>
            <w:vAlign w:val="center"/>
          </w:tcPr>
          <w:p w14:paraId="734DFE73"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secondary</w:t>
            </w:r>
          </w:p>
        </w:tc>
        <w:tc>
          <w:tcPr>
            <w:tcW w:w="3048" w:type="dxa"/>
            <w:shd w:val="clear" w:color="auto" w:fill="FFFFFF"/>
            <w:tcMar>
              <w:top w:w="70" w:type="dxa"/>
              <w:left w:w="80" w:type="dxa"/>
              <w:bottom w:w="70" w:type="dxa"/>
              <w:right w:w="80" w:type="dxa"/>
            </w:tcMar>
            <w:vAlign w:val="center"/>
          </w:tcPr>
          <w:p w14:paraId="12278A26" w14:textId="77777777" w:rsidR="00F25EDA" w:rsidRPr="000C71E1" w:rsidRDefault="00000000">
            <w:pPr>
              <w:spacing w:before="40" w:after="40" w:line="259" w:lineRule="auto"/>
              <w:rPr>
                <w:rFonts w:asciiTheme="majorHAnsi" w:hAnsiTheme="majorHAnsi" w:cstheme="majorHAnsi"/>
              </w:rPr>
            </w:pPr>
            <w:r>
              <w:rPr>
                <w:rFonts w:ascii="Cambria" w:hAnsi="Cambria"/>
                <w:sz w:val="20"/>
              </w:rPr>
              <w:t>WT1 homozygous zinc-finger ZF2 insertion (chr11:32408514_dupA, c.1180dupA, p.Arg394fs, IPI: 0.7256). Direct pathogenic driver of congenital medullary nephrocalcinosis via loss of TRPV5/calbindin-D28k transactivation.</w:t>
            </w:r>
          </w:p>
        </w:tc>
      </w:tr>
      <w:tr w:rsidR="00AC1533" w:rsidRPr="000C71E1" w14:paraId="11A68D49" w14:textId="77777777" w:rsidTr="000C71E1">
        <w:trPr>
          <w:cantSplit/>
          <w:jc w:val="center"/>
        </w:trPr>
        <w:tc>
          <w:tcPr>
            <w:tcW w:w="1440" w:type="dxa"/>
            <w:shd w:val="clear" w:color="auto" w:fill="F1F5F9"/>
            <w:tcMar>
              <w:top w:w="70" w:type="dxa"/>
              <w:left w:w="80" w:type="dxa"/>
              <w:bottom w:w="70" w:type="dxa"/>
              <w:right w:w="80" w:type="dxa"/>
            </w:tcMar>
            <w:vAlign w:val="center"/>
          </w:tcPr>
          <w:p w14:paraId="17100008" w14:textId="77777777" w:rsidR="00AC1533" w:rsidRPr="000C71E1" w:rsidRDefault="00000000">
            <w:pPr>
              <w:spacing w:before="40" w:after="40" w:line="259" w:lineRule="auto"/>
              <w:rPr>
                <w:rFonts w:asciiTheme="majorHAnsi" w:hAnsiTheme="majorHAnsi" w:cstheme="majorHAnsi"/>
              </w:rPr>
            </w:pPr>
            <w:r>
              <w:rPr>
                <w:rFonts w:ascii="Cambria" w:hAnsi="Cambria"/>
                <w:sz w:val="20"/>
              </w:rPr>
              <w:t>4 / PROBAND01</w:t>
            </w:r>
          </w:p>
        </w:tc>
        <w:tc>
          <w:tcPr>
            <w:tcW w:w="1800" w:type="dxa"/>
            <w:shd w:val="clear" w:color="auto" w:fill="F1F5F9"/>
            <w:tcMar>
              <w:top w:w="70" w:type="dxa"/>
              <w:left w:w="80" w:type="dxa"/>
              <w:bottom w:w="70" w:type="dxa"/>
              <w:right w:w="80" w:type="dxa"/>
            </w:tcMar>
            <w:vAlign w:val="center"/>
          </w:tcPr>
          <w:p w14:paraId="5BDE039A" w14:textId="77777777" w:rsidR="00AC1533" w:rsidRPr="000C71E1" w:rsidRDefault="00000000">
            <w:pPr>
              <w:spacing w:before="40" w:after="40" w:line="259" w:lineRule="auto"/>
              <w:rPr>
                <w:rFonts w:asciiTheme="majorHAnsi" w:hAnsiTheme="majorHAnsi" w:cstheme="majorHAnsi"/>
              </w:rPr>
            </w:pPr>
            <w:r>
              <w:rPr>
                <w:rFonts w:ascii="Cambria" w:hAnsi="Cambria"/>
                <w:sz w:val="20"/>
              </w:rPr>
              <w:t>chr15:40230395 C&gt;CT</w:t>
            </w:r>
          </w:p>
        </w:tc>
        <w:tc>
          <w:tcPr>
            <w:tcW w:w="1368" w:type="dxa"/>
            <w:shd w:val="clear" w:color="auto" w:fill="F1F5F9"/>
            <w:tcMar>
              <w:top w:w="70" w:type="dxa"/>
              <w:left w:w="80" w:type="dxa"/>
              <w:bottom w:w="70" w:type="dxa"/>
              <w:right w:w="80" w:type="dxa"/>
            </w:tcMar>
            <w:vAlign w:val="center"/>
          </w:tcPr>
          <w:p w14:paraId="6F3D1CD5"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w:t>
            </w:r>
          </w:p>
        </w:tc>
        <w:tc>
          <w:tcPr>
            <w:tcW w:w="648" w:type="dxa"/>
            <w:shd w:val="clear" w:color="auto" w:fill="F1F5F9"/>
            <w:tcMar>
              <w:top w:w="70" w:type="dxa"/>
              <w:left w:w="80" w:type="dxa"/>
              <w:bottom w:w="70" w:type="dxa"/>
              <w:right w:w="80" w:type="dxa"/>
            </w:tcMar>
            <w:vAlign w:val="center"/>
          </w:tcPr>
          <w:p w14:paraId="16881B2E"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0.72</w:t>
            </w:r>
          </w:p>
        </w:tc>
        <w:tc>
          <w:tcPr>
            <w:tcW w:w="1056" w:type="dxa"/>
            <w:shd w:val="clear" w:color="auto" w:fill="F1F5F9"/>
            <w:tcMar>
              <w:top w:w="70" w:type="dxa"/>
              <w:left w:w="80" w:type="dxa"/>
              <w:bottom w:w="70" w:type="dxa"/>
              <w:right w:w="80" w:type="dxa"/>
            </w:tcMar>
            <w:vAlign w:val="center"/>
          </w:tcPr>
          <w:p w14:paraId="7E877AAA"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secondary</w:t>
            </w:r>
          </w:p>
        </w:tc>
        <w:tc>
          <w:tcPr>
            <w:tcW w:w="3048" w:type="dxa"/>
            <w:shd w:val="clear" w:color="auto" w:fill="F1F5F9"/>
            <w:tcMar>
              <w:top w:w="70" w:type="dxa"/>
              <w:left w:w="80" w:type="dxa"/>
              <w:bottom w:w="70" w:type="dxa"/>
              <w:right w:w="80" w:type="dxa"/>
            </w:tcMar>
            <w:vAlign w:val="center"/>
          </w:tcPr>
          <w:p w14:paraId="2E79CC7C" w14:textId="77777777" w:rsidR="00AC1533" w:rsidRPr="000C71E1" w:rsidRDefault="00000000">
            <w:pPr>
              <w:spacing w:before="40" w:after="40" w:line="259" w:lineRule="auto"/>
              <w:rPr>
                <w:rFonts w:asciiTheme="majorHAnsi" w:hAnsiTheme="majorHAnsi" w:cstheme="majorHAnsi"/>
              </w:rPr>
            </w:pPr>
            <w:r>
              <w:rPr>
                <w:rFonts w:ascii="Cambria" w:hAnsi="Cambria"/>
                <w:sz w:val="20"/>
              </w:rPr>
              <w:t>BUB1B homozygous frameshift indel in regulatory junction, exacerbating mitotic checkpoint slippage.</w:t>
            </w:r>
          </w:p>
        </w:tc>
      </w:tr>
      <w:tr w:rsidR="00AC1533" w:rsidRPr="000C71E1" w14:paraId="5FF0FC4E" w14:textId="77777777" w:rsidTr="000C71E1">
        <w:trPr>
          <w:cantSplit/>
          <w:jc w:val="center"/>
        </w:trPr>
        <w:tc>
          <w:tcPr>
            <w:tcW w:w="1440" w:type="dxa"/>
            <w:shd w:val="clear" w:color="auto" w:fill="FFFFFF"/>
            <w:tcMar>
              <w:top w:w="70" w:type="dxa"/>
              <w:left w:w="80" w:type="dxa"/>
              <w:bottom w:w="70" w:type="dxa"/>
              <w:right w:w="80" w:type="dxa"/>
            </w:tcMar>
            <w:vAlign w:val="center"/>
          </w:tcPr>
          <w:p w14:paraId="3D86F400" w14:textId="77777777" w:rsidR="00AC1533" w:rsidRPr="000C71E1" w:rsidRDefault="00000000">
            <w:pPr>
              <w:spacing w:before="40" w:after="40" w:line="259" w:lineRule="auto"/>
              <w:rPr>
                <w:rFonts w:asciiTheme="majorHAnsi" w:hAnsiTheme="majorHAnsi" w:cstheme="majorHAnsi"/>
              </w:rPr>
            </w:pPr>
            <w:r>
              <w:rPr>
                <w:rFonts w:ascii="Cambria" w:hAnsi="Cambria"/>
                <w:sz w:val="20"/>
              </w:rPr>
              <w:t>5 / PROBAND01</w:t>
            </w:r>
          </w:p>
        </w:tc>
        <w:tc>
          <w:tcPr>
            <w:tcW w:w="1800" w:type="dxa"/>
            <w:shd w:val="clear" w:color="auto" w:fill="FFFFFF"/>
            <w:tcMar>
              <w:top w:w="70" w:type="dxa"/>
              <w:left w:w="80" w:type="dxa"/>
              <w:bottom w:w="70" w:type="dxa"/>
              <w:right w:w="80" w:type="dxa"/>
            </w:tcMar>
            <w:vAlign w:val="center"/>
          </w:tcPr>
          <w:p w14:paraId="7D4B6C9A" w14:textId="77777777" w:rsidR="00AC1533" w:rsidRPr="000C71E1" w:rsidRDefault="00000000">
            <w:pPr>
              <w:spacing w:before="40" w:after="40" w:line="259" w:lineRule="auto"/>
              <w:rPr>
                <w:rFonts w:asciiTheme="majorHAnsi" w:hAnsiTheme="majorHAnsi" w:cstheme="majorHAnsi"/>
              </w:rPr>
            </w:pPr>
            <w:r>
              <w:rPr>
                <w:rFonts w:ascii="Cambria" w:hAnsi="Cambria"/>
                <w:sz w:val="20"/>
              </w:rPr>
              <w:t>chr15:40216470 A&gt;G</w:t>
            </w:r>
          </w:p>
        </w:tc>
        <w:tc>
          <w:tcPr>
            <w:tcW w:w="1368" w:type="dxa"/>
            <w:shd w:val="clear" w:color="auto" w:fill="FFFFFF"/>
            <w:tcMar>
              <w:top w:w="70" w:type="dxa"/>
              <w:left w:w="80" w:type="dxa"/>
              <w:bottom w:w="70" w:type="dxa"/>
              <w:right w:w="80" w:type="dxa"/>
            </w:tcMar>
            <w:vAlign w:val="center"/>
          </w:tcPr>
          <w:p w14:paraId="51925086"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w:t>
            </w:r>
          </w:p>
        </w:tc>
        <w:tc>
          <w:tcPr>
            <w:tcW w:w="648" w:type="dxa"/>
            <w:shd w:val="clear" w:color="auto" w:fill="FFFFFF"/>
            <w:tcMar>
              <w:top w:w="70" w:type="dxa"/>
              <w:left w:w="80" w:type="dxa"/>
              <w:bottom w:w="70" w:type="dxa"/>
              <w:right w:w="80" w:type="dxa"/>
            </w:tcMar>
            <w:vAlign w:val="center"/>
          </w:tcPr>
          <w:p w14:paraId="7527F2D4"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0.68</w:t>
            </w:r>
          </w:p>
        </w:tc>
        <w:tc>
          <w:tcPr>
            <w:tcW w:w="1056" w:type="dxa"/>
            <w:shd w:val="clear" w:color="auto" w:fill="FFFFFF"/>
            <w:tcMar>
              <w:top w:w="70" w:type="dxa"/>
              <w:left w:w="80" w:type="dxa"/>
              <w:bottom w:w="70" w:type="dxa"/>
              <w:right w:w="80" w:type="dxa"/>
            </w:tcMar>
            <w:vAlign w:val="center"/>
          </w:tcPr>
          <w:p w14:paraId="189B9A2A"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secondary</w:t>
            </w:r>
          </w:p>
        </w:tc>
        <w:tc>
          <w:tcPr>
            <w:tcW w:w="3048" w:type="dxa"/>
            <w:shd w:val="clear" w:color="auto" w:fill="FFFFFF"/>
            <w:tcMar>
              <w:top w:w="70" w:type="dxa"/>
              <w:left w:w="80" w:type="dxa"/>
              <w:bottom w:w="70" w:type="dxa"/>
              <w:right w:w="80" w:type="dxa"/>
            </w:tcMar>
            <w:vAlign w:val="center"/>
          </w:tcPr>
          <w:p w14:paraId="24760D82" w14:textId="77777777" w:rsidR="00AC1533" w:rsidRPr="000C71E1" w:rsidRDefault="00000000">
            <w:pPr>
              <w:spacing w:before="40" w:after="40" w:line="259" w:lineRule="auto"/>
              <w:rPr>
                <w:rFonts w:asciiTheme="majorHAnsi" w:hAnsiTheme="majorHAnsi" w:cstheme="majorHAnsi"/>
              </w:rPr>
            </w:pPr>
            <w:r>
              <w:rPr>
                <w:rFonts w:ascii="Cambria" w:hAnsi="Cambria"/>
                <w:sz w:val="20"/>
              </w:rPr>
              <w:t>BUB1B additional splice region variant, co-segregating with SAC dysregulation.</w:t>
            </w:r>
          </w:p>
        </w:tc>
      </w:tr>
      <w:tr w:rsidR="00AC1533" w:rsidRPr="000C71E1" w14:paraId="600A7D06" w14:textId="77777777" w:rsidTr="000C71E1">
        <w:trPr>
          <w:cantSplit/>
          <w:jc w:val="center"/>
        </w:trPr>
        <w:tc>
          <w:tcPr>
            <w:tcW w:w="1440" w:type="dxa"/>
            <w:shd w:val="clear" w:color="auto" w:fill="F1F5F9"/>
            <w:tcMar>
              <w:top w:w="70" w:type="dxa"/>
              <w:left w:w="80" w:type="dxa"/>
              <w:bottom w:w="70" w:type="dxa"/>
              <w:right w:w="80" w:type="dxa"/>
            </w:tcMar>
            <w:vAlign w:val="center"/>
          </w:tcPr>
          <w:p w14:paraId="3B0C3280" w14:textId="77777777" w:rsidR="00AC1533" w:rsidRPr="000C71E1" w:rsidRDefault="00000000">
            <w:pPr>
              <w:spacing w:before="40" w:after="40" w:line="259" w:lineRule="auto"/>
              <w:rPr>
                <w:rFonts w:asciiTheme="majorHAnsi" w:hAnsiTheme="majorHAnsi" w:cstheme="majorHAnsi"/>
              </w:rPr>
            </w:pPr>
            <w:r>
              <w:rPr>
                <w:rFonts w:ascii="Cambria" w:hAnsi="Cambria"/>
                <w:sz w:val="20"/>
              </w:rPr>
              <w:t>6 / PROBAND01</w:t>
            </w:r>
          </w:p>
        </w:tc>
        <w:tc>
          <w:tcPr>
            <w:tcW w:w="1800" w:type="dxa"/>
            <w:shd w:val="clear" w:color="auto" w:fill="F1F5F9"/>
            <w:tcMar>
              <w:top w:w="70" w:type="dxa"/>
              <w:left w:w="80" w:type="dxa"/>
              <w:bottom w:w="70" w:type="dxa"/>
              <w:right w:w="80" w:type="dxa"/>
            </w:tcMar>
            <w:vAlign w:val="center"/>
          </w:tcPr>
          <w:p w14:paraId="5DFA1D22" w14:textId="77777777" w:rsidR="00AC1533" w:rsidRPr="000C71E1" w:rsidRDefault="00000000">
            <w:pPr>
              <w:spacing w:before="40" w:after="40" w:line="259" w:lineRule="auto"/>
              <w:rPr>
                <w:rFonts w:asciiTheme="majorHAnsi" w:hAnsiTheme="majorHAnsi" w:cstheme="majorHAnsi"/>
              </w:rPr>
            </w:pPr>
            <w:r>
              <w:rPr>
                <w:rFonts w:ascii="Cambria" w:hAnsi="Cambria"/>
                <w:sz w:val="20"/>
              </w:rPr>
              <w:t>chr5:893128 A&gt;C</w:t>
            </w:r>
          </w:p>
        </w:tc>
        <w:tc>
          <w:tcPr>
            <w:tcW w:w="1368" w:type="dxa"/>
            <w:shd w:val="clear" w:color="auto" w:fill="F1F5F9"/>
            <w:tcMar>
              <w:top w:w="70" w:type="dxa"/>
              <w:left w:w="80" w:type="dxa"/>
              <w:bottom w:w="70" w:type="dxa"/>
              <w:right w:w="80" w:type="dxa"/>
            </w:tcMar>
            <w:vAlign w:val="center"/>
          </w:tcPr>
          <w:p w14:paraId="5F3C89E0"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w:t>
            </w:r>
          </w:p>
        </w:tc>
        <w:tc>
          <w:tcPr>
            <w:tcW w:w="648" w:type="dxa"/>
            <w:shd w:val="clear" w:color="auto" w:fill="F1F5F9"/>
            <w:tcMar>
              <w:top w:w="70" w:type="dxa"/>
              <w:left w:w="80" w:type="dxa"/>
              <w:bottom w:w="70" w:type="dxa"/>
              <w:right w:w="80" w:type="dxa"/>
            </w:tcMar>
            <w:vAlign w:val="center"/>
          </w:tcPr>
          <w:p w14:paraId="30823F20"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0.62</w:t>
            </w:r>
          </w:p>
        </w:tc>
        <w:tc>
          <w:tcPr>
            <w:tcW w:w="1056" w:type="dxa"/>
            <w:shd w:val="clear" w:color="auto" w:fill="F1F5F9"/>
            <w:tcMar>
              <w:top w:w="70" w:type="dxa"/>
              <w:left w:w="80" w:type="dxa"/>
              <w:bottom w:w="70" w:type="dxa"/>
              <w:right w:w="80" w:type="dxa"/>
            </w:tcMar>
            <w:vAlign w:val="center"/>
          </w:tcPr>
          <w:p w14:paraId="0FBC85EB"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secondary</w:t>
            </w:r>
          </w:p>
        </w:tc>
        <w:tc>
          <w:tcPr>
            <w:tcW w:w="3048" w:type="dxa"/>
            <w:shd w:val="clear" w:color="auto" w:fill="F1F5F9"/>
            <w:tcMar>
              <w:top w:w="70" w:type="dxa"/>
              <w:left w:w="80" w:type="dxa"/>
              <w:bottom w:w="70" w:type="dxa"/>
              <w:right w:w="80" w:type="dxa"/>
            </w:tcMar>
            <w:vAlign w:val="center"/>
          </w:tcPr>
          <w:p w14:paraId="4E6A534D" w14:textId="77777777" w:rsidR="00AC1533" w:rsidRPr="000C71E1" w:rsidRDefault="00000000">
            <w:pPr>
              <w:spacing w:before="40" w:after="40" w:line="259" w:lineRule="auto"/>
              <w:rPr>
                <w:rFonts w:asciiTheme="majorHAnsi" w:hAnsiTheme="majorHAnsi" w:cstheme="majorHAnsi"/>
              </w:rPr>
            </w:pPr>
            <w:r>
              <w:rPr>
                <w:rFonts w:ascii="Cambria" w:hAnsi="Cambria"/>
                <w:sz w:val="20"/>
              </w:rPr>
              <w:t>TRIP13 (MVA3 locus) AAA+ ATPase modifier, impairing p31comet/MAD2 conformational disassembly.</w:t>
            </w:r>
          </w:p>
        </w:tc>
      </w:tr>
      <w:tr w:rsidR="00AC1533" w:rsidRPr="000C71E1" w14:paraId="405F769E" w14:textId="77777777" w:rsidTr="000C71E1">
        <w:trPr>
          <w:cantSplit/>
          <w:jc w:val="center"/>
        </w:trPr>
        <w:tc>
          <w:tcPr>
            <w:tcW w:w="1440" w:type="dxa"/>
            <w:shd w:val="clear" w:color="auto" w:fill="FFFFFF"/>
            <w:tcMar>
              <w:top w:w="70" w:type="dxa"/>
              <w:left w:w="80" w:type="dxa"/>
              <w:bottom w:w="70" w:type="dxa"/>
              <w:right w:w="80" w:type="dxa"/>
            </w:tcMar>
            <w:vAlign w:val="center"/>
          </w:tcPr>
          <w:p w14:paraId="0D6B3709" w14:textId="77777777" w:rsidR="00AC1533" w:rsidRPr="000C71E1" w:rsidRDefault="00000000">
            <w:pPr>
              <w:spacing w:before="40" w:after="40" w:line="259" w:lineRule="auto"/>
              <w:rPr>
                <w:rFonts w:asciiTheme="majorHAnsi" w:hAnsiTheme="majorHAnsi" w:cstheme="majorHAnsi"/>
              </w:rPr>
            </w:pPr>
            <w:r>
              <w:rPr>
                <w:rFonts w:ascii="Cambria" w:hAnsi="Cambria"/>
                <w:sz w:val="20"/>
              </w:rPr>
              <w:t>7 / PROBAND01</w:t>
            </w:r>
          </w:p>
        </w:tc>
        <w:tc>
          <w:tcPr>
            <w:tcW w:w="1800" w:type="dxa"/>
            <w:shd w:val="clear" w:color="auto" w:fill="FFFFFF"/>
            <w:tcMar>
              <w:top w:w="70" w:type="dxa"/>
              <w:left w:w="80" w:type="dxa"/>
              <w:bottom w:w="70" w:type="dxa"/>
              <w:right w:w="80" w:type="dxa"/>
            </w:tcMar>
            <w:vAlign w:val="center"/>
          </w:tcPr>
          <w:p w14:paraId="652AFE4D" w14:textId="77777777" w:rsidR="00AC1533" w:rsidRPr="000C71E1" w:rsidRDefault="00000000">
            <w:pPr>
              <w:spacing w:before="40" w:after="40" w:line="259" w:lineRule="auto"/>
              <w:rPr>
                <w:rFonts w:asciiTheme="majorHAnsi" w:hAnsiTheme="majorHAnsi" w:cstheme="majorHAnsi"/>
              </w:rPr>
            </w:pPr>
            <w:r>
              <w:rPr>
                <w:rFonts w:ascii="Cambria" w:hAnsi="Cambria"/>
                <w:sz w:val="20"/>
              </w:rPr>
              <w:t>chr5:893132 G&gt;C</w:t>
            </w:r>
          </w:p>
        </w:tc>
        <w:tc>
          <w:tcPr>
            <w:tcW w:w="1368" w:type="dxa"/>
            <w:shd w:val="clear" w:color="auto" w:fill="FFFFFF"/>
            <w:tcMar>
              <w:top w:w="70" w:type="dxa"/>
              <w:left w:w="80" w:type="dxa"/>
              <w:bottom w:w="70" w:type="dxa"/>
              <w:right w:w="80" w:type="dxa"/>
            </w:tcMar>
            <w:vAlign w:val="center"/>
          </w:tcPr>
          <w:p w14:paraId="3D6ACC5B"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w:t>
            </w:r>
          </w:p>
        </w:tc>
        <w:tc>
          <w:tcPr>
            <w:tcW w:w="648" w:type="dxa"/>
            <w:shd w:val="clear" w:color="auto" w:fill="FFFFFF"/>
            <w:tcMar>
              <w:top w:w="70" w:type="dxa"/>
              <w:left w:w="80" w:type="dxa"/>
              <w:bottom w:w="70" w:type="dxa"/>
              <w:right w:w="80" w:type="dxa"/>
            </w:tcMar>
            <w:vAlign w:val="center"/>
          </w:tcPr>
          <w:p w14:paraId="452E869D"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0.60</w:t>
            </w:r>
          </w:p>
        </w:tc>
        <w:tc>
          <w:tcPr>
            <w:tcW w:w="1056" w:type="dxa"/>
            <w:shd w:val="clear" w:color="auto" w:fill="FFFFFF"/>
            <w:tcMar>
              <w:top w:w="70" w:type="dxa"/>
              <w:left w:w="80" w:type="dxa"/>
              <w:bottom w:w="70" w:type="dxa"/>
              <w:right w:w="80" w:type="dxa"/>
            </w:tcMar>
            <w:vAlign w:val="center"/>
          </w:tcPr>
          <w:p w14:paraId="24EF20C9"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secondary</w:t>
            </w:r>
          </w:p>
        </w:tc>
        <w:tc>
          <w:tcPr>
            <w:tcW w:w="3048" w:type="dxa"/>
            <w:shd w:val="clear" w:color="auto" w:fill="FFFFFF"/>
            <w:tcMar>
              <w:top w:w="70" w:type="dxa"/>
              <w:left w:w="80" w:type="dxa"/>
              <w:bottom w:w="70" w:type="dxa"/>
              <w:right w:w="80" w:type="dxa"/>
            </w:tcMar>
            <w:vAlign w:val="center"/>
          </w:tcPr>
          <w:p w14:paraId="04C97A24" w14:textId="77777777" w:rsidR="00AC1533" w:rsidRPr="000C71E1" w:rsidRDefault="00000000">
            <w:pPr>
              <w:spacing w:before="40" w:after="40" w:line="259" w:lineRule="auto"/>
              <w:rPr>
                <w:rFonts w:asciiTheme="majorHAnsi" w:hAnsiTheme="majorHAnsi" w:cstheme="majorHAnsi"/>
              </w:rPr>
            </w:pPr>
            <w:r>
              <w:rPr>
                <w:rFonts w:ascii="Cambria" w:hAnsi="Cambria"/>
                <w:sz w:val="20"/>
              </w:rPr>
              <w:t>TRIP13 catalytic loop variant, co-segregating with SAC dysregulation in anaphase-promoting complex control.</w:t>
            </w:r>
          </w:p>
        </w:tc>
      </w:tr>
      <w:tr w:rsidR="00AC1533" w:rsidRPr="000C71E1" w14:paraId="50CDCDE0" w14:textId="77777777" w:rsidTr="000C71E1">
        <w:trPr>
          <w:cantSplit/>
          <w:jc w:val="center"/>
        </w:trPr>
        <w:tc>
          <w:tcPr>
            <w:tcW w:w="1440" w:type="dxa"/>
            <w:shd w:val="clear" w:color="auto" w:fill="F1F5F9"/>
            <w:tcMar>
              <w:top w:w="70" w:type="dxa"/>
              <w:left w:w="80" w:type="dxa"/>
              <w:bottom w:w="70" w:type="dxa"/>
              <w:right w:w="80" w:type="dxa"/>
            </w:tcMar>
            <w:vAlign w:val="center"/>
          </w:tcPr>
          <w:p w14:paraId="29566670" w14:textId="77777777" w:rsidR="00AC1533" w:rsidRPr="000C71E1" w:rsidRDefault="00000000">
            <w:pPr>
              <w:spacing w:before="40" w:after="40" w:line="259" w:lineRule="auto"/>
              <w:rPr>
                <w:rFonts w:asciiTheme="majorHAnsi" w:hAnsiTheme="majorHAnsi" w:cstheme="majorHAnsi"/>
              </w:rPr>
            </w:pPr>
            <w:r>
              <w:rPr>
                <w:rFonts w:ascii="Cambria" w:hAnsi="Cambria"/>
                <w:sz w:val="20"/>
              </w:rPr>
              <w:t>8 / PROBAND01</w:t>
            </w:r>
          </w:p>
        </w:tc>
        <w:tc>
          <w:tcPr>
            <w:tcW w:w="1800" w:type="dxa"/>
            <w:shd w:val="clear" w:color="auto" w:fill="F1F5F9"/>
            <w:tcMar>
              <w:top w:w="70" w:type="dxa"/>
              <w:left w:w="80" w:type="dxa"/>
              <w:bottom w:w="70" w:type="dxa"/>
              <w:right w:w="80" w:type="dxa"/>
            </w:tcMar>
            <w:vAlign w:val="center"/>
          </w:tcPr>
          <w:p w14:paraId="72A4A4C3" w14:textId="77777777" w:rsidR="00AC1533" w:rsidRPr="000C71E1" w:rsidRDefault="00000000">
            <w:pPr>
              <w:spacing w:before="40" w:after="40" w:line="259" w:lineRule="auto"/>
              <w:rPr>
                <w:rFonts w:asciiTheme="majorHAnsi" w:hAnsiTheme="majorHAnsi" w:cstheme="majorHAnsi"/>
              </w:rPr>
            </w:pPr>
            <w:r>
              <w:rPr>
                <w:rFonts w:ascii="Cambria" w:hAnsi="Cambria"/>
                <w:sz w:val="20"/>
              </w:rPr>
              <w:t>chr14:95136086 T&gt;TACAC</w:t>
            </w:r>
          </w:p>
        </w:tc>
        <w:tc>
          <w:tcPr>
            <w:tcW w:w="1368" w:type="dxa"/>
            <w:shd w:val="clear" w:color="auto" w:fill="F1F5F9"/>
            <w:tcMar>
              <w:top w:w="70" w:type="dxa"/>
              <w:left w:w="80" w:type="dxa"/>
              <w:bottom w:w="70" w:type="dxa"/>
              <w:right w:w="80" w:type="dxa"/>
            </w:tcMar>
            <w:vAlign w:val="center"/>
          </w:tcPr>
          <w:p w14:paraId="3151B105"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w:t>
            </w:r>
          </w:p>
        </w:tc>
        <w:tc>
          <w:tcPr>
            <w:tcW w:w="648" w:type="dxa"/>
            <w:shd w:val="clear" w:color="auto" w:fill="F1F5F9"/>
            <w:tcMar>
              <w:top w:w="70" w:type="dxa"/>
              <w:left w:w="80" w:type="dxa"/>
              <w:bottom w:w="70" w:type="dxa"/>
              <w:right w:w="80" w:type="dxa"/>
            </w:tcMar>
            <w:vAlign w:val="center"/>
          </w:tcPr>
          <w:p w14:paraId="2600E11D"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0.45</w:t>
            </w:r>
          </w:p>
        </w:tc>
        <w:tc>
          <w:tcPr>
            <w:tcW w:w="1056" w:type="dxa"/>
            <w:shd w:val="clear" w:color="auto" w:fill="F1F5F9"/>
            <w:tcMar>
              <w:top w:w="70" w:type="dxa"/>
              <w:left w:w="80" w:type="dxa"/>
              <w:bottom w:w="70" w:type="dxa"/>
              <w:right w:w="80" w:type="dxa"/>
            </w:tcMar>
            <w:vAlign w:val="center"/>
          </w:tcPr>
          <w:p w14:paraId="0AC8D647"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secondary</w:t>
            </w:r>
          </w:p>
        </w:tc>
        <w:tc>
          <w:tcPr>
            <w:tcW w:w="3048" w:type="dxa"/>
            <w:shd w:val="clear" w:color="auto" w:fill="F1F5F9"/>
            <w:tcMar>
              <w:top w:w="70" w:type="dxa"/>
              <w:left w:w="80" w:type="dxa"/>
              <w:bottom w:w="70" w:type="dxa"/>
              <w:right w:w="80" w:type="dxa"/>
            </w:tcMar>
            <w:vAlign w:val="center"/>
          </w:tcPr>
          <w:p w14:paraId="55D112DF" w14:textId="77777777" w:rsidR="00AC1533" w:rsidRPr="000C71E1" w:rsidRDefault="00000000">
            <w:pPr>
              <w:spacing w:before="40" w:after="40" w:line="259" w:lineRule="auto"/>
              <w:rPr>
                <w:rFonts w:asciiTheme="majorHAnsi" w:hAnsiTheme="majorHAnsi" w:cstheme="majorHAnsi"/>
              </w:rPr>
            </w:pPr>
            <w:r>
              <w:rPr>
                <w:rFonts w:ascii="Cambria" w:hAnsi="Cambria"/>
                <w:sz w:val="20"/>
              </w:rPr>
              <w:t>DICER1 regulatory microRNA biogenesis modifier, predisposing to embryonal rhabdomyosarcoma.</w:t>
            </w:r>
          </w:p>
        </w:tc>
      </w:tr>
      <w:tr w:rsidR="00AC1533" w:rsidRPr="000C71E1" w14:paraId="795FD189" w14:textId="77777777" w:rsidTr="000C71E1">
        <w:trPr>
          <w:cantSplit/>
          <w:jc w:val="center"/>
        </w:trPr>
        <w:tc>
          <w:tcPr>
            <w:tcW w:w="1440" w:type="dxa"/>
            <w:shd w:val="clear" w:color="auto" w:fill="FFFFFF"/>
            <w:tcMar>
              <w:top w:w="70" w:type="dxa"/>
              <w:left w:w="80" w:type="dxa"/>
              <w:bottom w:w="70" w:type="dxa"/>
              <w:right w:w="80" w:type="dxa"/>
            </w:tcMar>
            <w:vAlign w:val="center"/>
          </w:tcPr>
          <w:p w14:paraId="025FF48D" w14:textId="77777777" w:rsidR="00AC1533" w:rsidRPr="000C71E1" w:rsidRDefault="00000000">
            <w:pPr>
              <w:spacing w:before="40" w:after="40" w:line="259" w:lineRule="auto"/>
              <w:rPr>
                <w:rFonts w:asciiTheme="majorHAnsi" w:hAnsiTheme="majorHAnsi" w:cstheme="majorHAnsi"/>
              </w:rPr>
            </w:pPr>
            <w:r>
              <w:rPr>
                <w:rFonts w:ascii="Cambria" w:hAnsi="Cambria"/>
                <w:sz w:val="20"/>
              </w:rPr>
              <w:t>9 / PROBAND01</w:t>
            </w:r>
          </w:p>
        </w:tc>
        <w:tc>
          <w:tcPr>
            <w:tcW w:w="1800" w:type="dxa"/>
            <w:shd w:val="clear" w:color="auto" w:fill="FFFFFF"/>
            <w:tcMar>
              <w:top w:w="70" w:type="dxa"/>
              <w:left w:w="80" w:type="dxa"/>
              <w:bottom w:w="70" w:type="dxa"/>
              <w:right w:w="80" w:type="dxa"/>
            </w:tcMar>
            <w:vAlign w:val="center"/>
          </w:tcPr>
          <w:p w14:paraId="36358776" w14:textId="77777777" w:rsidR="00AC1533" w:rsidRPr="000C71E1" w:rsidRDefault="00000000">
            <w:pPr>
              <w:spacing w:before="40" w:after="40" w:line="259" w:lineRule="auto"/>
              <w:rPr>
                <w:rFonts w:asciiTheme="majorHAnsi" w:hAnsiTheme="majorHAnsi" w:cstheme="majorHAnsi"/>
              </w:rPr>
            </w:pPr>
            <w:r>
              <w:rPr>
                <w:rFonts w:ascii="Cambria" w:hAnsi="Cambria"/>
                <w:sz w:val="20"/>
              </w:rPr>
              <w:t>chr15:40229717 C&gt;G</w:t>
            </w:r>
          </w:p>
        </w:tc>
        <w:tc>
          <w:tcPr>
            <w:tcW w:w="1368" w:type="dxa"/>
            <w:shd w:val="clear" w:color="auto" w:fill="FFFFFF"/>
            <w:tcMar>
              <w:top w:w="70" w:type="dxa"/>
              <w:left w:w="80" w:type="dxa"/>
              <w:bottom w:w="70" w:type="dxa"/>
              <w:right w:w="80" w:type="dxa"/>
            </w:tcMar>
            <w:vAlign w:val="center"/>
          </w:tcPr>
          <w:p w14:paraId="3E9A833A"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w:t>
            </w:r>
          </w:p>
        </w:tc>
        <w:tc>
          <w:tcPr>
            <w:tcW w:w="648" w:type="dxa"/>
            <w:shd w:val="clear" w:color="auto" w:fill="FFFFFF"/>
            <w:tcMar>
              <w:top w:w="70" w:type="dxa"/>
              <w:left w:w="80" w:type="dxa"/>
              <w:bottom w:w="70" w:type="dxa"/>
              <w:right w:w="80" w:type="dxa"/>
            </w:tcMar>
            <w:vAlign w:val="center"/>
          </w:tcPr>
          <w:p w14:paraId="48A90BE1"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0.20</w:t>
            </w:r>
          </w:p>
        </w:tc>
        <w:tc>
          <w:tcPr>
            <w:tcW w:w="1056" w:type="dxa"/>
            <w:shd w:val="clear" w:color="auto" w:fill="FFFFFF"/>
            <w:tcMar>
              <w:top w:w="70" w:type="dxa"/>
              <w:left w:w="80" w:type="dxa"/>
              <w:bottom w:w="70" w:type="dxa"/>
              <w:right w:w="80" w:type="dxa"/>
            </w:tcMar>
            <w:vAlign w:val="center"/>
          </w:tcPr>
          <w:p w14:paraId="18399F57" w14:textId="77777777" w:rsidR="00AC1533" w:rsidRPr="000C71E1" w:rsidRDefault="00000000">
            <w:pPr>
              <w:spacing w:before="40" w:after="40" w:line="259" w:lineRule="auto"/>
              <w:jc w:val="center"/>
              <w:rPr>
                <w:rFonts w:asciiTheme="majorHAnsi" w:hAnsiTheme="majorHAnsi" w:cstheme="majorHAnsi"/>
              </w:rPr>
            </w:pPr>
            <w:r>
              <w:rPr>
                <w:rFonts w:ascii="Cambria" w:hAnsi="Cambria"/>
                <w:sz w:val="20"/>
              </w:rPr>
              <w:t>secondary</w:t>
            </w:r>
          </w:p>
        </w:tc>
        <w:tc>
          <w:tcPr>
            <w:tcW w:w="3048" w:type="dxa"/>
            <w:shd w:val="clear" w:color="auto" w:fill="FFFFFF"/>
            <w:tcMar>
              <w:top w:w="70" w:type="dxa"/>
              <w:left w:w="80" w:type="dxa"/>
              <w:bottom w:w="70" w:type="dxa"/>
              <w:right w:w="80" w:type="dxa"/>
            </w:tcMar>
            <w:vAlign w:val="center"/>
          </w:tcPr>
          <w:p w14:paraId="75A295F5" w14:textId="77777777" w:rsidR="00AC1533" w:rsidRPr="000C71E1" w:rsidRDefault="00000000">
            <w:pPr>
              <w:spacing w:before="40" w:after="40" w:line="259" w:lineRule="auto"/>
              <w:rPr>
                <w:rFonts w:asciiTheme="majorHAnsi" w:hAnsiTheme="majorHAnsi" w:cstheme="majorHAnsi"/>
              </w:rPr>
            </w:pPr>
            <w:r>
              <w:rPr>
                <w:rFonts w:ascii="Cambria" w:hAnsi="Cambria"/>
                <w:sz w:val="20"/>
              </w:rPr>
              <w:t>BUB1B deep intronic polymorphism with neutral evolutionary score.</w:t>
            </w:r>
          </w:p>
        </w:tc>
      </w:tr>
      <w:tr w:rsidR="00F25EDA" w:rsidRPr="000C71E1" w14:paraId="034F94F8" w14:textId="77777777" w:rsidTr="000C71E1">
        <w:trPr>
          <w:cantSplit/>
          <w:jc w:val="center"/>
        </w:trPr>
        <w:tc>
          <w:tcPr>
            <w:tcW w:w="1440" w:type="dxa"/>
            <w:shd w:val="clear" w:color="auto" w:fill="F1F5F9"/>
            <w:tcMar>
              <w:top w:w="70" w:type="dxa"/>
              <w:left w:w="80" w:type="dxa"/>
              <w:bottom w:w="70" w:type="dxa"/>
              <w:right w:w="80" w:type="dxa"/>
            </w:tcMar>
            <w:vAlign w:val="center"/>
          </w:tcPr>
          <w:p w14:paraId="6BF66695" w14:textId="77777777" w:rsidR="00F25EDA" w:rsidRPr="000C71E1" w:rsidRDefault="00000000">
            <w:pPr>
              <w:spacing w:before="40" w:after="40" w:line="259" w:lineRule="auto"/>
              <w:rPr>
                <w:rFonts w:asciiTheme="majorHAnsi" w:hAnsiTheme="majorHAnsi" w:cstheme="majorHAnsi"/>
              </w:rPr>
            </w:pPr>
            <w:r>
              <w:rPr>
                <w:rFonts w:ascii="Cambria" w:hAnsi="Cambria"/>
                <w:sz w:val="20"/>
              </w:rPr>
              <w:t>10 / PROBAND01</w:t>
            </w:r>
          </w:p>
        </w:tc>
        <w:tc>
          <w:tcPr>
            <w:tcW w:w="1800" w:type="dxa"/>
            <w:shd w:val="clear" w:color="auto" w:fill="F1F5F9"/>
            <w:tcMar>
              <w:top w:w="70" w:type="dxa"/>
              <w:left w:w="80" w:type="dxa"/>
              <w:bottom w:w="70" w:type="dxa"/>
              <w:right w:w="80" w:type="dxa"/>
            </w:tcMar>
            <w:vAlign w:val="center"/>
          </w:tcPr>
          <w:p w14:paraId="66CA5F08" w14:textId="77777777" w:rsidR="00F25EDA" w:rsidRPr="000C71E1" w:rsidRDefault="00000000">
            <w:pPr>
              <w:spacing w:before="40" w:after="40" w:line="259" w:lineRule="auto"/>
              <w:rPr>
                <w:rFonts w:asciiTheme="majorHAnsi" w:hAnsiTheme="majorHAnsi" w:cstheme="majorHAnsi"/>
              </w:rPr>
            </w:pPr>
            <w:r>
              <w:rPr>
                <w:rFonts w:ascii="Cambria" w:hAnsi="Cambria"/>
                <w:sz w:val="20"/>
              </w:rPr>
              <w:t>chr11:95842812 C&gt;T</w:t>
            </w:r>
          </w:p>
        </w:tc>
        <w:tc>
          <w:tcPr>
            <w:tcW w:w="1368" w:type="dxa"/>
            <w:shd w:val="clear" w:color="auto" w:fill="F1F5F9"/>
            <w:tcMar>
              <w:top w:w="70" w:type="dxa"/>
              <w:left w:w="80" w:type="dxa"/>
              <w:bottom w:w="70" w:type="dxa"/>
              <w:right w:w="80" w:type="dxa"/>
            </w:tcMar>
            <w:vAlign w:val="center"/>
          </w:tcPr>
          <w:p w14:paraId="7CACAE50" w14:textId="77777777" w:rsidR="00F25EDA" w:rsidRPr="000C71E1" w:rsidRDefault="00000000">
            <w:pPr>
              <w:spacing w:before="40" w:after="40" w:line="259" w:lineRule="auto"/>
              <w:jc w:val="center"/>
              <w:rPr>
                <w:rFonts w:asciiTheme="majorHAnsi" w:hAnsiTheme="majorHAnsi" w:cstheme="majorHAnsi"/>
              </w:rPr>
            </w:pPr>
            <w:r>
              <w:rPr>
                <w:rFonts w:ascii="Cambria" w:hAnsi="Cambria"/>
                <w:sz w:val="20"/>
              </w:rPr>
              <w:t>-</w:t>
            </w:r>
          </w:p>
        </w:tc>
        <w:tc>
          <w:tcPr>
            <w:tcW w:w="648" w:type="dxa"/>
            <w:shd w:val="clear" w:color="auto" w:fill="F1F5F9"/>
            <w:tcMar>
              <w:top w:w="70" w:type="dxa"/>
              <w:left w:w="80" w:type="dxa"/>
              <w:bottom w:w="70" w:type="dxa"/>
              <w:right w:w="80" w:type="dxa"/>
            </w:tcMar>
            <w:vAlign w:val="center"/>
          </w:tcPr>
          <w:p w14:paraId="07A82F4C" w14:textId="77777777" w:rsidR="00F25EDA" w:rsidRPr="000C71E1" w:rsidRDefault="00000000">
            <w:pPr>
              <w:spacing w:before="40" w:after="40" w:line="259" w:lineRule="auto"/>
              <w:jc w:val="center"/>
              <w:rPr>
                <w:rFonts w:asciiTheme="majorHAnsi" w:hAnsiTheme="majorHAnsi" w:cstheme="majorHAnsi"/>
              </w:rPr>
            </w:pPr>
            <w:r>
              <w:rPr>
                <w:rFonts w:ascii="Cambria" w:hAnsi="Cambria"/>
                <w:sz w:val="20"/>
              </w:rPr>
              <w:t>0.15</w:t>
            </w:r>
          </w:p>
        </w:tc>
        <w:tc>
          <w:tcPr>
            <w:tcW w:w="1056" w:type="dxa"/>
            <w:shd w:val="clear" w:color="auto" w:fill="F1F5F9"/>
            <w:tcMar>
              <w:top w:w="70" w:type="dxa"/>
              <w:left w:w="80" w:type="dxa"/>
              <w:bottom w:w="70" w:type="dxa"/>
              <w:right w:w="80" w:type="dxa"/>
            </w:tcMar>
            <w:vAlign w:val="center"/>
          </w:tcPr>
          <w:p w14:paraId="5A2B3061" w14:textId="77777777" w:rsidR="00F25EDA" w:rsidRPr="000C71E1" w:rsidRDefault="00000000">
            <w:pPr>
              <w:spacing w:before="40" w:after="40" w:line="259" w:lineRule="auto"/>
              <w:jc w:val="center"/>
              <w:rPr>
                <w:rFonts w:asciiTheme="majorHAnsi" w:hAnsiTheme="majorHAnsi" w:cstheme="majorHAnsi"/>
              </w:rPr>
            </w:pPr>
            <w:r>
              <w:rPr>
                <w:rFonts w:ascii="Cambria" w:hAnsi="Cambria"/>
                <w:sz w:val="20"/>
              </w:rPr>
              <w:t>secondary</w:t>
            </w:r>
          </w:p>
        </w:tc>
        <w:tc>
          <w:tcPr>
            <w:tcW w:w="3048" w:type="dxa"/>
            <w:shd w:val="clear" w:color="auto" w:fill="F1F5F9"/>
            <w:tcMar>
              <w:top w:w="70" w:type="dxa"/>
              <w:left w:w="80" w:type="dxa"/>
              <w:bottom w:w="70" w:type="dxa"/>
              <w:right w:w="80" w:type="dxa"/>
            </w:tcMar>
            <w:vAlign w:val="center"/>
          </w:tcPr>
          <w:p w14:paraId="45EBD4CD" w14:textId="77777777" w:rsidR="00F25EDA" w:rsidRPr="000C71E1" w:rsidRDefault="00000000">
            <w:pPr>
              <w:spacing w:before="40" w:after="40" w:line="259" w:lineRule="auto"/>
              <w:rPr>
                <w:rFonts w:asciiTheme="majorHAnsi" w:hAnsiTheme="majorHAnsi" w:cstheme="majorHAnsi"/>
              </w:rPr>
            </w:pPr>
            <w:r>
              <w:rPr>
                <w:rFonts w:ascii="Cambria" w:hAnsi="Cambria"/>
                <w:sz w:val="20"/>
              </w:rPr>
              <w:t>CEP57 (MVA2 locus) centrosomal attachment modifier (p.Arg198Ter / c.592C&gt;T), co-segregating with microtubule nucleation fidelity.</w:t>
            </w:r>
          </w:p>
        </w:tc>
      </w:tr>
    </w:tbl>
    <w:p w14:paraId="1F128F11"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6. Precision Multidisciplinary Surveillance and Clinical Protocol</w:t>
      </w:r>
    </w:p>
    <w:p w14:paraId="26072FA9"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6.1 Nephrocalcinosis Management and Tubular Nephroprotection</w:t>
      </w:r>
    </w:p>
    <w:p w14:paraId="7CBC1E83" w14:textId="77777777" w:rsidR="00AC1533" w:rsidRPr="000C71E1" w:rsidRDefault="00000000">
      <w:pPr>
        <w:spacing w:before="60" w:after="100"/>
        <w:ind w:left="360" w:hanging="259"/>
        <w:jc w:val="both"/>
        <w:rPr>
          <w:rFonts w:asciiTheme="majorHAnsi" w:hAnsiTheme="majorHAnsi" w:cstheme="majorHAnsi"/>
        </w:rPr>
      </w:pPr>
      <w:r>
        <w:rPr>
          <w:b/>
          <w:color w:val="0F294A"/>
        </w:rPr>
        <w:t>1. High-Resolution Renal Ultrasound Every 3 Months:</w:t>
      </w:r>
      <w:r>
        <w:t xml:space="preserve"> Serial monitoring of medullary </w:t>
      </w:r>
      <w:proofErr w:type="spellStart"/>
      <w:r>
        <w:t>hyperechogenicity</w:t>
      </w:r>
      <w:proofErr w:type="spellEnd"/>
      <w:r>
        <w:t xml:space="preserve"> density and Anderson-Carr grading, based on international pediatric nephrocalcinosis guidelines [177-179].</w:t>
      </w:r>
    </w:p>
    <w:p w14:paraId="57EB89AA" w14:textId="77777777" w:rsidR="00AC1533" w:rsidRPr="000C71E1" w:rsidRDefault="00000000">
      <w:pPr>
        <w:spacing w:before="60" w:after="100"/>
        <w:ind w:left="360" w:hanging="259"/>
        <w:jc w:val="both"/>
        <w:rPr>
          <w:rFonts w:asciiTheme="majorHAnsi" w:hAnsiTheme="majorHAnsi" w:cstheme="majorHAnsi"/>
        </w:rPr>
      </w:pPr>
      <w:r>
        <w:rPr>
          <w:b/>
          <w:color w:val="0F294A"/>
        </w:rPr>
        <w:t>2. Urinary Alkalinization and Luminal Chelation:</w:t>
      </w:r>
      <w:r>
        <w:t xml:space="preserve"> Potassium citrate titrated (1–2 </w:t>
      </w:r>
      <w:proofErr w:type="spellStart"/>
      <w:r>
        <w:t>mEq</w:t>
      </w:r>
      <w:proofErr w:type="spellEnd"/>
      <w:r>
        <w:t>/kg/day in 3 divided doses) to maintain target urinary pH 6.5–7.0, forming soluble calcium-citrate complexes that inhibit crystal aggregation.</w:t>
      </w:r>
    </w:p>
    <w:p w14:paraId="020D2530" w14:textId="77777777" w:rsidR="00AC1533" w:rsidRPr="000C71E1" w:rsidRDefault="00000000">
      <w:pPr>
        <w:spacing w:before="60" w:after="100"/>
        <w:ind w:left="360" w:hanging="259"/>
        <w:jc w:val="both"/>
        <w:rPr>
          <w:rFonts w:asciiTheme="majorHAnsi" w:hAnsiTheme="majorHAnsi" w:cstheme="majorHAnsi"/>
        </w:rPr>
      </w:pPr>
      <w:r>
        <w:rPr>
          <w:b/>
          <w:color w:val="0F294A"/>
        </w:rPr>
        <w:t>3. Thiazide Diuretics for Hypercalciuria:</w:t>
      </w:r>
      <w:r>
        <w:t xml:space="preserve"> For persistent idiopathic hypercalciuria (&gt;4 mg/kg/day), hydrochlorothiazide (0.5–1.0 mg/kg/day) promotes active calcium reabsorption.</w:t>
      </w:r>
    </w:p>
    <w:p w14:paraId="4D586187"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6.2 Pediatric Oncology Surveillance Protocol for Wilms Tumor and Rhabdomyosarcoma</w:t>
      </w:r>
    </w:p>
    <w:p w14:paraId="52A24FA3" w14:textId="77777777" w:rsidR="00AC1533" w:rsidRPr="000C71E1" w:rsidRDefault="00000000">
      <w:pPr>
        <w:spacing w:before="60" w:after="100"/>
        <w:ind w:left="360" w:hanging="259"/>
        <w:jc w:val="both"/>
        <w:rPr>
          <w:rFonts w:asciiTheme="majorHAnsi" w:hAnsiTheme="majorHAnsi" w:cstheme="majorHAnsi"/>
        </w:rPr>
      </w:pPr>
      <w:r>
        <w:rPr>
          <w:b/>
          <w:color w:val="0F294A"/>
        </w:rPr>
        <w:t>1. Total Abdominal Ultrasound Every 3 Months until Age 8:</w:t>
      </w:r>
      <w:r>
        <w:t xml:space="preserve"> Adhering to international pediatric oncology consortium guidelines for Wilms tumor predisposition syndromes [180], rigorously screening for cortical nodules (&lt;1 cm) and retroperitoneal masses.</w:t>
      </w:r>
    </w:p>
    <w:p w14:paraId="37D5F7A8" w14:textId="77777777" w:rsidR="00AC1533" w:rsidRPr="000C71E1" w:rsidRDefault="00000000">
      <w:pPr>
        <w:spacing w:before="60" w:after="100"/>
        <w:ind w:left="360" w:hanging="259"/>
        <w:jc w:val="both"/>
        <w:rPr>
          <w:rFonts w:asciiTheme="majorHAnsi" w:hAnsiTheme="majorHAnsi" w:cstheme="majorHAnsi"/>
        </w:rPr>
      </w:pPr>
      <w:r>
        <w:rPr>
          <w:b/>
          <w:color w:val="0F294A"/>
        </w:rPr>
        <w:t>2. Soft Tissue and Pelvic Surveillance:</w:t>
      </w:r>
      <w:r>
        <w:t xml:space="preserve"> Bimonthly physical examination evaluating the orbit, nasopharynx, trunk, and extremities.</w:t>
      </w:r>
    </w:p>
    <w:p w14:paraId="268AC0E6" w14:textId="77777777" w:rsidR="00AC1533" w:rsidRPr="000C71E1" w:rsidRDefault="00000000">
      <w:pPr>
        <w:spacing w:before="60" w:after="100"/>
        <w:ind w:left="360" w:hanging="259"/>
        <w:jc w:val="both"/>
        <w:rPr>
          <w:rFonts w:asciiTheme="majorHAnsi" w:hAnsiTheme="majorHAnsi" w:cstheme="majorHAnsi"/>
        </w:rPr>
      </w:pPr>
      <w:r>
        <w:rPr>
          <w:b/>
          <w:color w:val="0F294A"/>
        </w:rPr>
        <w:t>3. Annual Abdominopelvic and Brain MRI:</w:t>
      </w:r>
      <w:r>
        <w:t xml:space="preserve"> High-resolution radiation-free imaging (ionizing radiation is strictly contraindicated due to constitutional genomic instability).</w:t>
      </w:r>
    </w:p>
    <w:p w14:paraId="3416FB5E"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6.3 Neurodevelopmental Support and Metabolic Nutrition</w:t>
      </w:r>
    </w:p>
    <w:p w14:paraId="70B60762" w14:textId="77777777" w:rsidR="00AC1533" w:rsidRPr="000C71E1" w:rsidRDefault="00000000">
      <w:pPr>
        <w:spacing w:before="60" w:after="100"/>
        <w:ind w:left="360" w:hanging="259"/>
        <w:jc w:val="both"/>
        <w:rPr>
          <w:rFonts w:asciiTheme="majorHAnsi" w:hAnsiTheme="majorHAnsi" w:cstheme="majorHAnsi"/>
        </w:rPr>
      </w:pPr>
      <w:r>
        <w:rPr>
          <w:b/>
          <w:color w:val="0F294A"/>
        </w:rPr>
        <w:t>1. Early Physical and Speech Therapy:</w:t>
      </w:r>
      <w:r>
        <w:t xml:space="preserve"> Preserving joint mobility and maximizing safe swallowing.</w:t>
      </w:r>
    </w:p>
    <w:p w14:paraId="12462A53" w14:textId="77777777" w:rsidR="00AC1533" w:rsidRPr="000C71E1" w:rsidRDefault="00000000">
      <w:pPr>
        <w:spacing w:before="60" w:after="100"/>
        <w:ind w:left="360" w:hanging="259"/>
        <w:jc w:val="both"/>
        <w:rPr>
          <w:rFonts w:asciiTheme="majorHAnsi" w:hAnsiTheme="majorHAnsi" w:cstheme="majorHAnsi"/>
        </w:rPr>
      </w:pPr>
      <w:r>
        <w:rPr>
          <w:b/>
          <w:color w:val="0F294A"/>
        </w:rPr>
        <w:t>2. Enteral Hypercaloric Support:</w:t>
      </w:r>
      <w:r>
        <w:t xml:space="preserve"> Delivering 110–120 kcal/kg/day via medium-chain triglyceride-enriched formulas.</w:t>
      </w:r>
    </w:p>
    <w:p w14:paraId="28D25F09"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6.4 Genetic Counseling and Reproductive Planning</w:t>
      </w:r>
    </w:p>
    <w:p w14:paraId="2994AE8B" w14:textId="77777777" w:rsidR="00AC1533" w:rsidRPr="000C71E1" w:rsidRDefault="00000000">
      <w:pPr>
        <w:spacing w:before="60" w:after="100"/>
        <w:ind w:left="360" w:hanging="259"/>
        <w:jc w:val="both"/>
        <w:rPr>
          <w:rFonts w:asciiTheme="majorHAnsi" w:hAnsiTheme="majorHAnsi" w:cstheme="majorHAnsi"/>
        </w:rPr>
      </w:pPr>
      <w:r>
        <w:rPr>
          <w:b/>
          <w:color w:val="0F294A"/>
        </w:rPr>
        <w:t>1. Recurrence Risk:</w:t>
      </w:r>
      <w:r>
        <w:t xml:space="preserve"> Established at 25% (1 in 4) per pregnancy for autosomal recessive </w:t>
      </w:r>
      <w:r>
        <w:rPr>
          <w:i/>
        </w:rPr>
        <w:t>BUB1B</w:t>
      </w:r>
      <w:r>
        <w:t xml:space="preserve"> and </w:t>
      </w:r>
      <w:r>
        <w:rPr>
          <w:i/>
        </w:rPr>
        <w:t>WT1</w:t>
      </w:r>
      <w:r>
        <w:t xml:space="preserve"> variants.</w:t>
      </w:r>
    </w:p>
    <w:p w14:paraId="47F8CEE8" w14:textId="77777777" w:rsidR="00AC1533" w:rsidRPr="000C71E1" w:rsidRDefault="00000000">
      <w:pPr>
        <w:spacing w:before="60" w:after="100"/>
        <w:ind w:left="360" w:hanging="259"/>
        <w:jc w:val="both"/>
        <w:rPr>
          <w:rFonts w:asciiTheme="majorHAnsi" w:hAnsiTheme="majorHAnsi" w:cstheme="majorHAnsi"/>
        </w:rPr>
      </w:pPr>
      <w:r>
        <w:rPr>
          <w:b/>
          <w:color w:val="0F294A"/>
        </w:rPr>
        <w:t>2. Preimplantation Genetic Diagnosis (PGD):</w:t>
      </w:r>
      <w:r>
        <w:t xml:space="preserve"> Recommended molecular embryo screening for future gestations.</w:t>
      </w:r>
    </w:p>
    <w:p w14:paraId="2F266DE7" w14:textId="77777777" w:rsidR="00F25EDA" w:rsidRPr="000C71E1" w:rsidRDefault="00000000">
      <w:pPr>
        <w:pStyle w:val="Ttulo2"/>
        <w:spacing w:before="240" w:after="80"/>
        <w:rPr>
          <w:rFonts w:cstheme="majorHAnsi"/>
        </w:rPr>
      </w:pPr>
      <w:r w:rsidRPr="000C71E1">
        <w:rPr>
          <w:rFonts w:ascii="Calibri" w:hAnsi="Calibri" w:cstheme="majorHAnsi"/>
          <w:color w:val="1E3A8A"/>
          <w:sz w:val="25"/>
        </w:rPr>
        <w:lastRenderedPageBreak/>
        <w:t xml:space="preserve">6.5 Emerging Targeted Molecular and </w:t>
      </w:r>
      <w:proofErr w:type="spellStart"/>
      <w:r w:rsidRPr="000C71E1">
        <w:rPr>
          <w:rFonts w:ascii="Calibri" w:hAnsi="Calibri" w:cstheme="majorHAnsi"/>
          <w:color w:val="1E3A8A"/>
          <w:sz w:val="25"/>
        </w:rPr>
        <w:t>Senotherapeutic</w:t>
      </w:r>
      <w:proofErr w:type="spellEnd"/>
      <w:r w:rsidRPr="000C71E1">
        <w:rPr>
          <w:rFonts w:ascii="Calibri" w:hAnsi="Calibri" w:cstheme="majorHAnsi"/>
          <w:color w:val="1E3A8A"/>
          <w:sz w:val="25"/>
        </w:rPr>
        <w:t xml:space="preserve"> Horizons (Translational Horizon)</w:t>
      </w:r>
    </w:p>
    <w:p w14:paraId="705305AA" w14:textId="77777777" w:rsidR="000C71E1" w:rsidRDefault="00000000">
      <w:pPr>
        <w:spacing w:after="120"/>
        <w:jc w:val="both"/>
        <w:rPr>
          <w:rFonts w:asciiTheme="majorHAnsi" w:hAnsiTheme="majorHAnsi" w:cstheme="majorHAnsi"/>
        </w:rPr>
      </w:pPr>
      <w:r>
        <w:t>As synthesized in the integrative pathophysiological mechanism (Figure 4, bottom right), the discovery of dual mitotic (</w:t>
      </w:r>
      <w:r>
        <w:rPr>
          <w:i/>
        </w:rPr>
        <w:t>BUB1B</w:t>
      </w:r>
      <w:r>
        <w:t>/</w:t>
      </w:r>
      <w:r>
        <w:rPr>
          <w:i/>
        </w:rPr>
        <w:t>CENPE</w:t>
      </w:r>
      <w:r>
        <w:t>) and nephrological (</w:t>
      </w:r>
      <w:r>
        <w:rPr>
          <w:i/>
        </w:rPr>
        <w:t>WT1</w:t>
      </w:r>
      <w:r>
        <w:t>) genetic lesions charts an actionable translational roadmap extending beyond conventional electrolyte supplementation:</w:t>
      </w:r>
    </w:p>
    <w:p w14:paraId="3C0D474A" w14:textId="77777777" w:rsidR="00F25EDA" w:rsidRPr="000C71E1" w:rsidRDefault="00000000">
      <w:pPr>
        <w:spacing w:before="60" w:after="100"/>
        <w:ind w:left="360" w:hanging="259"/>
        <w:jc w:val="both"/>
        <w:rPr>
          <w:rFonts w:asciiTheme="majorHAnsi" w:hAnsiTheme="majorHAnsi" w:cstheme="majorHAnsi"/>
        </w:rPr>
      </w:pPr>
      <w:r>
        <w:rPr>
          <w:b/>
          <w:color w:val="0F294A"/>
        </w:rPr>
        <w:t>1. Senolytic and SASP-Neutralizing Therapy:</w:t>
      </w:r>
      <w:r>
        <w:t xml:space="preserve"> Aneuploid tubular epithelial cells subjected to persistent mitotic arrest activate the senescence-associated secretory phenotype (SASP), secreting pro-fibrotic cytokines (IL-6, MMP-2) that exacerbate interstitial calcification. Preclinical models developed in companion Article 2 demonstrate that non-thrombocytopenic BCL-</w:t>
      </w:r>
      <w:proofErr w:type="spellStart"/>
      <w:r>
        <w:t>xL</w:t>
      </w:r>
      <w:proofErr w:type="spellEnd"/>
      <w:r>
        <w:t>/senescence-directed PROTACs (such as MVA-SEN-005) paired with axolotl-derived cytoprotective peptides (MVA-AMP-01, MVA-AMP-12, MVA-AMP-13) selectively eliminate arrested cells without bone marrow toxicity.</w:t>
      </w:r>
    </w:p>
    <w:p w14:paraId="6474B786" w14:textId="77777777" w:rsidR="00E322EC" w:rsidRDefault="00000000">
      <w:pPr>
        <w:spacing w:before="60" w:after="100"/>
        <w:ind w:left="360" w:hanging="259"/>
        <w:jc w:val="both"/>
      </w:pPr>
      <w:r>
        <w:rPr>
          <w:b/>
          <w:color w:val="0F294A"/>
        </w:rPr>
        <w:t>2. DSB-Free Precision Gene Correction:</w:t>
      </w:r>
      <w:r>
        <w:t xml:space="preserve"> For definitive etiology rescue, double-strand-break-free Prime Editing and Adenine Base Editing (ABE8e) architectures targeted to the </w:t>
      </w:r>
      <w:r>
        <w:rPr>
          <w:i/>
        </w:rPr>
        <w:t>WT1</w:t>
      </w:r>
      <w:r>
        <w:t xml:space="preserve"> zinc-finger insertion (chr11:32408514_dupA, c.1180dupA, </w:t>
      </w:r>
      <w:proofErr w:type="gramStart"/>
      <w:r>
        <w:t>p.Arg</w:t>
      </w:r>
      <w:proofErr w:type="gramEnd"/>
      <w:r>
        <w:t xml:space="preserve">394fs) are designed to restore physiological transcription of </w:t>
      </w:r>
      <w:r>
        <w:rPr>
          <w:i/>
        </w:rPr>
        <w:t>TRPV5</w:t>
      </w:r>
      <w:r>
        <w:t xml:space="preserve"> and calbindin-D28k in renal distal tubules, providing a definitive curative horizon detailed in companion Article 2.</w:t>
      </w:r>
    </w:p>
    <w:p w14:paraId="6CB1811E"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7. Discussion</w:t>
      </w:r>
    </w:p>
    <w:p w14:paraId="70B35C3F" w14:textId="77777777" w:rsidR="00AC1533" w:rsidRPr="000C71E1" w:rsidRDefault="00000000">
      <w:pPr>
        <w:spacing w:after="120"/>
        <w:jc w:val="both"/>
        <w:rPr>
          <w:rFonts w:asciiTheme="majorHAnsi" w:hAnsiTheme="majorHAnsi" w:cstheme="majorHAnsi"/>
        </w:rPr>
      </w:pPr>
      <w:r>
        <w:t>This study fundamentally expands the clinical and mechanistic framework of Mosaic Variegated Aneuploidy Syndrome (MVA). By connecting for the first time a global cohort of 138 genuine human studies [10-147] with whole-genome sequencing in an infant presenting with confluent nephrocalcinosis, this study demonstrates that MVA manifestations are not solely governed by generalized chromosome mis-segregation, but depend on epistatic cooperation with master organogenesis factors.</w:t>
      </w:r>
    </w:p>
    <w:p w14:paraId="2BE6E2EF" w14:textId="77777777" w:rsidR="00AC1533" w:rsidRPr="000C71E1" w:rsidRDefault="00000000">
      <w:pPr>
        <w:spacing w:after="120"/>
        <w:jc w:val="both"/>
        <w:rPr>
          <w:rFonts w:asciiTheme="majorHAnsi" w:hAnsiTheme="majorHAnsi" w:cstheme="majorHAnsi"/>
        </w:rPr>
      </w:pPr>
      <w:r>
        <w:t xml:space="preserve">The historical absence of explicit nephrocalcinosis in meta-analyzed clinical series (0.0%, 95% CI: 0.0% to 2.4%) confirms that the index patient's renal phenotype is driven by homozygous pathogenic insertion in </w:t>
      </w:r>
      <w:r>
        <w:rPr>
          <w:i/>
        </w:rPr>
        <w:t>WT1</w:t>
      </w:r>
      <w:r>
        <w:t xml:space="preserve"> (chr11:32408514_dupA, c.1180dupA, </w:t>
      </w:r>
      <w:proofErr w:type="gramStart"/>
      <w:r>
        <w:t>p.Arg</w:t>
      </w:r>
      <w:proofErr w:type="gramEnd"/>
      <w:r>
        <w:t>394fs). Retrospective identification of structural renal anomalies in 18.3% of published cohorts highlights the imperative necessity of implementing formal nephrological surveillance from birth.</w:t>
      </w:r>
    </w:p>
    <w:p w14:paraId="539CC304" w14:textId="77777777" w:rsidR="00AC1533" w:rsidRPr="000C71E1" w:rsidRDefault="00000000">
      <w:pPr>
        <w:spacing w:after="120"/>
        <w:jc w:val="both"/>
        <w:rPr>
          <w:rFonts w:asciiTheme="majorHAnsi" w:hAnsiTheme="majorHAnsi" w:cstheme="majorHAnsi"/>
        </w:rPr>
      </w:pPr>
      <w:r>
        <w:t>Computationally, assembling biological foundation models (</w:t>
      </w:r>
      <w:proofErr w:type="spellStart"/>
      <w:r>
        <w:t>AlphaGenome</w:t>
      </w:r>
      <w:proofErr w:type="spellEnd"/>
      <w:r>
        <w:t xml:space="preserve">, </w:t>
      </w:r>
      <w:proofErr w:type="spellStart"/>
      <w:r>
        <w:t>AlphaMissense</w:t>
      </w:r>
      <w:proofErr w:type="spellEnd"/>
      <w:r>
        <w:t>, and Evo 2) within a hybrid architecture uniting Google Antigravity agentic orchestration with Kaggle Cloud GPU hardware proved uniquely powerful in resolving pathogenic impact within complex genomic loci.</w:t>
      </w:r>
    </w:p>
    <w:p w14:paraId="3FF24246"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8. Authorship Statement, ICMJE Ethics, and Data Availability</w:t>
      </w:r>
    </w:p>
    <w:p w14:paraId="4BE55EC1"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8.1 Authorship and Medical Responsibility</w:t>
      </w:r>
    </w:p>
    <w:p w14:paraId="3970FE76" w14:textId="77777777" w:rsidR="00AC1533" w:rsidRPr="000C71E1" w:rsidRDefault="00000000">
      <w:pPr>
        <w:spacing w:before="80" w:after="40"/>
        <w:rPr>
          <w:rFonts w:asciiTheme="majorHAnsi" w:hAnsiTheme="majorHAnsi" w:cstheme="majorHAnsi"/>
        </w:rPr>
      </w:pPr>
      <w:r w:rsidRPr="000C71E1">
        <w:rPr>
          <w:rFonts w:asciiTheme="majorHAnsi" w:hAnsiTheme="majorHAnsi" w:cstheme="majorHAnsi" w:ascii="Cambria" w:hAnsi="Cambria"/>
          <w:b w:val="0"/>
          <w:sz w:val="22"/>
        </w:rPr>
        <w:t xml:space="preserve">Daniel Antonio Ojeda, MD conceived the original study, designed the methodology, supervised the computational pipelines, executed </w:t>
      </w:r>
      <w:proofErr w:type="spellStart"/>
      <w:r w:rsidRPr="000C71E1">
        <w:rPr>
          <w:rFonts w:asciiTheme="majorHAnsi" w:hAnsiTheme="majorHAnsi" w:cstheme="majorHAnsi" w:ascii="Cambria" w:hAnsi="Cambria"/>
          <w:b w:val="0"/>
          <w:sz w:val="22"/>
        </w:rPr>
        <w:t>semiological</w:t>
      </w:r>
      <w:proofErr w:type="spellEnd"/>
      <w:r w:rsidRPr="000C71E1">
        <w:rPr>
          <w:rFonts w:asciiTheme="majorHAnsi" w:hAnsiTheme="majorHAnsi" w:cstheme="majorHAnsi" w:ascii="Cambria" w:hAnsi="Cambria"/>
          <w:b w:val="0"/>
          <w:sz w:val="22"/>
        </w:rPr>
        <w:t xml:space="preserve"> evaluation, interpreted </w:t>
      </w:r>
      <w:r w:rsidRPr="000C71E1">
        <w:rPr>
          <w:rFonts w:asciiTheme="majorHAnsi" w:hAnsiTheme="majorHAnsi" w:cstheme="majorHAnsi" w:ascii="Cambria" w:hAnsi="Cambria"/>
          <w:b w:val="0"/>
          <w:sz w:val="22"/>
        </w:rPr>
        <w:lastRenderedPageBreak/>
        <w:t>genotype-phenotype correlations, and wrote the final manuscript. As sole author and principal investigator, he assumes complete ethical, scientific, and legal responsibility for the presented conclusions.</w:t>
      </w:r>
    </w:p>
    <w:p w14:paraId="3EDEC15F"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8.2 ICMJE Artificial Intelligence and Computational Assistance Declaration</w:t>
      </w:r>
    </w:p>
    <w:p w14:paraId="02AD1E73" w14:textId="77777777" w:rsidR="00AC1533" w:rsidRPr="000C71E1" w:rsidRDefault="00000000">
      <w:pPr>
        <w:spacing w:after="120"/>
        <w:jc w:val="both"/>
        <w:rPr>
          <w:rFonts w:asciiTheme="majorHAnsi" w:hAnsiTheme="majorHAnsi" w:cstheme="majorHAnsi"/>
        </w:rPr>
      </w:pPr>
      <w:r>
        <w:t>In strict accordance with International Committee of Medical Journal Editors (ICMJE) recommendations and Sage Bionetworks Hackathon 2026 guidelines, Google Antigravity (Google DeepMind) deploying the foundational models gemini-3.8-flash and gemini-4-argon within this local and secure execution environment, alongside Kaggle Cloud GPUs, was utilized for automated code orchestration, syntax refactoring, data transformation, and hardware acceleration under commercial terms with zero data retention on customer content. All diagnostic decisions, clinical deductions, variant classifications, and medical writing were conceived, directed, and validated under strict human physician oversight by Dr. Daniel Antonio Ojeda, MD.</w:t>
      </w:r>
    </w:p>
    <w:p w14:paraId="4675D973"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8.3 Ethical Approval and Informed Consent</w:t>
      </w:r>
    </w:p>
    <w:p w14:paraId="3223E90C" w14:textId="77777777" w:rsidR="00AC1533" w:rsidRPr="000C71E1" w:rsidRDefault="00000000">
      <w:pPr>
        <w:spacing w:after="120"/>
        <w:jc w:val="both"/>
        <w:rPr>
          <w:rFonts w:asciiTheme="majorHAnsi" w:hAnsiTheme="majorHAnsi" w:cstheme="majorHAnsi"/>
        </w:rPr>
      </w:pPr>
      <w:r>
        <w:t>The genomic sequencing and clinical protocol received written informed consent from legal guardians under institutional bioethical supervision in full compliance with the Declaration of Helsinki.</w:t>
      </w:r>
    </w:p>
    <w:p w14:paraId="26B03ACA" w14:textId="77777777" w:rsidR="00AC1533" w:rsidRPr="000C71E1" w:rsidRDefault="00000000">
      <w:pPr>
        <w:keepNext/>
        <w:spacing w:before="240" w:after="80"/>
        <w:rPr>
          <w:rFonts w:asciiTheme="majorHAnsi" w:hAnsiTheme="majorHAnsi" w:cstheme="majorHAnsi"/>
        </w:rPr>
      </w:pPr>
      <w:r w:rsidRPr="000C71E1">
        <w:rPr>
          <w:rFonts w:asciiTheme="majorHAnsi" w:hAnsiTheme="majorHAnsi" w:cstheme="majorHAnsi"/>
          <w:b/>
          <w:color w:val="1E3A8A"/>
          <w:sz w:val="25"/>
        </w:rPr>
        <w:t>8.4 Data and Code Availability</w:t>
      </w:r>
    </w:p>
    <w:p w14:paraId="51CC3185" w14:textId="77777777" w:rsidR="00AC1533" w:rsidRPr="000C71E1" w:rsidRDefault="00000000">
      <w:pPr>
        <w:spacing w:after="120"/>
        <w:jc w:val="both"/>
        <w:rPr>
          <w:rFonts w:asciiTheme="majorHAnsi" w:hAnsiTheme="majorHAnsi" w:cstheme="majorHAnsi"/>
        </w:rPr>
      </w:pPr>
      <w:r>
        <w:t>Genomic processing workflows, foundation model inference pipelines, and meta-analysis matrices are archived within the official project repository.</w:t>
      </w:r>
    </w:p>
    <w:p w14:paraId="2194A8DD" w14:textId="77777777" w:rsidR="00AC1533" w:rsidRPr="000C71E1" w:rsidRDefault="00000000">
      <w:pPr>
        <w:keepNext/>
        <w:pBdr>
          <w:bottom w:val="single" w:sz="8" w:space="4" w:color="0F294A"/>
        </w:pBdr>
        <w:spacing w:before="320" w:after="120"/>
        <w:rPr>
          <w:rFonts w:asciiTheme="majorHAnsi" w:hAnsiTheme="majorHAnsi" w:cstheme="majorHAnsi"/>
        </w:rPr>
      </w:pPr>
      <w:r w:rsidRPr="000C71E1">
        <w:rPr>
          <w:rFonts w:asciiTheme="majorHAnsi" w:hAnsiTheme="majorHAnsi" w:cstheme="majorHAnsi"/>
          <w:b/>
          <w:color w:val="0F294A"/>
          <w:sz w:val="30"/>
        </w:rPr>
        <w:t>9. References</w:t>
      </w:r>
    </w:p>
    <w:p w14:paraId="4047B62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 </w:t>
      </w:r>
      <w:r w:rsidRPr="000B7475">
        <w:rPr>
          <w:rFonts w:asciiTheme="minorHAnsi" w:hAnsiTheme="minorHAnsi" w:cstheme="majorHAnsi"/>
          <w:color w:val="1E293B"/>
          <w:sz w:val="20"/>
        </w:rPr>
        <w:t xml:space="preserve">Warburton D, </w:t>
      </w:r>
      <w:proofErr w:type="spellStart"/>
      <w:r w:rsidRPr="000B7475">
        <w:rPr>
          <w:rFonts w:asciiTheme="minorHAnsi" w:hAnsiTheme="minorHAnsi" w:cstheme="majorHAnsi"/>
          <w:color w:val="1E293B"/>
          <w:sz w:val="20"/>
        </w:rPr>
        <w:t>Anyane-Yeboa</w:t>
      </w:r>
      <w:proofErr w:type="spellEnd"/>
      <w:r w:rsidRPr="000B7475">
        <w:rPr>
          <w:rFonts w:asciiTheme="minorHAnsi" w:hAnsiTheme="minorHAnsi" w:cstheme="majorHAnsi"/>
          <w:color w:val="1E293B"/>
          <w:sz w:val="20"/>
        </w:rPr>
        <w:t xml:space="preserve"> K, </w:t>
      </w:r>
      <w:proofErr w:type="spellStart"/>
      <w:r w:rsidRPr="000B7475">
        <w:rPr>
          <w:rFonts w:asciiTheme="minorHAnsi" w:hAnsiTheme="minorHAnsi" w:cstheme="majorHAnsi"/>
          <w:color w:val="1E293B"/>
          <w:sz w:val="20"/>
        </w:rPr>
        <w:t>Taterka</w:t>
      </w:r>
      <w:proofErr w:type="spellEnd"/>
      <w:r w:rsidRPr="000B7475">
        <w:rPr>
          <w:rFonts w:asciiTheme="minorHAnsi" w:hAnsiTheme="minorHAnsi" w:cstheme="majorHAnsi"/>
          <w:color w:val="1E293B"/>
          <w:sz w:val="20"/>
        </w:rPr>
        <w:t xml:space="preserve"> P, Yu CY, Olsen D. Mosaic variegated aneuploidy with microcephaly: a new human mitotic mutant? Ann Genet. 1991;34(3-4):287-292. </w:t>
      </w:r>
      <w:hyperlink r:id="rId12">
        <w:r w:rsidRPr="000B7475">
          <w:rPr>
            <w:rFonts w:asciiTheme="minorHAnsi" w:hAnsiTheme="minorHAnsi" w:cstheme="majorHAnsi"/>
            <w:color w:val="1D4ED8"/>
            <w:sz w:val="20"/>
            <w:szCs w:val="20"/>
            <w:u w:val="single"/>
          </w:rPr>
          <w:t>PMID: 1809239</w:t>
        </w:r>
      </w:hyperlink>
      <w:r w:rsidRPr="000B7475">
        <w:rPr>
          <w:rFonts w:asciiTheme="minorHAnsi" w:hAnsiTheme="minorHAnsi" w:cstheme="majorHAnsi"/>
          <w:color w:val="1E293B"/>
          <w:sz w:val="20"/>
        </w:rPr>
        <w:t>.</w:t>
      </w:r>
    </w:p>
    <w:p w14:paraId="1A24462C"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2. </w:t>
      </w:r>
      <w:proofErr w:type="spellStart"/>
      <w:r w:rsidRPr="000B7475">
        <w:rPr>
          <w:rFonts w:asciiTheme="minorHAnsi" w:hAnsiTheme="minorHAnsi" w:cstheme="majorHAnsi"/>
          <w:color w:val="1E293B"/>
          <w:sz w:val="20"/>
        </w:rPr>
        <w:t>Kajii</w:t>
      </w:r>
      <w:proofErr w:type="spellEnd"/>
      <w:r w:rsidRPr="000B7475">
        <w:rPr>
          <w:rFonts w:asciiTheme="minorHAnsi" w:hAnsiTheme="minorHAnsi" w:cstheme="majorHAnsi"/>
          <w:color w:val="1E293B"/>
          <w:sz w:val="20"/>
        </w:rPr>
        <w:t xml:space="preserve"> T, Kawai T, Takumi T, Misu H, Mabuchi O, Takahashi Y, et al. Mosaic variegated aneuploidy with multiple congenital abnormalities: homozygosity for total premature chromatid separation trait. Am J Med Genet. 1998;78(3):245-249. </w:t>
      </w:r>
      <w:hyperlink r:id="rId13">
        <w:r w:rsidRPr="000B7475">
          <w:rPr>
            <w:rFonts w:asciiTheme="minorHAnsi" w:hAnsiTheme="minorHAnsi" w:cstheme="majorHAnsi"/>
            <w:color w:val="1D4ED8"/>
            <w:sz w:val="20"/>
            <w:szCs w:val="20"/>
            <w:u w:val="single"/>
          </w:rPr>
          <w:t>PMID: 9677059</w:t>
        </w:r>
      </w:hyperlink>
      <w:r w:rsidRPr="000B7475">
        <w:rPr>
          <w:rFonts w:asciiTheme="minorHAnsi" w:hAnsiTheme="minorHAnsi" w:cstheme="majorHAnsi"/>
          <w:color w:val="1E293B"/>
          <w:sz w:val="20"/>
        </w:rPr>
        <w:t>.</w:t>
      </w:r>
    </w:p>
    <w:p w14:paraId="7CA4C27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3. </w:t>
      </w:r>
      <w:r w:rsidRPr="000B7475">
        <w:rPr>
          <w:rFonts w:asciiTheme="minorHAnsi" w:hAnsiTheme="minorHAnsi" w:cstheme="majorHAnsi"/>
          <w:color w:val="1E293B"/>
          <w:sz w:val="20"/>
        </w:rPr>
        <w:t>Musacchio A. The Molecular Biology of Spindle Assembly Checkpoint Signaling Dynamics. Curr Biol. 2015;25(20</w:t>
      </w:r>
      <w:proofErr w:type="gramStart"/>
      <w:r w:rsidRPr="000B7475">
        <w:rPr>
          <w:rFonts w:asciiTheme="minorHAnsi" w:hAnsiTheme="minorHAnsi" w:cstheme="majorHAnsi"/>
          <w:color w:val="1E293B"/>
          <w:sz w:val="20"/>
        </w:rPr>
        <w:t>):R</w:t>
      </w:r>
      <w:proofErr w:type="gramEnd"/>
      <w:r w:rsidRPr="000B7475">
        <w:rPr>
          <w:rFonts w:asciiTheme="minorHAnsi" w:hAnsiTheme="minorHAnsi" w:cstheme="majorHAnsi"/>
          <w:color w:val="1E293B"/>
          <w:sz w:val="20"/>
        </w:rPr>
        <w:t xml:space="preserve">1002-R1018. </w:t>
      </w:r>
      <w:proofErr w:type="gramStart"/>
      <w:r w:rsidRPr="000B7475">
        <w:rPr>
          <w:rFonts w:asciiTheme="minorHAnsi" w:hAnsiTheme="minorHAnsi" w:cstheme="majorHAnsi"/>
          <w:color w:val="1E293B"/>
          <w:sz w:val="20"/>
        </w:rPr>
        <w:t>doi:10.1016/j.cub</w:t>
      </w:r>
      <w:proofErr w:type="gramEnd"/>
      <w:r w:rsidRPr="000B7475">
        <w:rPr>
          <w:rFonts w:asciiTheme="minorHAnsi" w:hAnsiTheme="minorHAnsi" w:cstheme="majorHAnsi"/>
          <w:color w:val="1E293B"/>
          <w:sz w:val="20"/>
        </w:rPr>
        <w:t xml:space="preserve">.2015.08.036. </w:t>
      </w:r>
      <w:hyperlink r:id="rId14">
        <w:r w:rsidRPr="000B7475">
          <w:rPr>
            <w:rFonts w:asciiTheme="minorHAnsi" w:hAnsiTheme="minorHAnsi" w:cstheme="majorHAnsi"/>
            <w:color w:val="1D4ED8"/>
            <w:sz w:val="20"/>
            <w:szCs w:val="20"/>
            <w:u w:val="single"/>
          </w:rPr>
          <w:t>PMID: 26485365</w:t>
        </w:r>
      </w:hyperlink>
      <w:r w:rsidRPr="000B7475">
        <w:rPr>
          <w:rFonts w:asciiTheme="minorHAnsi" w:hAnsiTheme="minorHAnsi" w:cstheme="majorHAnsi"/>
          <w:color w:val="1E293B"/>
          <w:sz w:val="20"/>
        </w:rPr>
        <w:t>.</w:t>
      </w:r>
    </w:p>
    <w:p w14:paraId="57C4A605"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4. </w:t>
      </w:r>
      <w:r w:rsidRPr="000B7475">
        <w:rPr>
          <w:rFonts w:asciiTheme="minorHAnsi" w:hAnsiTheme="minorHAnsi" w:cstheme="majorHAnsi"/>
          <w:color w:val="1E293B"/>
          <w:sz w:val="20"/>
        </w:rPr>
        <w:t>Lara-Gonzalez P, Westhorpe FG, Taylor SS. The spindle assembly checkpoint. Curr Biol. 2012;22(22</w:t>
      </w:r>
      <w:proofErr w:type="gramStart"/>
      <w:r w:rsidRPr="000B7475">
        <w:rPr>
          <w:rFonts w:asciiTheme="minorHAnsi" w:hAnsiTheme="minorHAnsi" w:cstheme="majorHAnsi"/>
          <w:color w:val="1E293B"/>
          <w:sz w:val="20"/>
        </w:rPr>
        <w:t>):R</w:t>
      </w:r>
      <w:proofErr w:type="gramEnd"/>
      <w:r w:rsidRPr="000B7475">
        <w:rPr>
          <w:rFonts w:asciiTheme="minorHAnsi" w:hAnsiTheme="minorHAnsi" w:cstheme="majorHAnsi"/>
          <w:color w:val="1E293B"/>
          <w:sz w:val="20"/>
        </w:rPr>
        <w:t xml:space="preserve">966-R980. </w:t>
      </w:r>
      <w:proofErr w:type="gramStart"/>
      <w:r w:rsidRPr="000B7475">
        <w:rPr>
          <w:rFonts w:asciiTheme="minorHAnsi" w:hAnsiTheme="minorHAnsi" w:cstheme="majorHAnsi"/>
          <w:color w:val="1E293B"/>
          <w:sz w:val="20"/>
        </w:rPr>
        <w:t>doi:10.1016/j.cub</w:t>
      </w:r>
      <w:proofErr w:type="gramEnd"/>
      <w:r w:rsidRPr="000B7475">
        <w:rPr>
          <w:rFonts w:asciiTheme="minorHAnsi" w:hAnsiTheme="minorHAnsi" w:cstheme="majorHAnsi"/>
          <w:color w:val="1E293B"/>
          <w:sz w:val="20"/>
        </w:rPr>
        <w:t xml:space="preserve">.2012.10.006. </w:t>
      </w:r>
      <w:hyperlink r:id="rId15">
        <w:r w:rsidRPr="000B7475">
          <w:rPr>
            <w:rFonts w:asciiTheme="minorHAnsi" w:hAnsiTheme="minorHAnsi" w:cstheme="majorHAnsi"/>
            <w:color w:val="1D4ED8"/>
            <w:sz w:val="20"/>
            <w:szCs w:val="20"/>
            <w:u w:val="single"/>
          </w:rPr>
          <w:t>PMID: 23174302</w:t>
        </w:r>
      </w:hyperlink>
      <w:r w:rsidRPr="000B7475">
        <w:rPr>
          <w:rFonts w:asciiTheme="minorHAnsi" w:hAnsiTheme="minorHAnsi" w:cstheme="majorHAnsi"/>
          <w:color w:val="1E293B"/>
          <w:sz w:val="20"/>
        </w:rPr>
        <w:t>.</w:t>
      </w:r>
    </w:p>
    <w:p w14:paraId="2E21EB8E"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 </w:t>
      </w:r>
      <w:r w:rsidRPr="000B7475">
        <w:rPr>
          <w:rFonts w:asciiTheme="minorHAnsi" w:hAnsiTheme="minorHAnsi" w:cstheme="majorHAnsi"/>
          <w:color w:val="1E293B"/>
          <w:sz w:val="20"/>
        </w:rPr>
        <w:t xml:space="preserve">Hanks S, Coleman K, Reid S, </w:t>
      </w:r>
      <w:proofErr w:type="spellStart"/>
      <w:r w:rsidRPr="000B7475">
        <w:rPr>
          <w:rFonts w:asciiTheme="minorHAnsi" w:hAnsiTheme="minorHAnsi" w:cstheme="majorHAnsi"/>
          <w:color w:val="1E293B"/>
          <w:sz w:val="20"/>
        </w:rPr>
        <w:t>Plaja</w:t>
      </w:r>
      <w:proofErr w:type="spellEnd"/>
      <w:r w:rsidRPr="000B7475">
        <w:rPr>
          <w:rFonts w:asciiTheme="minorHAnsi" w:hAnsiTheme="minorHAnsi" w:cstheme="majorHAnsi"/>
          <w:color w:val="1E293B"/>
          <w:sz w:val="20"/>
        </w:rPr>
        <w:t xml:space="preserve"> A, Firth H, Fitzpatrick D, et al. Constitutional aneuploidy and cancer predisposition caused by biallelic mutations in BUB1B. Nat Genet. 2004;36(11):1159-1161. doi:10.1038/ng1449. </w:t>
      </w:r>
      <w:hyperlink r:id="rId16">
        <w:r w:rsidRPr="000B7475">
          <w:rPr>
            <w:rFonts w:asciiTheme="minorHAnsi" w:hAnsiTheme="minorHAnsi" w:cstheme="majorHAnsi"/>
            <w:color w:val="1D4ED8"/>
            <w:sz w:val="20"/>
            <w:szCs w:val="20"/>
            <w:u w:val="single"/>
          </w:rPr>
          <w:t>PMID: 15475955</w:t>
        </w:r>
      </w:hyperlink>
      <w:r w:rsidRPr="000B7475">
        <w:rPr>
          <w:rFonts w:asciiTheme="minorHAnsi" w:hAnsiTheme="minorHAnsi" w:cstheme="majorHAnsi"/>
          <w:color w:val="1E293B"/>
          <w:sz w:val="20"/>
        </w:rPr>
        <w:t>.</w:t>
      </w:r>
    </w:p>
    <w:p w14:paraId="665662F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6. </w:t>
      </w:r>
      <w:r w:rsidRPr="000B7475">
        <w:rPr>
          <w:rFonts w:asciiTheme="minorHAnsi" w:hAnsiTheme="minorHAnsi" w:cstheme="majorHAnsi"/>
          <w:color w:val="1E293B"/>
          <w:sz w:val="20"/>
        </w:rPr>
        <w:t xml:space="preserve">Snape K, Hanks S, Ruark E, Barros-Núñez P, Elliott A, Murray A, et al. Mutations in CEP57 cause mosaic variegated aneuploidy syndrome. Nat Genet. 2011;43(6):527-529. doi:10.1038/ng.822. </w:t>
      </w:r>
      <w:hyperlink r:id="rId17">
        <w:r w:rsidRPr="000B7475">
          <w:rPr>
            <w:rFonts w:asciiTheme="minorHAnsi" w:hAnsiTheme="minorHAnsi" w:cstheme="majorHAnsi"/>
            <w:color w:val="1D4ED8"/>
            <w:sz w:val="20"/>
            <w:szCs w:val="20"/>
            <w:u w:val="single"/>
          </w:rPr>
          <w:t>PMID: 21552266</w:t>
        </w:r>
      </w:hyperlink>
      <w:r w:rsidRPr="000B7475">
        <w:rPr>
          <w:rFonts w:asciiTheme="minorHAnsi" w:hAnsiTheme="minorHAnsi" w:cstheme="majorHAnsi"/>
          <w:color w:val="1E293B"/>
          <w:sz w:val="20"/>
        </w:rPr>
        <w:t>.</w:t>
      </w:r>
    </w:p>
    <w:p w14:paraId="1B1FFA1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7. </w:t>
      </w:r>
      <w:r w:rsidRPr="000B7475">
        <w:rPr>
          <w:rFonts w:asciiTheme="minorHAnsi" w:hAnsiTheme="minorHAnsi" w:cstheme="majorHAnsi"/>
          <w:color w:val="1E293B"/>
          <w:sz w:val="20"/>
        </w:rPr>
        <w:t xml:space="preserve">Yost S, de Wolf B, Hanks S, Zachariou A, Marcozzi C, Clarke M, et al. Biallelic TRIP13 mutations predispose to Wilms tumor and chromosome </w:t>
      </w:r>
      <w:proofErr w:type="spellStart"/>
      <w:r w:rsidRPr="000B7475">
        <w:rPr>
          <w:rFonts w:asciiTheme="minorHAnsi" w:hAnsiTheme="minorHAnsi" w:cstheme="majorHAnsi"/>
          <w:color w:val="1E293B"/>
          <w:sz w:val="20"/>
        </w:rPr>
        <w:t>missegregation</w:t>
      </w:r>
      <w:proofErr w:type="spellEnd"/>
      <w:r w:rsidRPr="000B7475">
        <w:rPr>
          <w:rFonts w:asciiTheme="minorHAnsi" w:hAnsiTheme="minorHAnsi" w:cstheme="majorHAnsi"/>
          <w:color w:val="1E293B"/>
          <w:sz w:val="20"/>
        </w:rPr>
        <w:t xml:space="preserve">. Nat Genet. 2017;49(7):1148-1151. doi:10.1038/ng.3883. </w:t>
      </w:r>
      <w:hyperlink r:id="rId18">
        <w:r w:rsidRPr="000B7475">
          <w:rPr>
            <w:rFonts w:asciiTheme="minorHAnsi" w:hAnsiTheme="minorHAnsi" w:cstheme="majorHAnsi"/>
            <w:color w:val="1D4ED8"/>
            <w:sz w:val="20"/>
            <w:szCs w:val="20"/>
            <w:u w:val="single"/>
          </w:rPr>
          <w:t>PMID: 28553959</w:t>
        </w:r>
      </w:hyperlink>
      <w:r w:rsidRPr="000B7475">
        <w:rPr>
          <w:rFonts w:asciiTheme="minorHAnsi" w:hAnsiTheme="minorHAnsi" w:cstheme="majorHAnsi"/>
          <w:color w:val="1E293B"/>
          <w:sz w:val="20"/>
        </w:rPr>
        <w:t>.</w:t>
      </w:r>
    </w:p>
    <w:p w14:paraId="34CA4C6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lastRenderedPageBreak/>
        <w:t xml:space="preserve">8. </w:t>
      </w:r>
      <w:r w:rsidRPr="000B7475">
        <w:rPr>
          <w:rFonts w:asciiTheme="minorHAnsi" w:hAnsiTheme="minorHAnsi" w:cstheme="majorHAnsi"/>
          <w:color w:val="1E293B"/>
          <w:sz w:val="20"/>
        </w:rPr>
        <w:t xml:space="preserve">Abdel-Salam GMH, Hellmuth S, </w:t>
      </w:r>
      <w:proofErr w:type="spellStart"/>
      <w:r w:rsidRPr="000B7475">
        <w:rPr>
          <w:rFonts w:asciiTheme="minorHAnsi" w:hAnsiTheme="minorHAnsi" w:cstheme="majorHAnsi"/>
          <w:color w:val="1E293B"/>
          <w:sz w:val="20"/>
        </w:rPr>
        <w:t>Gradhand</w:t>
      </w:r>
      <w:proofErr w:type="spellEnd"/>
      <w:r w:rsidRPr="000B7475">
        <w:rPr>
          <w:rFonts w:asciiTheme="minorHAnsi" w:hAnsiTheme="minorHAnsi" w:cstheme="majorHAnsi"/>
          <w:color w:val="1E293B"/>
          <w:sz w:val="20"/>
        </w:rPr>
        <w:t xml:space="preserve"> E, </w:t>
      </w:r>
      <w:proofErr w:type="spellStart"/>
      <w:r w:rsidRPr="000B7475">
        <w:rPr>
          <w:rFonts w:asciiTheme="minorHAnsi" w:hAnsiTheme="minorHAnsi" w:cstheme="majorHAnsi"/>
          <w:color w:val="1E293B"/>
          <w:sz w:val="20"/>
        </w:rPr>
        <w:t>Käfer</w:t>
      </w:r>
      <w:proofErr w:type="spellEnd"/>
      <w:r w:rsidRPr="000B7475">
        <w:rPr>
          <w:rFonts w:asciiTheme="minorHAnsi" w:hAnsiTheme="minorHAnsi" w:cstheme="majorHAnsi"/>
          <w:color w:val="1E293B"/>
          <w:sz w:val="20"/>
        </w:rPr>
        <w:t xml:space="preserve"> S, Winter J, Thiele H, et al. Biallelic MAD2L1BP (p31comet) mutation is associated with mosaic aneuploidy and juvenile granulosa cell tumors. JCI Insight. 2023;8(22</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170079. </w:t>
      </w:r>
      <w:proofErr w:type="gramStart"/>
      <w:r w:rsidRPr="000B7475">
        <w:rPr>
          <w:rFonts w:asciiTheme="minorHAnsi" w:hAnsiTheme="minorHAnsi" w:cstheme="majorHAnsi"/>
          <w:color w:val="1E293B"/>
          <w:sz w:val="20"/>
        </w:rPr>
        <w:t>doi:10.1172/jci.insight</w:t>
      </w:r>
      <w:proofErr w:type="gramEnd"/>
      <w:r w:rsidRPr="000B7475">
        <w:rPr>
          <w:rFonts w:asciiTheme="minorHAnsi" w:hAnsiTheme="minorHAnsi" w:cstheme="majorHAnsi"/>
          <w:color w:val="1E293B"/>
          <w:sz w:val="20"/>
        </w:rPr>
        <w:t xml:space="preserve">.170079. </w:t>
      </w:r>
      <w:hyperlink r:id="rId19">
        <w:r w:rsidRPr="000B7475">
          <w:rPr>
            <w:rFonts w:asciiTheme="minorHAnsi" w:hAnsiTheme="minorHAnsi" w:cstheme="majorHAnsi"/>
            <w:color w:val="1D4ED8"/>
            <w:sz w:val="20"/>
            <w:szCs w:val="20"/>
            <w:u w:val="single"/>
          </w:rPr>
          <w:t>PMID: 37796616</w:t>
        </w:r>
      </w:hyperlink>
      <w:r w:rsidRPr="000B7475">
        <w:rPr>
          <w:rFonts w:asciiTheme="minorHAnsi" w:hAnsiTheme="minorHAnsi" w:cstheme="majorHAnsi"/>
          <w:color w:val="1E293B"/>
          <w:sz w:val="20"/>
        </w:rPr>
        <w:t>.</w:t>
      </w:r>
    </w:p>
    <w:p w14:paraId="4FE2C60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 </w:t>
      </w:r>
      <w:r w:rsidRPr="000B7475">
        <w:rPr>
          <w:rFonts w:asciiTheme="minorHAnsi" w:hAnsiTheme="minorHAnsi" w:cstheme="majorHAnsi"/>
          <w:color w:val="1E293B"/>
          <w:sz w:val="20"/>
        </w:rPr>
        <w:t xml:space="preserve">Page MJ, McKenzie JE, Bossuyt PM, </w:t>
      </w:r>
      <w:proofErr w:type="spellStart"/>
      <w:r w:rsidRPr="000B7475">
        <w:rPr>
          <w:rFonts w:asciiTheme="minorHAnsi" w:hAnsiTheme="minorHAnsi" w:cstheme="majorHAnsi"/>
          <w:color w:val="1E293B"/>
          <w:sz w:val="20"/>
        </w:rPr>
        <w:t>Boutron</w:t>
      </w:r>
      <w:proofErr w:type="spellEnd"/>
      <w:r w:rsidRPr="000B7475">
        <w:rPr>
          <w:rFonts w:asciiTheme="minorHAnsi" w:hAnsiTheme="minorHAnsi" w:cstheme="majorHAnsi"/>
          <w:color w:val="1E293B"/>
          <w:sz w:val="20"/>
        </w:rPr>
        <w:t xml:space="preserve"> I, Hoffmann TC, Mulrow CD, et al. The PRISMA 2020 statement: an updated guideline for reporting systematic reviews. BMJ. 2021;</w:t>
      </w:r>
      <w:proofErr w:type="gramStart"/>
      <w:r w:rsidRPr="000B7475">
        <w:rPr>
          <w:rFonts w:asciiTheme="minorHAnsi" w:hAnsiTheme="minorHAnsi" w:cstheme="majorHAnsi"/>
          <w:color w:val="1E293B"/>
          <w:sz w:val="20"/>
        </w:rPr>
        <w:t>372:n</w:t>
      </w:r>
      <w:proofErr w:type="gramEnd"/>
      <w:r w:rsidRPr="000B7475">
        <w:rPr>
          <w:rFonts w:asciiTheme="minorHAnsi" w:hAnsiTheme="minorHAnsi" w:cstheme="majorHAnsi"/>
          <w:color w:val="1E293B"/>
          <w:sz w:val="20"/>
        </w:rPr>
        <w:t>71. doi:10.1136/</w:t>
      </w:r>
      <w:proofErr w:type="gramStart"/>
      <w:r w:rsidRPr="000B7475">
        <w:rPr>
          <w:rFonts w:asciiTheme="minorHAnsi" w:hAnsiTheme="minorHAnsi" w:cstheme="majorHAnsi"/>
          <w:color w:val="1E293B"/>
          <w:sz w:val="20"/>
        </w:rPr>
        <w:t>bmj.n</w:t>
      </w:r>
      <w:proofErr w:type="gramEnd"/>
      <w:r w:rsidRPr="000B7475">
        <w:rPr>
          <w:rFonts w:asciiTheme="minorHAnsi" w:hAnsiTheme="minorHAnsi" w:cstheme="majorHAnsi"/>
          <w:color w:val="1E293B"/>
          <w:sz w:val="20"/>
        </w:rPr>
        <w:t xml:space="preserve">71. </w:t>
      </w:r>
      <w:hyperlink r:id="rId20">
        <w:r w:rsidRPr="000B7475">
          <w:rPr>
            <w:rFonts w:asciiTheme="minorHAnsi" w:hAnsiTheme="minorHAnsi" w:cstheme="majorHAnsi"/>
            <w:color w:val="1D4ED8"/>
            <w:sz w:val="20"/>
            <w:szCs w:val="20"/>
            <w:u w:val="single"/>
          </w:rPr>
          <w:t>PMID: 33782057</w:t>
        </w:r>
      </w:hyperlink>
      <w:r w:rsidRPr="000B7475">
        <w:rPr>
          <w:rFonts w:asciiTheme="minorHAnsi" w:hAnsiTheme="minorHAnsi" w:cstheme="majorHAnsi"/>
          <w:color w:val="1E293B"/>
          <w:sz w:val="20"/>
        </w:rPr>
        <w:t>.</w:t>
      </w:r>
    </w:p>
    <w:p w14:paraId="49D462AC" w14:textId="77777777" w:rsidR="000B7475" w:rsidRPr="000B7475" w:rsidRDefault="000B7475" w:rsidP="000B7475">
      <w:pPr>
        <w:spacing w:before="12" w:after="40" w:line="252" w:lineRule="auto"/>
        <w:ind w:left="461" w:hanging="461"/>
        <w:rPr>
          <w:rFonts w:asciiTheme="minorHAnsi" w:hAnsiTheme="minorHAnsi" w:cstheme="majorHAnsi"/>
          <w:color w:val="EE0000"/>
          <w:sz w:val="20"/>
        </w:rPr>
      </w:pPr>
      <w:r w:rsidRPr="000B7475">
        <w:rPr>
          <w:rFonts w:asciiTheme="minorHAnsi" w:hAnsiTheme="minorHAnsi" w:cstheme="majorHAnsi"/>
          <w:b/>
          <w:color w:val="1E293B"/>
          <w:sz w:val="20"/>
        </w:rPr>
        <w:t xml:space="preserve">10. </w:t>
      </w:r>
      <w:r w:rsidRPr="000B7475">
        <w:rPr>
          <w:rFonts w:asciiTheme="minorHAnsi" w:hAnsiTheme="minorHAnsi" w:cstheme="majorHAnsi"/>
          <w:color w:val="000000" w:themeColor="text1"/>
          <w:sz w:val="20"/>
        </w:rPr>
        <w:t xml:space="preserve">Tolmie JL, Boyd E, Batstone P, Ferguson-Smith ME, Al </w:t>
      </w:r>
      <w:proofErr w:type="spellStart"/>
      <w:r w:rsidRPr="000B7475">
        <w:rPr>
          <w:rFonts w:asciiTheme="minorHAnsi" w:hAnsiTheme="minorHAnsi" w:cstheme="majorHAnsi"/>
          <w:color w:val="000000" w:themeColor="text1"/>
          <w:sz w:val="20"/>
        </w:rPr>
        <w:t>Roomi</w:t>
      </w:r>
      <w:proofErr w:type="spellEnd"/>
      <w:r w:rsidRPr="000B7475">
        <w:rPr>
          <w:rFonts w:asciiTheme="minorHAnsi" w:hAnsiTheme="minorHAnsi" w:cstheme="majorHAnsi"/>
          <w:color w:val="000000" w:themeColor="text1"/>
          <w:sz w:val="20"/>
        </w:rPr>
        <w:t xml:space="preserve"> L, Connor JM. Siblings with chromosome mosaicism, microcephaly, and growth retardation: the phenotypic expression of a human mitotic mutant? Hum Genet. 1988 Oct;80(2):197-200. </w:t>
      </w:r>
      <w:proofErr w:type="spellStart"/>
      <w:r w:rsidRPr="000B7475">
        <w:rPr>
          <w:rFonts w:asciiTheme="minorHAnsi" w:hAnsiTheme="minorHAnsi" w:cstheme="majorHAnsi"/>
          <w:color w:val="000000" w:themeColor="text1"/>
          <w:sz w:val="20"/>
        </w:rPr>
        <w:t>doi</w:t>
      </w:r>
      <w:proofErr w:type="spellEnd"/>
      <w:r w:rsidRPr="000B7475">
        <w:rPr>
          <w:rFonts w:asciiTheme="minorHAnsi" w:hAnsiTheme="minorHAnsi" w:cstheme="majorHAnsi"/>
          <w:color w:val="000000" w:themeColor="text1"/>
          <w:sz w:val="20"/>
        </w:rPr>
        <w:t xml:space="preserve">: 10.1007/BF00702872. </w:t>
      </w:r>
      <w:hyperlink r:id="rId21" w:history="1">
        <w:r w:rsidRPr="000B7475">
          <w:rPr>
            <w:rStyle w:val="Hipervnculo"/>
            <w:rFonts w:asciiTheme="minorHAnsi" w:hAnsiTheme="minorHAnsi" w:cstheme="majorHAnsi"/>
            <w:sz w:val="20"/>
          </w:rPr>
          <w:t>PMID: 3169747.</w:t>
        </w:r>
      </w:hyperlink>
    </w:p>
    <w:p w14:paraId="73DA2FAE"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 </w:t>
      </w:r>
      <w:r w:rsidRPr="000B7475">
        <w:rPr>
          <w:rFonts w:asciiTheme="minorHAnsi" w:hAnsiTheme="minorHAnsi" w:cstheme="majorHAnsi"/>
          <w:color w:val="1E293B"/>
          <w:sz w:val="20"/>
        </w:rPr>
        <w:t xml:space="preserve">Papi L, Montali E, Marconi G, </w:t>
      </w:r>
      <w:proofErr w:type="spellStart"/>
      <w:r w:rsidRPr="000B7475">
        <w:rPr>
          <w:rFonts w:asciiTheme="minorHAnsi" w:hAnsiTheme="minorHAnsi" w:cstheme="majorHAnsi"/>
          <w:color w:val="1E293B"/>
          <w:sz w:val="20"/>
        </w:rPr>
        <w:t>Guazzelli</w:t>
      </w:r>
      <w:proofErr w:type="spellEnd"/>
      <w:r w:rsidRPr="000B7475">
        <w:rPr>
          <w:rFonts w:asciiTheme="minorHAnsi" w:hAnsiTheme="minorHAnsi" w:cstheme="majorHAnsi"/>
          <w:color w:val="1E293B"/>
          <w:sz w:val="20"/>
        </w:rPr>
        <w:t xml:space="preserve"> R, </w:t>
      </w:r>
      <w:proofErr w:type="spellStart"/>
      <w:r w:rsidRPr="000B7475">
        <w:rPr>
          <w:rFonts w:asciiTheme="minorHAnsi" w:hAnsiTheme="minorHAnsi" w:cstheme="majorHAnsi"/>
          <w:color w:val="1E293B"/>
          <w:sz w:val="20"/>
        </w:rPr>
        <w:t>Bigozzi</w:t>
      </w:r>
      <w:proofErr w:type="spellEnd"/>
      <w:r w:rsidRPr="000B7475">
        <w:rPr>
          <w:rFonts w:asciiTheme="minorHAnsi" w:hAnsiTheme="minorHAnsi" w:cstheme="majorHAnsi"/>
          <w:color w:val="1E293B"/>
          <w:sz w:val="20"/>
        </w:rPr>
        <w:t xml:space="preserve"> U, </w:t>
      </w:r>
      <w:proofErr w:type="spellStart"/>
      <w:r w:rsidRPr="000B7475">
        <w:rPr>
          <w:rFonts w:asciiTheme="minorHAnsi" w:hAnsiTheme="minorHAnsi" w:cstheme="majorHAnsi"/>
          <w:color w:val="1E293B"/>
          <w:sz w:val="20"/>
        </w:rPr>
        <w:t>Maraschio</w:t>
      </w:r>
      <w:proofErr w:type="spellEnd"/>
      <w:r w:rsidRPr="000B7475">
        <w:rPr>
          <w:rFonts w:asciiTheme="minorHAnsi" w:hAnsiTheme="minorHAnsi" w:cstheme="majorHAnsi"/>
          <w:color w:val="1E293B"/>
          <w:sz w:val="20"/>
        </w:rPr>
        <w:t xml:space="preserve"> P, et al. Evidence for a human mitotic mutant with pleiotropic effect. Ann Hum Genet. 1989;53(3):243-248. doi:10.1111/j.1469-</w:t>
      </w:r>
      <w:proofErr w:type="gramStart"/>
      <w:r w:rsidRPr="000B7475">
        <w:rPr>
          <w:rFonts w:asciiTheme="minorHAnsi" w:hAnsiTheme="minorHAnsi" w:cstheme="majorHAnsi"/>
          <w:color w:val="1E293B"/>
          <w:sz w:val="20"/>
        </w:rPr>
        <w:t>1809.1989.tb01791.x.</w:t>
      </w:r>
      <w:proofErr w:type="gramEnd"/>
      <w:r w:rsidRPr="000B7475">
        <w:rPr>
          <w:rFonts w:asciiTheme="minorHAnsi" w:hAnsiTheme="minorHAnsi" w:cstheme="majorHAnsi"/>
          <w:color w:val="1E293B"/>
          <w:sz w:val="20"/>
        </w:rPr>
        <w:t xml:space="preserve"> </w:t>
      </w:r>
      <w:hyperlink r:id="rId22">
        <w:r w:rsidRPr="000B7475">
          <w:rPr>
            <w:rFonts w:asciiTheme="minorHAnsi" w:hAnsiTheme="minorHAnsi" w:cstheme="majorHAnsi"/>
            <w:color w:val="1D4ED8"/>
            <w:sz w:val="20"/>
            <w:szCs w:val="20"/>
            <w:u w:val="single"/>
          </w:rPr>
          <w:t>PMID: 2596830</w:t>
        </w:r>
      </w:hyperlink>
      <w:r w:rsidRPr="000B7475">
        <w:rPr>
          <w:rFonts w:asciiTheme="minorHAnsi" w:hAnsiTheme="minorHAnsi" w:cstheme="majorHAnsi"/>
          <w:color w:val="1E293B"/>
          <w:sz w:val="20"/>
        </w:rPr>
        <w:t>.</w:t>
      </w:r>
    </w:p>
    <w:p w14:paraId="1464263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12. </w:t>
      </w:r>
      <w:r w:rsidRPr="000B7475">
        <w:rPr>
          <w:rFonts w:asciiTheme="minorHAnsi" w:hAnsiTheme="minorHAnsi" w:cstheme="majorHAnsi"/>
          <w:color w:val="1E293B"/>
          <w:sz w:val="20"/>
        </w:rPr>
        <w:t xml:space="preserve">Miller K, Müller W, Winkler L, Hadam MR, Ehrich JH, </w:t>
      </w:r>
      <w:proofErr w:type="spellStart"/>
      <w:r w:rsidRPr="000B7475">
        <w:rPr>
          <w:rFonts w:asciiTheme="minorHAnsi" w:hAnsiTheme="minorHAnsi" w:cstheme="majorHAnsi"/>
          <w:color w:val="1E293B"/>
          <w:sz w:val="20"/>
        </w:rPr>
        <w:t>Flatz</w:t>
      </w:r>
      <w:proofErr w:type="spellEnd"/>
      <w:r w:rsidRPr="000B7475">
        <w:rPr>
          <w:rFonts w:asciiTheme="minorHAnsi" w:hAnsiTheme="minorHAnsi" w:cstheme="majorHAnsi"/>
          <w:color w:val="1E293B"/>
          <w:sz w:val="20"/>
        </w:rPr>
        <w:t xml:space="preserve"> SD. Mitotic disturbance associated with mosaic aneuploidies. Hum Genet. 1990;84(4):361-364. doi:10.1007/BF00196235. </w:t>
      </w:r>
      <w:hyperlink r:id="rId23">
        <w:r w:rsidRPr="000B7475">
          <w:rPr>
            <w:rFonts w:asciiTheme="minorHAnsi" w:hAnsiTheme="minorHAnsi" w:cstheme="majorHAnsi"/>
            <w:color w:val="1D4ED8"/>
            <w:sz w:val="20"/>
            <w:szCs w:val="20"/>
            <w:u w:val="single"/>
          </w:rPr>
          <w:t>PMID: 2307459</w:t>
        </w:r>
      </w:hyperlink>
      <w:r w:rsidRPr="000B7475">
        <w:rPr>
          <w:rFonts w:asciiTheme="minorHAnsi" w:hAnsiTheme="minorHAnsi" w:cstheme="majorHAnsi"/>
          <w:color w:val="1E293B"/>
          <w:sz w:val="20"/>
        </w:rPr>
        <w:t>.</w:t>
      </w:r>
    </w:p>
    <w:p w14:paraId="6119E29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 </w:t>
      </w:r>
      <w:r w:rsidRPr="000B7475">
        <w:rPr>
          <w:rFonts w:asciiTheme="minorHAnsi" w:hAnsiTheme="minorHAnsi" w:cstheme="majorHAnsi"/>
          <w:color w:val="1E293B"/>
          <w:sz w:val="20"/>
        </w:rPr>
        <w:t xml:space="preserve">Yen TJ, Li G, Schaar BT, </w:t>
      </w:r>
      <w:proofErr w:type="spellStart"/>
      <w:r w:rsidRPr="000B7475">
        <w:rPr>
          <w:rFonts w:asciiTheme="minorHAnsi" w:hAnsiTheme="minorHAnsi" w:cstheme="majorHAnsi"/>
          <w:color w:val="1E293B"/>
          <w:sz w:val="20"/>
        </w:rPr>
        <w:t>Szilak</w:t>
      </w:r>
      <w:proofErr w:type="spellEnd"/>
      <w:r w:rsidRPr="000B7475">
        <w:rPr>
          <w:rFonts w:asciiTheme="minorHAnsi" w:hAnsiTheme="minorHAnsi" w:cstheme="majorHAnsi"/>
          <w:color w:val="1E293B"/>
          <w:sz w:val="20"/>
        </w:rPr>
        <w:t xml:space="preserve"> I, Cleveland DW. CENP-E is a putative kinetochore motor that accumulates just before mitosis. Nature. 1992;359(6395):536-539. doi:10.1038/359536a0. </w:t>
      </w:r>
      <w:hyperlink r:id="rId24">
        <w:r w:rsidRPr="000B7475">
          <w:rPr>
            <w:rFonts w:asciiTheme="minorHAnsi" w:hAnsiTheme="minorHAnsi" w:cstheme="majorHAnsi"/>
            <w:color w:val="1D4ED8"/>
            <w:sz w:val="20"/>
            <w:szCs w:val="20"/>
            <w:u w:val="single"/>
          </w:rPr>
          <w:t>PMID: 1406971</w:t>
        </w:r>
      </w:hyperlink>
      <w:r w:rsidRPr="000B7475">
        <w:rPr>
          <w:rFonts w:asciiTheme="minorHAnsi" w:hAnsiTheme="minorHAnsi" w:cstheme="majorHAnsi"/>
          <w:color w:val="1E293B"/>
          <w:sz w:val="20"/>
        </w:rPr>
        <w:t>.</w:t>
      </w:r>
    </w:p>
    <w:p w14:paraId="3915BA6E"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14. </w:t>
      </w:r>
      <w:proofErr w:type="spellStart"/>
      <w:r w:rsidRPr="000B7475">
        <w:rPr>
          <w:rFonts w:asciiTheme="minorHAnsi" w:hAnsiTheme="minorHAnsi" w:cstheme="majorHAnsi"/>
          <w:color w:val="1E293B"/>
          <w:sz w:val="20"/>
        </w:rPr>
        <w:t>Bitoun</w:t>
      </w:r>
      <w:proofErr w:type="spellEnd"/>
      <w:r w:rsidRPr="000B7475">
        <w:rPr>
          <w:rFonts w:asciiTheme="minorHAnsi" w:hAnsiTheme="minorHAnsi" w:cstheme="majorHAnsi"/>
          <w:color w:val="1E293B"/>
          <w:sz w:val="20"/>
        </w:rPr>
        <w:t xml:space="preserve"> P, Martin-Pont B, </w:t>
      </w:r>
      <w:proofErr w:type="spellStart"/>
      <w:r w:rsidRPr="000B7475">
        <w:rPr>
          <w:rFonts w:asciiTheme="minorHAnsi" w:hAnsiTheme="minorHAnsi" w:cstheme="majorHAnsi"/>
          <w:color w:val="1E293B"/>
          <w:sz w:val="20"/>
        </w:rPr>
        <w:t>Tamboise</w:t>
      </w:r>
      <w:proofErr w:type="spellEnd"/>
      <w:r w:rsidRPr="000B7475">
        <w:rPr>
          <w:rFonts w:asciiTheme="minorHAnsi" w:hAnsiTheme="minorHAnsi" w:cstheme="majorHAnsi"/>
          <w:color w:val="1E293B"/>
          <w:sz w:val="20"/>
        </w:rPr>
        <w:t xml:space="preserve"> E, et al. Optic atrophy, microcephaly, mental retardation and mosaic variegated aneuploidy: a human mitotic mutation. Ann Genet. 1994;37(2):75-77. </w:t>
      </w:r>
      <w:hyperlink r:id="rId25">
        <w:r w:rsidRPr="000B7475">
          <w:rPr>
            <w:rFonts w:asciiTheme="minorHAnsi" w:hAnsiTheme="minorHAnsi" w:cstheme="majorHAnsi"/>
            <w:color w:val="1D4ED8"/>
            <w:sz w:val="20"/>
            <w:szCs w:val="20"/>
            <w:u w:val="single"/>
          </w:rPr>
          <w:t>PMID: 7985982</w:t>
        </w:r>
      </w:hyperlink>
      <w:r w:rsidRPr="000B7475">
        <w:rPr>
          <w:rFonts w:asciiTheme="minorHAnsi" w:hAnsiTheme="minorHAnsi" w:cstheme="majorHAnsi"/>
          <w:color w:val="1E293B"/>
          <w:sz w:val="20"/>
        </w:rPr>
        <w:t>.</w:t>
      </w:r>
    </w:p>
    <w:p w14:paraId="119DDB1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 </w:t>
      </w:r>
      <w:r w:rsidRPr="000B7475">
        <w:rPr>
          <w:rFonts w:asciiTheme="minorHAnsi" w:hAnsiTheme="minorHAnsi" w:cstheme="majorHAnsi"/>
          <w:color w:val="1E293B"/>
          <w:sz w:val="20"/>
        </w:rPr>
        <w:t xml:space="preserve">Wood KW, Sakowicz R, Goldstein LS, Cleveland DW. CENP-E is a plus end-directed kinetochore motor required for metaphase chromosome alignment. Cell. 1997;91(3):357-366. doi:10.1016/s0092-8674(00)80419-5. </w:t>
      </w:r>
      <w:hyperlink r:id="rId26">
        <w:r w:rsidRPr="000B7475">
          <w:rPr>
            <w:rFonts w:asciiTheme="minorHAnsi" w:hAnsiTheme="minorHAnsi" w:cstheme="majorHAnsi"/>
            <w:color w:val="1D4ED8"/>
            <w:sz w:val="20"/>
            <w:szCs w:val="20"/>
            <w:u w:val="single"/>
          </w:rPr>
          <w:t>PMID: 9363944</w:t>
        </w:r>
      </w:hyperlink>
      <w:r w:rsidRPr="000B7475">
        <w:rPr>
          <w:rFonts w:asciiTheme="minorHAnsi" w:hAnsiTheme="minorHAnsi" w:cstheme="majorHAnsi"/>
          <w:color w:val="1E293B"/>
          <w:sz w:val="20"/>
        </w:rPr>
        <w:t>.</w:t>
      </w:r>
    </w:p>
    <w:p w14:paraId="6FE9CB2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16. </w:t>
      </w:r>
      <w:r w:rsidRPr="000B7475">
        <w:rPr>
          <w:rFonts w:asciiTheme="minorHAnsi" w:hAnsiTheme="minorHAnsi" w:cstheme="majorHAnsi"/>
          <w:color w:val="1E293B"/>
          <w:sz w:val="20"/>
        </w:rPr>
        <w:t xml:space="preserve">Yao X, Anderson KL, Cleveland DW. The microtubule-dependent motor centromere-associated protein E (CENP-E) is an integral component of kinetochore corona fibers that link centromeres to spindle microtubules. J Cell Biol. 1997;139(2):435-447. doi:10.1083/jcb.139.2.435. </w:t>
      </w:r>
      <w:hyperlink r:id="rId27">
        <w:r w:rsidRPr="000B7475">
          <w:rPr>
            <w:rFonts w:asciiTheme="minorHAnsi" w:hAnsiTheme="minorHAnsi" w:cstheme="majorHAnsi"/>
            <w:color w:val="1D4ED8"/>
            <w:sz w:val="20"/>
            <w:szCs w:val="20"/>
            <w:u w:val="single"/>
          </w:rPr>
          <w:t>PMID: 9334346</w:t>
        </w:r>
      </w:hyperlink>
      <w:r w:rsidRPr="000B7475">
        <w:rPr>
          <w:rFonts w:asciiTheme="minorHAnsi" w:hAnsiTheme="minorHAnsi" w:cstheme="majorHAnsi"/>
          <w:color w:val="1E293B"/>
          <w:sz w:val="20"/>
        </w:rPr>
        <w:t>.</w:t>
      </w:r>
    </w:p>
    <w:p w14:paraId="7722946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 </w:t>
      </w:r>
      <w:proofErr w:type="spellStart"/>
      <w:r w:rsidRPr="000B7475">
        <w:rPr>
          <w:rFonts w:asciiTheme="minorHAnsi" w:hAnsiTheme="minorHAnsi" w:cstheme="majorHAnsi"/>
          <w:color w:val="1E293B"/>
          <w:sz w:val="20"/>
        </w:rPr>
        <w:t>Flejter</w:t>
      </w:r>
      <w:proofErr w:type="spellEnd"/>
      <w:r w:rsidRPr="000B7475">
        <w:rPr>
          <w:rFonts w:asciiTheme="minorHAnsi" w:hAnsiTheme="minorHAnsi" w:cstheme="majorHAnsi"/>
          <w:color w:val="1E293B"/>
          <w:sz w:val="20"/>
        </w:rPr>
        <w:t xml:space="preserve"> WL, Issa B, Sullivan BA, Carey JC, Brothman AR. Variegated aneuploidy in two siblings: phenotype, genotype, CENP-E analysis, and literature review. Am J Med Genet. 1998;75(1):45-51. </w:t>
      </w:r>
      <w:hyperlink r:id="rId28">
        <w:r w:rsidRPr="000B7475">
          <w:rPr>
            <w:rFonts w:asciiTheme="minorHAnsi" w:hAnsiTheme="minorHAnsi" w:cstheme="majorHAnsi"/>
            <w:color w:val="1D4ED8"/>
            <w:sz w:val="20"/>
            <w:szCs w:val="20"/>
            <w:u w:val="single"/>
          </w:rPr>
          <w:t>PMID: 9450856</w:t>
        </w:r>
      </w:hyperlink>
      <w:r w:rsidRPr="000B7475">
        <w:rPr>
          <w:rFonts w:asciiTheme="minorHAnsi" w:hAnsiTheme="minorHAnsi" w:cstheme="majorHAnsi"/>
          <w:color w:val="1E293B"/>
          <w:sz w:val="20"/>
        </w:rPr>
        <w:t>.</w:t>
      </w:r>
    </w:p>
    <w:p w14:paraId="04A4A83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18. </w:t>
      </w:r>
      <w:r w:rsidRPr="000B7475">
        <w:rPr>
          <w:rFonts w:asciiTheme="minorHAnsi" w:hAnsiTheme="minorHAnsi" w:cstheme="majorHAnsi"/>
          <w:color w:val="1E293B"/>
          <w:sz w:val="20"/>
        </w:rPr>
        <w:t xml:space="preserve">Chan GK, Jablonski SA, </w:t>
      </w:r>
      <w:proofErr w:type="spellStart"/>
      <w:r w:rsidRPr="000B7475">
        <w:rPr>
          <w:rFonts w:asciiTheme="minorHAnsi" w:hAnsiTheme="minorHAnsi" w:cstheme="majorHAnsi"/>
          <w:color w:val="1E293B"/>
          <w:sz w:val="20"/>
        </w:rPr>
        <w:t>Sudakin</w:t>
      </w:r>
      <w:proofErr w:type="spellEnd"/>
      <w:r w:rsidRPr="000B7475">
        <w:rPr>
          <w:rFonts w:asciiTheme="minorHAnsi" w:hAnsiTheme="minorHAnsi" w:cstheme="majorHAnsi"/>
          <w:color w:val="1E293B"/>
          <w:sz w:val="20"/>
        </w:rPr>
        <w:t xml:space="preserve"> V, Hittle JC, Yen TJ. Human BUBR1 is a mitotic checkpoint kinase that monitors CENP-E functions at kinetochores and binds the </w:t>
      </w:r>
      <w:proofErr w:type="spellStart"/>
      <w:r w:rsidRPr="000B7475">
        <w:rPr>
          <w:rFonts w:asciiTheme="minorHAnsi" w:hAnsiTheme="minorHAnsi" w:cstheme="majorHAnsi"/>
          <w:color w:val="1E293B"/>
          <w:sz w:val="20"/>
        </w:rPr>
        <w:t>cyclosome</w:t>
      </w:r>
      <w:proofErr w:type="spellEnd"/>
      <w:r w:rsidRPr="000B7475">
        <w:rPr>
          <w:rFonts w:asciiTheme="minorHAnsi" w:hAnsiTheme="minorHAnsi" w:cstheme="majorHAnsi"/>
          <w:color w:val="1E293B"/>
          <w:sz w:val="20"/>
        </w:rPr>
        <w:t xml:space="preserve">/APC. J Cell Biol. 1999;146(5):941-954. doi:10.1083/jcb.146.5.941. </w:t>
      </w:r>
      <w:hyperlink r:id="rId29">
        <w:r w:rsidRPr="000B7475">
          <w:rPr>
            <w:rFonts w:asciiTheme="minorHAnsi" w:hAnsiTheme="minorHAnsi" w:cstheme="majorHAnsi"/>
            <w:color w:val="1D4ED8"/>
            <w:sz w:val="20"/>
            <w:szCs w:val="20"/>
            <w:u w:val="single"/>
          </w:rPr>
          <w:t>PMID: 10477750</w:t>
        </w:r>
      </w:hyperlink>
      <w:r w:rsidRPr="000B7475">
        <w:rPr>
          <w:rFonts w:asciiTheme="minorHAnsi" w:hAnsiTheme="minorHAnsi" w:cstheme="majorHAnsi"/>
          <w:color w:val="1E293B"/>
          <w:sz w:val="20"/>
        </w:rPr>
        <w:t>.</w:t>
      </w:r>
    </w:p>
    <w:p w14:paraId="3BD5E347"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19. </w:t>
      </w:r>
      <w:proofErr w:type="spellStart"/>
      <w:r w:rsidRPr="000B7475">
        <w:rPr>
          <w:rFonts w:asciiTheme="minorHAnsi" w:hAnsiTheme="minorHAnsi" w:cstheme="majorHAnsi"/>
          <w:color w:val="1E293B"/>
          <w:sz w:val="20"/>
        </w:rPr>
        <w:t>Kawame</w:t>
      </w:r>
      <w:proofErr w:type="spellEnd"/>
      <w:r w:rsidRPr="000B7475">
        <w:rPr>
          <w:rFonts w:asciiTheme="minorHAnsi" w:hAnsiTheme="minorHAnsi" w:cstheme="majorHAnsi"/>
          <w:color w:val="1E293B"/>
          <w:sz w:val="20"/>
        </w:rPr>
        <w:t xml:space="preserve"> H, </w:t>
      </w:r>
      <w:proofErr w:type="spellStart"/>
      <w:r w:rsidRPr="000B7475">
        <w:rPr>
          <w:rFonts w:asciiTheme="minorHAnsi" w:hAnsiTheme="minorHAnsi" w:cstheme="majorHAnsi"/>
          <w:color w:val="1E293B"/>
          <w:sz w:val="20"/>
        </w:rPr>
        <w:t>Sugio</w:t>
      </w:r>
      <w:proofErr w:type="spellEnd"/>
      <w:r w:rsidRPr="000B7475">
        <w:rPr>
          <w:rFonts w:asciiTheme="minorHAnsi" w:hAnsiTheme="minorHAnsi" w:cstheme="majorHAnsi"/>
          <w:color w:val="1E293B"/>
          <w:sz w:val="20"/>
        </w:rPr>
        <w:t xml:space="preserve"> Y, </w:t>
      </w:r>
      <w:proofErr w:type="spellStart"/>
      <w:r w:rsidRPr="000B7475">
        <w:rPr>
          <w:rFonts w:asciiTheme="minorHAnsi" w:hAnsiTheme="minorHAnsi" w:cstheme="majorHAnsi"/>
          <w:color w:val="1E293B"/>
          <w:sz w:val="20"/>
        </w:rPr>
        <w:t>Fuyama</w:t>
      </w:r>
      <w:proofErr w:type="spellEnd"/>
      <w:r w:rsidRPr="000B7475">
        <w:rPr>
          <w:rFonts w:asciiTheme="minorHAnsi" w:hAnsiTheme="minorHAnsi" w:cstheme="majorHAnsi"/>
          <w:color w:val="1E293B"/>
          <w:sz w:val="20"/>
        </w:rPr>
        <w:t xml:space="preserve"> Y, et al. Syndrome of microcephaly, Dandy-Walker malformation, and Wilms tumor caused by mosaic variegated aneuploidy with premature centromere division (PCD): report of a new case and review of the literature. J Hum Genet. 1999;44(4):219-224. </w:t>
      </w:r>
      <w:hyperlink r:id="rId30">
        <w:r w:rsidRPr="000B7475">
          <w:rPr>
            <w:rFonts w:asciiTheme="minorHAnsi" w:hAnsiTheme="minorHAnsi" w:cstheme="majorHAnsi"/>
            <w:color w:val="1D4ED8"/>
            <w:sz w:val="20"/>
            <w:szCs w:val="20"/>
            <w:u w:val="single"/>
          </w:rPr>
          <w:t>PMID: 10429359</w:t>
        </w:r>
      </w:hyperlink>
      <w:r w:rsidRPr="000B7475">
        <w:rPr>
          <w:rFonts w:asciiTheme="minorHAnsi" w:hAnsiTheme="minorHAnsi" w:cstheme="majorHAnsi"/>
          <w:color w:val="1E293B"/>
          <w:sz w:val="20"/>
        </w:rPr>
        <w:t>.</w:t>
      </w:r>
    </w:p>
    <w:p w14:paraId="177CF57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20. </w:t>
      </w:r>
      <w:proofErr w:type="spellStart"/>
      <w:r w:rsidRPr="000B7475">
        <w:rPr>
          <w:rFonts w:asciiTheme="minorHAnsi" w:hAnsiTheme="minorHAnsi" w:cstheme="majorHAnsi"/>
          <w:color w:val="1E293B"/>
          <w:sz w:val="20"/>
        </w:rPr>
        <w:t>Limwongse</w:t>
      </w:r>
      <w:proofErr w:type="spellEnd"/>
      <w:r w:rsidRPr="000B7475">
        <w:rPr>
          <w:rFonts w:asciiTheme="minorHAnsi" w:hAnsiTheme="minorHAnsi" w:cstheme="majorHAnsi"/>
          <w:color w:val="1E293B"/>
          <w:sz w:val="20"/>
        </w:rPr>
        <w:t xml:space="preserve"> C, Schwartz S, Bocian M, et al. Child with mosaic variegated aneuploidy and embryonal rhabdomyosarcoma. Am J Med Genet. 1999;82(1):20-24. </w:t>
      </w:r>
      <w:hyperlink r:id="rId31">
        <w:r w:rsidRPr="000B7475">
          <w:rPr>
            <w:rFonts w:asciiTheme="minorHAnsi" w:hAnsiTheme="minorHAnsi" w:cstheme="majorHAnsi"/>
            <w:color w:val="1D4ED8"/>
            <w:sz w:val="20"/>
            <w:szCs w:val="20"/>
            <w:u w:val="single"/>
          </w:rPr>
          <w:t>PMID: 9916837</w:t>
        </w:r>
      </w:hyperlink>
      <w:r w:rsidRPr="000B7475">
        <w:rPr>
          <w:rFonts w:asciiTheme="minorHAnsi" w:hAnsiTheme="minorHAnsi" w:cstheme="majorHAnsi"/>
          <w:color w:val="1E293B"/>
          <w:sz w:val="20"/>
        </w:rPr>
        <w:t>.</w:t>
      </w:r>
    </w:p>
    <w:p w14:paraId="2FE15B1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21. </w:t>
      </w:r>
      <w:r w:rsidRPr="000B7475">
        <w:rPr>
          <w:rFonts w:asciiTheme="minorHAnsi" w:hAnsiTheme="minorHAnsi" w:cstheme="majorHAnsi"/>
          <w:color w:val="1E293B"/>
          <w:sz w:val="20"/>
        </w:rPr>
        <w:t xml:space="preserve">Matsuura S, Ito E, Tauchi H, et al. Chromosomal instability syndrome of total premature chromatid separation with mosaic variegated aneuploidy is defective in mitotic-spindle checkpoint. Am J Hum Genet. 2000;67(2):483-486. </w:t>
      </w:r>
      <w:hyperlink r:id="rId32">
        <w:r w:rsidRPr="000B7475">
          <w:rPr>
            <w:rFonts w:asciiTheme="minorHAnsi" w:hAnsiTheme="minorHAnsi" w:cstheme="majorHAnsi"/>
            <w:color w:val="1D4ED8"/>
            <w:sz w:val="20"/>
            <w:szCs w:val="20"/>
            <w:u w:val="single"/>
          </w:rPr>
          <w:t>PMID: 10877982</w:t>
        </w:r>
      </w:hyperlink>
      <w:r w:rsidRPr="000B7475">
        <w:rPr>
          <w:rFonts w:asciiTheme="minorHAnsi" w:hAnsiTheme="minorHAnsi" w:cstheme="majorHAnsi"/>
          <w:color w:val="1E293B"/>
          <w:sz w:val="20"/>
        </w:rPr>
        <w:t>.</w:t>
      </w:r>
    </w:p>
    <w:p w14:paraId="7370C6D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22. </w:t>
      </w:r>
      <w:r w:rsidRPr="000B7475">
        <w:rPr>
          <w:rFonts w:asciiTheme="minorHAnsi" w:hAnsiTheme="minorHAnsi" w:cstheme="majorHAnsi"/>
          <w:color w:val="1E293B"/>
          <w:sz w:val="20"/>
        </w:rPr>
        <w:t xml:space="preserve">Yao X, </w:t>
      </w:r>
      <w:proofErr w:type="spellStart"/>
      <w:r w:rsidRPr="000B7475">
        <w:rPr>
          <w:rFonts w:asciiTheme="minorHAnsi" w:hAnsiTheme="minorHAnsi" w:cstheme="majorHAnsi"/>
          <w:color w:val="1E293B"/>
          <w:sz w:val="20"/>
        </w:rPr>
        <w:t>Abrieu</w:t>
      </w:r>
      <w:proofErr w:type="spellEnd"/>
      <w:r w:rsidRPr="000B7475">
        <w:rPr>
          <w:rFonts w:asciiTheme="minorHAnsi" w:hAnsiTheme="minorHAnsi" w:cstheme="majorHAnsi"/>
          <w:color w:val="1E293B"/>
          <w:sz w:val="20"/>
        </w:rPr>
        <w:t xml:space="preserve"> A, Zheng Y, Sullivan KF, Cleveland DW. CENP-E forms a link between attachment of spindle microtubules to kinetochores and the mitotic checkpoint. Nat Cell Biol. 2000;2(8):484-491. doi:10.1038/35019518. </w:t>
      </w:r>
      <w:hyperlink r:id="rId33">
        <w:r w:rsidRPr="000B7475">
          <w:rPr>
            <w:rFonts w:asciiTheme="minorHAnsi" w:hAnsiTheme="minorHAnsi" w:cstheme="majorHAnsi"/>
            <w:color w:val="1D4ED8"/>
            <w:sz w:val="20"/>
            <w:szCs w:val="20"/>
            <w:u w:val="single"/>
          </w:rPr>
          <w:t>PMID: 10934468</w:t>
        </w:r>
      </w:hyperlink>
      <w:r w:rsidRPr="000B7475">
        <w:rPr>
          <w:rFonts w:asciiTheme="minorHAnsi" w:hAnsiTheme="minorHAnsi" w:cstheme="majorHAnsi"/>
          <w:color w:val="1E293B"/>
          <w:sz w:val="20"/>
        </w:rPr>
        <w:t>.</w:t>
      </w:r>
    </w:p>
    <w:p w14:paraId="488A04FF"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23. </w:t>
      </w:r>
      <w:proofErr w:type="spellStart"/>
      <w:r w:rsidRPr="000B7475">
        <w:rPr>
          <w:rFonts w:asciiTheme="minorHAnsi" w:hAnsiTheme="minorHAnsi" w:cstheme="majorHAnsi"/>
          <w:color w:val="1E293B"/>
          <w:sz w:val="20"/>
        </w:rPr>
        <w:t>Kajii</w:t>
      </w:r>
      <w:proofErr w:type="spellEnd"/>
      <w:r w:rsidRPr="000B7475">
        <w:rPr>
          <w:rFonts w:asciiTheme="minorHAnsi" w:hAnsiTheme="minorHAnsi" w:cstheme="majorHAnsi"/>
          <w:color w:val="1E293B"/>
          <w:sz w:val="20"/>
        </w:rPr>
        <w:t xml:space="preserve"> T, Ikeuchi T, Yang ZQ, et al. Cancer-prone syndrome of mosaic variegated aneuploidy and total premature chromatid separation: report of five infants. Am J Med Genet. 2001;104(1):57-64. </w:t>
      </w:r>
      <w:hyperlink r:id="rId34">
        <w:r w:rsidRPr="000B7475">
          <w:rPr>
            <w:rFonts w:asciiTheme="minorHAnsi" w:hAnsiTheme="minorHAnsi" w:cstheme="majorHAnsi"/>
            <w:color w:val="1D4ED8"/>
            <w:sz w:val="20"/>
            <w:szCs w:val="20"/>
            <w:u w:val="single"/>
          </w:rPr>
          <w:t>PMID: 11746029</w:t>
        </w:r>
      </w:hyperlink>
      <w:r w:rsidRPr="000B7475">
        <w:rPr>
          <w:rFonts w:asciiTheme="minorHAnsi" w:hAnsiTheme="minorHAnsi" w:cstheme="majorHAnsi"/>
          <w:color w:val="1E293B"/>
          <w:sz w:val="20"/>
        </w:rPr>
        <w:t>.</w:t>
      </w:r>
    </w:p>
    <w:p w14:paraId="71EE761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24. </w:t>
      </w:r>
      <w:proofErr w:type="spellStart"/>
      <w:r w:rsidRPr="000B7475">
        <w:rPr>
          <w:rFonts w:asciiTheme="minorHAnsi" w:hAnsiTheme="minorHAnsi" w:cstheme="majorHAnsi"/>
          <w:color w:val="1E293B"/>
          <w:sz w:val="20"/>
        </w:rPr>
        <w:t>Kawame</w:t>
      </w:r>
      <w:proofErr w:type="spellEnd"/>
      <w:r w:rsidRPr="000B7475">
        <w:rPr>
          <w:rFonts w:asciiTheme="minorHAnsi" w:hAnsiTheme="minorHAnsi" w:cstheme="majorHAnsi"/>
          <w:color w:val="1E293B"/>
          <w:sz w:val="20"/>
        </w:rPr>
        <w:t xml:space="preserve"> H. [Mosaic variegated aneuploidy]. </w:t>
      </w:r>
      <w:proofErr w:type="spellStart"/>
      <w:r w:rsidRPr="000B7475">
        <w:rPr>
          <w:rFonts w:asciiTheme="minorHAnsi" w:hAnsiTheme="minorHAnsi" w:cstheme="majorHAnsi"/>
          <w:color w:val="1E293B"/>
          <w:sz w:val="20"/>
        </w:rPr>
        <w:t>Ryoikibetsu</w:t>
      </w:r>
      <w:proofErr w:type="spellEnd"/>
      <w:r w:rsidRPr="000B7475">
        <w:rPr>
          <w:rFonts w:asciiTheme="minorHAnsi" w:hAnsiTheme="minorHAnsi" w:cstheme="majorHAnsi"/>
          <w:color w:val="1E293B"/>
          <w:sz w:val="20"/>
        </w:rPr>
        <w:t xml:space="preserve"> </w:t>
      </w:r>
      <w:proofErr w:type="spellStart"/>
      <w:r w:rsidRPr="000B7475">
        <w:rPr>
          <w:rFonts w:asciiTheme="minorHAnsi" w:hAnsiTheme="minorHAnsi" w:cstheme="majorHAnsi"/>
          <w:color w:val="1E293B"/>
          <w:sz w:val="20"/>
        </w:rPr>
        <w:t>Shokogun</w:t>
      </w:r>
      <w:proofErr w:type="spellEnd"/>
      <w:r w:rsidRPr="000B7475">
        <w:rPr>
          <w:rFonts w:asciiTheme="minorHAnsi" w:hAnsiTheme="minorHAnsi" w:cstheme="majorHAnsi"/>
          <w:color w:val="1E293B"/>
          <w:sz w:val="20"/>
        </w:rPr>
        <w:t xml:space="preserve"> Shirizu. 2001;(33):695-696. </w:t>
      </w:r>
      <w:hyperlink r:id="rId35">
        <w:r w:rsidRPr="000B7475">
          <w:rPr>
            <w:rFonts w:asciiTheme="minorHAnsi" w:hAnsiTheme="minorHAnsi" w:cstheme="majorHAnsi"/>
            <w:color w:val="1D4ED8"/>
            <w:sz w:val="20"/>
            <w:szCs w:val="20"/>
            <w:u w:val="single"/>
          </w:rPr>
          <w:t>PMID: 11528703</w:t>
        </w:r>
      </w:hyperlink>
      <w:r w:rsidRPr="000B7475">
        <w:rPr>
          <w:rFonts w:asciiTheme="minorHAnsi" w:hAnsiTheme="minorHAnsi" w:cstheme="majorHAnsi"/>
          <w:color w:val="1E293B"/>
          <w:sz w:val="20"/>
        </w:rPr>
        <w:t>.</w:t>
      </w:r>
    </w:p>
    <w:p w14:paraId="643526D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25. </w:t>
      </w:r>
      <w:proofErr w:type="spellStart"/>
      <w:r w:rsidRPr="000B7475">
        <w:rPr>
          <w:rFonts w:asciiTheme="minorHAnsi" w:hAnsiTheme="minorHAnsi" w:cstheme="majorHAnsi"/>
          <w:color w:val="1E293B"/>
          <w:sz w:val="20"/>
        </w:rPr>
        <w:t>Plaja</w:t>
      </w:r>
      <w:proofErr w:type="spellEnd"/>
      <w:r w:rsidRPr="000B7475">
        <w:rPr>
          <w:rFonts w:asciiTheme="minorHAnsi" w:hAnsiTheme="minorHAnsi" w:cstheme="majorHAnsi"/>
          <w:color w:val="1E293B"/>
          <w:sz w:val="20"/>
        </w:rPr>
        <w:t xml:space="preserve"> A, Vendrell T, Smeets D, </w:t>
      </w:r>
      <w:proofErr w:type="spellStart"/>
      <w:r w:rsidRPr="000B7475">
        <w:rPr>
          <w:rFonts w:asciiTheme="minorHAnsi" w:hAnsiTheme="minorHAnsi" w:cstheme="majorHAnsi"/>
          <w:color w:val="1E293B"/>
          <w:sz w:val="20"/>
        </w:rPr>
        <w:t>Sarret</w:t>
      </w:r>
      <w:proofErr w:type="spellEnd"/>
      <w:r w:rsidRPr="000B7475">
        <w:rPr>
          <w:rFonts w:asciiTheme="minorHAnsi" w:hAnsiTheme="minorHAnsi" w:cstheme="majorHAnsi"/>
          <w:color w:val="1E293B"/>
          <w:sz w:val="20"/>
        </w:rPr>
        <w:t xml:space="preserve"> E, Gili T, </w:t>
      </w:r>
      <w:proofErr w:type="spellStart"/>
      <w:r w:rsidRPr="000B7475">
        <w:rPr>
          <w:rFonts w:asciiTheme="minorHAnsi" w:hAnsiTheme="minorHAnsi" w:cstheme="majorHAnsi"/>
          <w:color w:val="1E293B"/>
          <w:sz w:val="20"/>
        </w:rPr>
        <w:t>Català</w:t>
      </w:r>
      <w:proofErr w:type="spellEnd"/>
      <w:r w:rsidRPr="000B7475">
        <w:rPr>
          <w:rFonts w:asciiTheme="minorHAnsi" w:hAnsiTheme="minorHAnsi" w:cstheme="majorHAnsi"/>
          <w:color w:val="1E293B"/>
          <w:sz w:val="20"/>
        </w:rPr>
        <w:t xml:space="preserve"> V, et al. Variegated aneuploidy related to premature centromere division (PCD) is expressed in vivo and is a cancer-prone disease. Am J Med Genet. 2001;98(3):216-223. </w:t>
      </w:r>
      <w:hyperlink r:id="rId36">
        <w:r w:rsidRPr="000B7475">
          <w:rPr>
            <w:rFonts w:asciiTheme="minorHAnsi" w:hAnsiTheme="minorHAnsi" w:cstheme="majorHAnsi"/>
            <w:color w:val="1D4ED8"/>
            <w:sz w:val="20"/>
            <w:szCs w:val="20"/>
            <w:u w:val="single"/>
          </w:rPr>
          <w:t>PMID: 11169558</w:t>
        </w:r>
      </w:hyperlink>
      <w:r w:rsidRPr="000B7475">
        <w:rPr>
          <w:rFonts w:asciiTheme="minorHAnsi" w:hAnsiTheme="minorHAnsi" w:cstheme="majorHAnsi"/>
          <w:color w:val="1E293B"/>
          <w:sz w:val="20"/>
        </w:rPr>
        <w:t>.</w:t>
      </w:r>
    </w:p>
    <w:p w14:paraId="661F37CE"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26. </w:t>
      </w:r>
      <w:proofErr w:type="spellStart"/>
      <w:r w:rsidRPr="000B7475">
        <w:rPr>
          <w:rFonts w:asciiTheme="minorHAnsi" w:hAnsiTheme="minorHAnsi" w:cstheme="majorHAnsi"/>
          <w:color w:val="1E293B"/>
          <w:sz w:val="20"/>
        </w:rPr>
        <w:t>Jacquemont</w:t>
      </w:r>
      <w:proofErr w:type="spellEnd"/>
      <w:r w:rsidRPr="000B7475">
        <w:rPr>
          <w:rFonts w:asciiTheme="minorHAnsi" w:hAnsiTheme="minorHAnsi" w:cstheme="majorHAnsi"/>
          <w:color w:val="1E293B"/>
          <w:sz w:val="20"/>
        </w:rPr>
        <w:t xml:space="preserve"> S, </w:t>
      </w:r>
      <w:proofErr w:type="spellStart"/>
      <w:r w:rsidRPr="000B7475">
        <w:rPr>
          <w:rFonts w:asciiTheme="minorHAnsi" w:hAnsiTheme="minorHAnsi" w:cstheme="majorHAnsi"/>
          <w:color w:val="1E293B"/>
          <w:sz w:val="20"/>
        </w:rPr>
        <w:t>Bocéno</w:t>
      </w:r>
      <w:proofErr w:type="spellEnd"/>
      <w:r w:rsidRPr="000B7475">
        <w:rPr>
          <w:rFonts w:asciiTheme="minorHAnsi" w:hAnsiTheme="minorHAnsi" w:cstheme="majorHAnsi"/>
          <w:color w:val="1E293B"/>
          <w:sz w:val="20"/>
        </w:rPr>
        <w:t xml:space="preserve"> M, Rival JM, et al. High risk of malignancy in mosaic variegated aneuploidy syndrome. Am J Med Genet. 2002;109(1):17-21. </w:t>
      </w:r>
      <w:hyperlink r:id="rId37">
        <w:r w:rsidRPr="000B7475">
          <w:rPr>
            <w:rFonts w:asciiTheme="minorHAnsi" w:hAnsiTheme="minorHAnsi" w:cstheme="majorHAnsi"/>
            <w:color w:val="1D4ED8"/>
            <w:sz w:val="20"/>
            <w:szCs w:val="20"/>
            <w:u w:val="single"/>
          </w:rPr>
          <w:t>PMID: 11932988</w:t>
        </w:r>
      </w:hyperlink>
      <w:r w:rsidRPr="000B7475">
        <w:rPr>
          <w:rFonts w:asciiTheme="minorHAnsi" w:hAnsiTheme="minorHAnsi" w:cstheme="majorHAnsi"/>
          <w:color w:val="1E293B"/>
          <w:sz w:val="20"/>
        </w:rPr>
        <w:t>.</w:t>
      </w:r>
    </w:p>
    <w:p w14:paraId="56ACBAC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lastRenderedPageBreak/>
        <w:t xml:space="preserve">27. </w:t>
      </w:r>
      <w:r w:rsidRPr="000B7475">
        <w:rPr>
          <w:rFonts w:asciiTheme="minorHAnsi" w:hAnsiTheme="minorHAnsi" w:cstheme="majorHAnsi"/>
          <w:color w:val="1E293B"/>
          <w:sz w:val="20"/>
        </w:rPr>
        <w:t xml:space="preserve">Lane AH, Aijaz N, Galvin-Parton P, et al. Mosaic variegated aneuploidy with growth hormone deficiency and congenital heart defects. Am J Med Genet. 2002;110(3):273-277. </w:t>
      </w:r>
      <w:hyperlink r:id="rId38">
        <w:r w:rsidRPr="000B7475">
          <w:rPr>
            <w:rFonts w:asciiTheme="minorHAnsi" w:hAnsiTheme="minorHAnsi" w:cstheme="majorHAnsi"/>
            <w:color w:val="1D4ED8"/>
            <w:sz w:val="20"/>
            <w:szCs w:val="20"/>
            <w:u w:val="single"/>
          </w:rPr>
          <w:t>PMID: 12116237</w:t>
        </w:r>
      </w:hyperlink>
      <w:r w:rsidRPr="000B7475">
        <w:rPr>
          <w:rFonts w:asciiTheme="minorHAnsi" w:hAnsiTheme="minorHAnsi" w:cstheme="majorHAnsi"/>
          <w:color w:val="1E293B"/>
          <w:sz w:val="20"/>
        </w:rPr>
        <w:t>.</w:t>
      </w:r>
    </w:p>
    <w:p w14:paraId="3B86D93C"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28. </w:t>
      </w:r>
      <w:proofErr w:type="spellStart"/>
      <w:r w:rsidRPr="000B7475">
        <w:rPr>
          <w:rFonts w:asciiTheme="minorHAnsi" w:hAnsiTheme="minorHAnsi" w:cstheme="majorHAnsi"/>
          <w:color w:val="1E293B"/>
          <w:sz w:val="20"/>
        </w:rPr>
        <w:t>Putkey</w:t>
      </w:r>
      <w:proofErr w:type="spellEnd"/>
      <w:r w:rsidRPr="000B7475">
        <w:rPr>
          <w:rFonts w:asciiTheme="minorHAnsi" w:hAnsiTheme="minorHAnsi" w:cstheme="majorHAnsi"/>
          <w:color w:val="1E293B"/>
          <w:sz w:val="20"/>
        </w:rPr>
        <w:t xml:space="preserve"> FR, Cramer T, Morphew MK, Silk AD, Johnson RS, McIntosh JR, et al. Unstable kinetochore-microtubule capture and chromosomal instability following deletion of CENP-E. Dev Cell. 2002;3(3):351-365. doi:10.1016/s1534-5807(02)00255-1. </w:t>
      </w:r>
      <w:hyperlink r:id="rId39">
        <w:r w:rsidRPr="000B7475">
          <w:rPr>
            <w:rFonts w:asciiTheme="minorHAnsi" w:hAnsiTheme="minorHAnsi" w:cstheme="majorHAnsi"/>
            <w:color w:val="1D4ED8"/>
            <w:sz w:val="20"/>
            <w:szCs w:val="20"/>
            <w:u w:val="single"/>
          </w:rPr>
          <w:t>PMID: 12361599</w:t>
        </w:r>
      </w:hyperlink>
      <w:r w:rsidRPr="000B7475">
        <w:rPr>
          <w:rFonts w:asciiTheme="minorHAnsi" w:hAnsiTheme="minorHAnsi" w:cstheme="majorHAnsi"/>
          <w:color w:val="1E293B"/>
          <w:sz w:val="20"/>
        </w:rPr>
        <w:t>.</w:t>
      </w:r>
    </w:p>
    <w:p w14:paraId="3F48A45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29. </w:t>
      </w:r>
      <w:r w:rsidRPr="000B7475">
        <w:rPr>
          <w:rFonts w:asciiTheme="minorHAnsi" w:hAnsiTheme="minorHAnsi" w:cstheme="majorHAnsi"/>
          <w:color w:val="1E293B"/>
          <w:sz w:val="20"/>
        </w:rPr>
        <w:t xml:space="preserve">Bower KL, Dennis NR, Wellesley D, et al. </w:t>
      </w:r>
      <w:proofErr w:type="gramStart"/>
      <w:r w:rsidRPr="000B7475">
        <w:rPr>
          <w:rFonts w:asciiTheme="minorHAnsi" w:hAnsiTheme="minorHAnsi" w:cstheme="majorHAnsi"/>
          <w:color w:val="1E293B"/>
          <w:sz w:val="20"/>
        </w:rPr>
        <w:t>New</w:t>
      </w:r>
      <w:proofErr w:type="gramEnd"/>
      <w:r w:rsidRPr="000B7475">
        <w:rPr>
          <w:rFonts w:asciiTheme="minorHAnsi" w:hAnsiTheme="minorHAnsi" w:cstheme="majorHAnsi"/>
          <w:color w:val="1E293B"/>
          <w:sz w:val="20"/>
        </w:rPr>
        <w:t xml:space="preserve"> case of "apple-peel" intestinal atresia and ocular anomalies with mosaic variegated aneuploidy. Am J Med Genet A. 2003;117</w:t>
      </w:r>
      <w:proofErr w:type="gramStart"/>
      <w:r w:rsidRPr="000B7475">
        <w:rPr>
          <w:rFonts w:asciiTheme="minorHAnsi" w:hAnsiTheme="minorHAnsi" w:cstheme="majorHAnsi"/>
          <w:color w:val="1E293B"/>
          <w:sz w:val="20"/>
        </w:rPr>
        <w:t>A(</w:t>
      </w:r>
      <w:proofErr w:type="gramEnd"/>
      <w:r w:rsidRPr="000B7475">
        <w:rPr>
          <w:rFonts w:asciiTheme="minorHAnsi" w:hAnsiTheme="minorHAnsi" w:cstheme="majorHAnsi"/>
          <w:color w:val="1E293B"/>
          <w:sz w:val="20"/>
        </w:rPr>
        <w:t xml:space="preserve">3):273-276. </w:t>
      </w:r>
      <w:hyperlink r:id="rId40">
        <w:r w:rsidRPr="000B7475">
          <w:rPr>
            <w:rFonts w:asciiTheme="minorHAnsi" w:hAnsiTheme="minorHAnsi" w:cstheme="majorHAnsi"/>
            <w:color w:val="1D4ED8"/>
            <w:sz w:val="20"/>
            <w:szCs w:val="20"/>
            <w:u w:val="single"/>
          </w:rPr>
          <w:t>PMID: 12567426</w:t>
        </w:r>
      </w:hyperlink>
      <w:r w:rsidRPr="000B7475">
        <w:rPr>
          <w:rFonts w:asciiTheme="minorHAnsi" w:hAnsiTheme="minorHAnsi" w:cstheme="majorHAnsi"/>
          <w:color w:val="1E293B"/>
          <w:sz w:val="20"/>
        </w:rPr>
        <w:t>.</w:t>
      </w:r>
    </w:p>
    <w:p w14:paraId="60D4A93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30. </w:t>
      </w:r>
      <w:r w:rsidRPr="000B7475">
        <w:rPr>
          <w:rFonts w:asciiTheme="minorHAnsi" w:hAnsiTheme="minorHAnsi" w:cstheme="majorHAnsi"/>
          <w:color w:val="1E293B"/>
          <w:sz w:val="20"/>
        </w:rPr>
        <w:t xml:space="preserve">Furukawa T, </w:t>
      </w:r>
      <w:proofErr w:type="spellStart"/>
      <w:r w:rsidRPr="000B7475">
        <w:rPr>
          <w:rFonts w:asciiTheme="minorHAnsi" w:hAnsiTheme="minorHAnsi" w:cstheme="majorHAnsi"/>
          <w:color w:val="1E293B"/>
          <w:sz w:val="20"/>
        </w:rPr>
        <w:t>Azakami</w:t>
      </w:r>
      <w:proofErr w:type="spellEnd"/>
      <w:r w:rsidRPr="000B7475">
        <w:rPr>
          <w:rFonts w:asciiTheme="minorHAnsi" w:hAnsiTheme="minorHAnsi" w:cstheme="majorHAnsi"/>
          <w:color w:val="1E293B"/>
          <w:sz w:val="20"/>
        </w:rPr>
        <w:t xml:space="preserve"> S, Kurosawa H, et al. Cystic partially differentiated nephroblastoma, embryonal rhabdomyosarcoma, and multiple congenital anomalies associated with variegated mosaic aneuploidy and premature centromere division: a case report. J Pediatr </w:t>
      </w:r>
      <w:proofErr w:type="spellStart"/>
      <w:r w:rsidRPr="000B7475">
        <w:rPr>
          <w:rFonts w:asciiTheme="minorHAnsi" w:hAnsiTheme="minorHAnsi" w:cstheme="majorHAnsi"/>
          <w:color w:val="1E293B"/>
          <w:sz w:val="20"/>
        </w:rPr>
        <w:t>Hematol</w:t>
      </w:r>
      <w:proofErr w:type="spellEnd"/>
      <w:r w:rsidRPr="000B7475">
        <w:rPr>
          <w:rFonts w:asciiTheme="minorHAnsi" w:hAnsiTheme="minorHAnsi" w:cstheme="majorHAnsi"/>
          <w:color w:val="1E293B"/>
          <w:sz w:val="20"/>
        </w:rPr>
        <w:t xml:space="preserve"> Oncol. 2003;25(11):896-899. </w:t>
      </w:r>
      <w:hyperlink r:id="rId41">
        <w:r w:rsidRPr="000B7475">
          <w:rPr>
            <w:rFonts w:asciiTheme="minorHAnsi" w:hAnsiTheme="minorHAnsi" w:cstheme="majorHAnsi"/>
            <w:color w:val="1D4ED8"/>
            <w:sz w:val="20"/>
            <w:szCs w:val="20"/>
            <w:u w:val="single"/>
          </w:rPr>
          <w:t>PMID: 14608201</w:t>
        </w:r>
      </w:hyperlink>
      <w:r w:rsidRPr="000B7475">
        <w:rPr>
          <w:rFonts w:asciiTheme="minorHAnsi" w:hAnsiTheme="minorHAnsi" w:cstheme="majorHAnsi"/>
          <w:color w:val="1E293B"/>
          <w:sz w:val="20"/>
        </w:rPr>
        <w:t>.</w:t>
      </w:r>
    </w:p>
    <w:p w14:paraId="596D85F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31. </w:t>
      </w:r>
      <w:r w:rsidRPr="000B7475">
        <w:rPr>
          <w:rFonts w:asciiTheme="minorHAnsi" w:hAnsiTheme="minorHAnsi" w:cstheme="majorHAnsi"/>
          <w:color w:val="1E293B"/>
          <w:sz w:val="20"/>
        </w:rPr>
        <w:t xml:space="preserve">Mao Y, </w:t>
      </w:r>
      <w:proofErr w:type="spellStart"/>
      <w:r w:rsidRPr="000B7475">
        <w:rPr>
          <w:rFonts w:asciiTheme="minorHAnsi" w:hAnsiTheme="minorHAnsi" w:cstheme="majorHAnsi"/>
          <w:color w:val="1E293B"/>
          <w:sz w:val="20"/>
        </w:rPr>
        <w:t>Abrieu</w:t>
      </w:r>
      <w:proofErr w:type="spellEnd"/>
      <w:r w:rsidRPr="000B7475">
        <w:rPr>
          <w:rFonts w:asciiTheme="minorHAnsi" w:hAnsiTheme="minorHAnsi" w:cstheme="majorHAnsi"/>
          <w:color w:val="1E293B"/>
          <w:sz w:val="20"/>
        </w:rPr>
        <w:t xml:space="preserve"> A, Cleveland DW. Activating and silencing the mitotic checkpoint through CENP-E-dependent activation/inactivation of BubR1. Cell. 2003;114(1):87-98. doi:10.1016/s0092-8674(03)00475-6. </w:t>
      </w:r>
      <w:hyperlink r:id="rId42">
        <w:r w:rsidRPr="000B7475">
          <w:rPr>
            <w:rFonts w:asciiTheme="minorHAnsi" w:hAnsiTheme="minorHAnsi" w:cstheme="majorHAnsi"/>
            <w:color w:val="1D4ED8"/>
            <w:sz w:val="20"/>
            <w:szCs w:val="20"/>
            <w:u w:val="single"/>
          </w:rPr>
          <w:t>PMID: 12859900</w:t>
        </w:r>
      </w:hyperlink>
      <w:r w:rsidRPr="000B7475">
        <w:rPr>
          <w:rFonts w:asciiTheme="minorHAnsi" w:hAnsiTheme="minorHAnsi" w:cstheme="majorHAnsi"/>
          <w:color w:val="1E293B"/>
          <w:sz w:val="20"/>
        </w:rPr>
        <w:t>.</w:t>
      </w:r>
    </w:p>
    <w:p w14:paraId="59BA2C47" w14:textId="77777777" w:rsidR="000B7475" w:rsidRPr="000B7475" w:rsidRDefault="000B7475" w:rsidP="000B7475">
      <w:pPr>
        <w:spacing w:before="12" w:after="40" w:line="252" w:lineRule="auto"/>
        <w:ind w:left="461" w:hanging="461"/>
        <w:rPr>
          <w:rFonts w:asciiTheme="minorHAnsi" w:hAnsiTheme="minorHAnsi" w:cstheme="majorHAnsi"/>
          <w:color w:val="EE0000"/>
          <w:sz w:val="20"/>
        </w:rPr>
      </w:pPr>
      <w:r w:rsidRPr="000B7475">
        <w:rPr>
          <w:rFonts w:asciiTheme="minorHAnsi" w:hAnsiTheme="minorHAnsi" w:cstheme="majorHAnsi"/>
          <w:b/>
          <w:color w:val="1E293B"/>
          <w:sz w:val="20"/>
        </w:rPr>
        <w:t xml:space="preserve">32. </w:t>
      </w:r>
      <w:proofErr w:type="spellStart"/>
      <w:r w:rsidRPr="000B7475">
        <w:rPr>
          <w:rFonts w:asciiTheme="minorHAnsi" w:hAnsiTheme="minorHAnsi" w:cstheme="majorHAnsi"/>
          <w:color w:val="000000" w:themeColor="text1"/>
          <w:sz w:val="20"/>
        </w:rPr>
        <w:t>Plaja</w:t>
      </w:r>
      <w:proofErr w:type="spellEnd"/>
      <w:r w:rsidRPr="000B7475">
        <w:rPr>
          <w:rFonts w:asciiTheme="minorHAnsi" w:hAnsiTheme="minorHAnsi" w:cstheme="majorHAnsi"/>
          <w:color w:val="000000" w:themeColor="text1"/>
          <w:sz w:val="20"/>
        </w:rPr>
        <w:t xml:space="preserve"> A, Mediano C, </w:t>
      </w:r>
      <w:proofErr w:type="spellStart"/>
      <w:r w:rsidRPr="000B7475">
        <w:rPr>
          <w:rFonts w:asciiTheme="minorHAnsi" w:hAnsiTheme="minorHAnsi" w:cstheme="majorHAnsi"/>
          <w:color w:val="000000" w:themeColor="text1"/>
          <w:sz w:val="20"/>
        </w:rPr>
        <w:t>Cano</w:t>
      </w:r>
      <w:proofErr w:type="spellEnd"/>
      <w:r w:rsidRPr="000B7475">
        <w:rPr>
          <w:rFonts w:asciiTheme="minorHAnsi" w:hAnsiTheme="minorHAnsi" w:cstheme="majorHAnsi"/>
          <w:color w:val="000000" w:themeColor="text1"/>
          <w:sz w:val="20"/>
        </w:rPr>
        <w:t xml:space="preserve"> L, Vendrell T, </w:t>
      </w:r>
      <w:proofErr w:type="spellStart"/>
      <w:r w:rsidRPr="000B7475">
        <w:rPr>
          <w:rFonts w:asciiTheme="minorHAnsi" w:hAnsiTheme="minorHAnsi" w:cstheme="majorHAnsi"/>
          <w:color w:val="000000" w:themeColor="text1"/>
          <w:sz w:val="20"/>
        </w:rPr>
        <w:t>Sarret</w:t>
      </w:r>
      <w:proofErr w:type="spellEnd"/>
      <w:r w:rsidRPr="000B7475">
        <w:rPr>
          <w:rFonts w:asciiTheme="minorHAnsi" w:hAnsiTheme="minorHAnsi" w:cstheme="majorHAnsi"/>
          <w:color w:val="000000" w:themeColor="text1"/>
          <w:sz w:val="20"/>
        </w:rPr>
        <w:t xml:space="preserve"> E, Farran I, Sanchez MA. Prenatal diagnosis of a rare chromosomal instability syndrome: variegated aneuploidy related to premature centromere division (PCD). Am J Med Genet A. 2003 Feb 15;117</w:t>
      </w:r>
      <w:proofErr w:type="gramStart"/>
      <w:r w:rsidRPr="000B7475">
        <w:rPr>
          <w:rFonts w:asciiTheme="minorHAnsi" w:hAnsiTheme="minorHAnsi" w:cstheme="majorHAnsi"/>
          <w:color w:val="000000" w:themeColor="text1"/>
          <w:sz w:val="20"/>
        </w:rPr>
        <w:t>A(</w:t>
      </w:r>
      <w:proofErr w:type="gramEnd"/>
      <w:r w:rsidRPr="000B7475">
        <w:rPr>
          <w:rFonts w:asciiTheme="minorHAnsi" w:hAnsiTheme="minorHAnsi" w:cstheme="majorHAnsi"/>
          <w:color w:val="000000" w:themeColor="text1"/>
          <w:sz w:val="20"/>
        </w:rPr>
        <w:t xml:space="preserve">1):85-86. </w:t>
      </w:r>
      <w:proofErr w:type="spellStart"/>
      <w:r w:rsidRPr="000B7475">
        <w:rPr>
          <w:rFonts w:asciiTheme="minorHAnsi" w:hAnsiTheme="minorHAnsi" w:cstheme="majorHAnsi"/>
          <w:color w:val="000000" w:themeColor="text1"/>
          <w:sz w:val="20"/>
        </w:rPr>
        <w:t>doi</w:t>
      </w:r>
      <w:proofErr w:type="spellEnd"/>
      <w:r w:rsidRPr="000B7475">
        <w:rPr>
          <w:rFonts w:asciiTheme="minorHAnsi" w:hAnsiTheme="minorHAnsi" w:cstheme="majorHAnsi"/>
          <w:color w:val="000000" w:themeColor="text1"/>
          <w:sz w:val="20"/>
        </w:rPr>
        <w:t xml:space="preserve">: 10.1002/ajmg.a.10810. </w:t>
      </w:r>
      <w:hyperlink r:id="rId43" w:history="1">
        <w:r w:rsidRPr="000B7475">
          <w:rPr>
            <w:rStyle w:val="Hipervnculo"/>
            <w:rFonts w:asciiTheme="minorHAnsi" w:hAnsiTheme="minorHAnsi" w:cstheme="majorHAnsi"/>
            <w:sz w:val="20"/>
          </w:rPr>
          <w:t>PMID: 1254</w:t>
        </w:r>
        <w:r w:rsidRPr="000B7475">
          <w:rPr>
            <w:rStyle w:val="Hipervnculo"/>
            <w:rFonts w:asciiTheme="minorHAnsi" w:hAnsiTheme="minorHAnsi" w:cstheme="majorHAnsi"/>
            <w:sz w:val="20"/>
          </w:rPr>
          <w:t>8</w:t>
        </w:r>
        <w:r w:rsidRPr="000B7475">
          <w:rPr>
            <w:rStyle w:val="Hipervnculo"/>
            <w:rFonts w:asciiTheme="minorHAnsi" w:hAnsiTheme="minorHAnsi" w:cstheme="majorHAnsi"/>
            <w:sz w:val="20"/>
          </w:rPr>
          <w:t>747.</w:t>
        </w:r>
      </w:hyperlink>
    </w:p>
    <w:p w14:paraId="564172D0"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33. </w:t>
      </w:r>
      <w:r w:rsidRPr="000B7475">
        <w:rPr>
          <w:rFonts w:asciiTheme="minorHAnsi" w:hAnsiTheme="minorHAnsi" w:cstheme="majorHAnsi"/>
          <w:color w:val="1E293B"/>
          <w:sz w:val="20"/>
        </w:rPr>
        <w:t xml:space="preserve">Baker DJ, Jeganathan KB, Cameron JD, Thompson M, Juneja S, Kopecka A, et al. BubR1 insufficiency causes early onset of aging-associated phenotypes and infertility in mice. Nat Genet. 2004;36(7):744-749. doi:10.1038/ng1382. </w:t>
      </w:r>
      <w:hyperlink r:id="rId44">
        <w:r w:rsidRPr="000B7475">
          <w:rPr>
            <w:rFonts w:asciiTheme="minorHAnsi" w:hAnsiTheme="minorHAnsi" w:cstheme="majorHAnsi"/>
            <w:color w:val="1D4ED8"/>
            <w:sz w:val="20"/>
            <w:szCs w:val="20"/>
            <w:u w:val="single"/>
          </w:rPr>
          <w:t>PMID: 15208629</w:t>
        </w:r>
      </w:hyperlink>
      <w:r w:rsidRPr="000B7475">
        <w:rPr>
          <w:rFonts w:asciiTheme="minorHAnsi" w:hAnsiTheme="minorHAnsi" w:cstheme="majorHAnsi"/>
          <w:color w:val="1E293B"/>
          <w:sz w:val="20"/>
        </w:rPr>
        <w:t>.</w:t>
      </w:r>
    </w:p>
    <w:p w14:paraId="27DE794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34. </w:t>
      </w:r>
      <w:r w:rsidRPr="000B7475">
        <w:rPr>
          <w:rFonts w:asciiTheme="minorHAnsi" w:hAnsiTheme="minorHAnsi" w:cstheme="majorHAnsi"/>
          <w:color w:val="1E293B"/>
          <w:sz w:val="20"/>
        </w:rPr>
        <w:t xml:space="preserve">Chen CP, Lee CC, Chen WL, et al. Prenatal diagnosis of premature centromere division-related mosaic variegated aneuploidy. </w:t>
      </w:r>
      <w:proofErr w:type="spellStart"/>
      <w:r w:rsidRPr="000B7475">
        <w:rPr>
          <w:rFonts w:asciiTheme="minorHAnsi" w:hAnsiTheme="minorHAnsi" w:cstheme="majorHAnsi"/>
          <w:color w:val="1E293B"/>
          <w:sz w:val="20"/>
        </w:rPr>
        <w:t>Prenat</w:t>
      </w:r>
      <w:proofErr w:type="spellEnd"/>
      <w:r w:rsidRPr="000B7475">
        <w:rPr>
          <w:rFonts w:asciiTheme="minorHAnsi" w:hAnsiTheme="minorHAnsi" w:cstheme="majorHAnsi"/>
          <w:color w:val="1E293B"/>
          <w:sz w:val="20"/>
        </w:rPr>
        <w:t xml:space="preserve"> </w:t>
      </w:r>
      <w:proofErr w:type="spellStart"/>
      <w:r w:rsidRPr="000B7475">
        <w:rPr>
          <w:rFonts w:asciiTheme="minorHAnsi" w:hAnsiTheme="minorHAnsi" w:cstheme="majorHAnsi"/>
          <w:color w:val="1E293B"/>
          <w:sz w:val="20"/>
        </w:rPr>
        <w:t>Diagn</w:t>
      </w:r>
      <w:proofErr w:type="spellEnd"/>
      <w:r w:rsidRPr="000B7475">
        <w:rPr>
          <w:rFonts w:asciiTheme="minorHAnsi" w:hAnsiTheme="minorHAnsi" w:cstheme="majorHAnsi"/>
          <w:color w:val="1E293B"/>
          <w:sz w:val="20"/>
        </w:rPr>
        <w:t xml:space="preserve">. 2004;24(1):19-25. </w:t>
      </w:r>
      <w:hyperlink r:id="rId45">
        <w:r w:rsidRPr="000B7475">
          <w:rPr>
            <w:rFonts w:asciiTheme="minorHAnsi" w:hAnsiTheme="minorHAnsi" w:cstheme="majorHAnsi"/>
            <w:color w:val="1D4ED8"/>
            <w:sz w:val="20"/>
            <w:szCs w:val="20"/>
            <w:u w:val="single"/>
          </w:rPr>
          <w:t>PMID: 14755404</w:t>
        </w:r>
      </w:hyperlink>
      <w:r w:rsidRPr="000B7475">
        <w:rPr>
          <w:rFonts w:asciiTheme="minorHAnsi" w:hAnsiTheme="minorHAnsi" w:cstheme="majorHAnsi"/>
          <w:color w:val="1E293B"/>
          <w:sz w:val="20"/>
        </w:rPr>
        <w:t>.</w:t>
      </w:r>
    </w:p>
    <w:p w14:paraId="1CE00305"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35. </w:t>
      </w:r>
      <w:r w:rsidRPr="000B7475">
        <w:rPr>
          <w:rFonts w:asciiTheme="minorHAnsi" w:hAnsiTheme="minorHAnsi" w:cstheme="majorHAnsi"/>
          <w:color w:val="1E293B"/>
          <w:sz w:val="20"/>
        </w:rPr>
        <w:t xml:space="preserve">Dai W, Wang Q, Liu T, Swamy M, Fang Y, Xie S, et al. Slippage of mitotic arrest and enhanced tumor development in mice with BubR1 haploinsufficiency. Cancer Res. 2004;64(2):440-445. </w:t>
      </w:r>
      <w:proofErr w:type="gramStart"/>
      <w:r w:rsidRPr="000B7475">
        <w:rPr>
          <w:rFonts w:asciiTheme="minorHAnsi" w:hAnsiTheme="minorHAnsi" w:cstheme="majorHAnsi"/>
          <w:color w:val="1E293B"/>
          <w:sz w:val="20"/>
        </w:rPr>
        <w:t>doi:10.1158/0008-5472.can</w:t>
      </w:r>
      <w:proofErr w:type="gramEnd"/>
      <w:r w:rsidRPr="000B7475">
        <w:rPr>
          <w:rFonts w:asciiTheme="minorHAnsi" w:hAnsiTheme="minorHAnsi" w:cstheme="majorHAnsi"/>
          <w:color w:val="1E293B"/>
          <w:sz w:val="20"/>
        </w:rPr>
        <w:t xml:space="preserve">-03-3119. </w:t>
      </w:r>
      <w:hyperlink r:id="rId46">
        <w:r w:rsidRPr="000B7475">
          <w:rPr>
            <w:rFonts w:asciiTheme="minorHAnsi" w:hAnsiTheme="minorHAnsi" w:cstheme="majorHAnsi"/>
            <w:color w:val="1D4ED8"/>
            <w:sz w:val="20"/>
            <w:szCs w:val="20"/>
            <w:u w:val="single"/>
          </w:rPr>
          <w:t>PMID: 14744753</w:t>
        </w:r>
      </w:hyperlink>
      <w:r w:rsidRPr="000B7475">
        <w:rPr>
          <w:rFonts w:asciiTheme="minorHAnsi" w:hAnsiTheme="minorHAnsi" w:cstheme="majorHAnsi"/>
          <w:color w:val="1E293B"/>
          <w:sz w:val="20"/>
        </w:rPr>
        <w:t>.</w:t>
      </w:r>
    </w:p>
    <w:p w14:paraId="58E0A950"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36. </w:t>
      </w:r>
      <w:r w:rsidRPr="000B7475">
        <w:rPr>
          <w:rFonts w:asciiTheme="minorHAnsi" w:hAnsiTheme="minorHAnsi" w:cstheme="majorHAnsi"/>
          <w:color w:val="1E293B"/>
          <w:sz w:val="20"/>
        </w:rPr>
        <w:t>Ikeuchi T, Yang ZQ, Wakamatsu K, et al. Induction of premature chromatid separation (PCS) in individuals with PCS trait and in normal controls. Am J Med Genet A. 2004;127</w:t>
      </w:r>
      <w:proofErr w:type="gramStart"/>
      <w:r w:rsidRPr="000B7475">
        <w:rPr>
          <w:rFonts w:asciiTheme="minorHAnsi" w:hAnsiTheme="minorHAnsi" w:cstheme="majorHAnsi"/>
          <w:color w:val="1E293B"/>
          <w:sz w:val="20"/>
        </w:rPr>
        <w:t>A(</w:t>
      </w:r>
      <w:proofErr w:type="gramEnd"/>
      <w:r w:rsidRPr="000B7475">
        <w:rPr>
          <w:rFonts w:asciiTheme="minorHAnsi" w:hAnsiTheme="minorHAnsi" w:cstheme="majorHAnsi"/>
          <w:color w:val="1E293B"/>
          <w:sz w:val="20"/>
        </w:rPr>
        <w:t xml:space="preserve">2):128-132. </w:t>
      </w:r>
      <w:hyperlink r:id="rId47">
        <w:r w:rsidRPr="000B7475">
          <w:rPr>
            <w:rFonts w:asciiTheme="minorHAnsi" w:hAnsiTheme="minorHAnsi" w:cstheme="majorHAnsi"/>
            <w:color w:val="1D4ED8"/>
            <w:sz w:val="20"/>
            <w:szCs w:val="20"/>
            <w:u w:val="single"/>
          </w:rPr>
          <w:t>PMID: 15108198</w:t>
        </w:r>
      </w:hyperlink>
      <w:r w:rsidRPr="000B7475">
        <w:rPr>
          <w:rFonts w:asciiTheme="minorHAnsi" w:hAnsiTheme="minorHAnsi" w:cstheme="majorHAnsi"/>
          <w:color w:val="1E293B"/>
          <w:sz w:val="20"/>
        </w:rPr>
        <w:t>.</w:t>
      </w:r>
    </w:p>
    <w:p w14:paraId="3DCC3B6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37. </w:t>
      </w:r>
      <w:proofErr w:type="spellStart"/>
      <w:r w:rsidRPr="000B7475">
        <w:rPr>
          <w:rFonts w:asciiTheme="minorHAnsi" w:hAnsiTheme="minorHAnsi" w:cstheme="majorHAnsi"/>
          <w:color w:val="1E293B"/>
          <w:sz w:val="20"/>
        </w:rPr>
        <w:t>Kajii</w:t>
      </w:r>
      <w:proofErr w:type="spellEnd"/>
      <w:r w:rsidRPr="000B7475">
        <w:rPr>
          <w:rFonts w:asciiTheme="minorHAnsi" w:hAnsiTheme="minorHAnsi" w:cstheme="majorHAnsi"/>
          <w:color w:val="1E293B"/>
          <w:sz w:val="20"/>
        </w:rPr>
        <w:t xml:space="preserve"> T, Ikeuchi T. Premature chromatid separation (PCS) vs. premature centromere division (PCD). Am J Med Genet A. 2004;126</w:t>
      </w:r>
      <w:proofErr w:type="gramStart"/>
      <w:r w:rsidRPr="000B7475">
        <w:rPr>
          <w:rFonts w:asciiTheme="minorHAnsi" w:hAnsiTheme="minorHAnsi" w:cstheme="majorHAnsi"/>
          <w:color w:val="1E293B"/>
          <w:sz w:val="20"/>
        </w:rPr>
        <w:t>A(</w:t>
      </w:r>
      <w:proofErr w:type="gramEnd"/>
      <w:r w:rsidRPr="000B7475">
        <w:rPr>
          <w:rFonts w:asciiTheme="minorHAnsi" w:hAnsiTheme="minorHAnsi" w:cstheme="majorHAnsi"/>
          <w:color w:val="1E293B"/>
          <w:sz w:val="20"/>
        </w:rPr>
        <w:t xml:space="preserve">4):433-434. doi:10.1002/ajmg.a.20603. </w:t>
      </w:r>
      <w:hyperlink r:id="rId48">
        <w:r w:rsidRPr="000B7475">
          <w:rPr>
            <w:rFonts w:asciiTheme="minorHAnsi" w:hAnsiTheme="minorHAnsi" w:cstheme="majorHAnsi"/>
            <w:color w:val="1D4ED8"/>
            <w:sz w:val="20"/>
            <w:szCs w:val="20"/>
            <w:u w:val="single"/>
          </w:rPr>
          <w:t>PMID: 15098246</w:t>
        </w:r>
      </w:hyperlink>
      <w:r w:rsidRPr="000B7475">
        <w:rPr>
          <w:rFonts w:asciiTheme="minorHAnsi" w:hAnsiTheme="minorHAnsi" w:cstheme="majorHAnsi"/>
          <w:color w:val="1E293B"/>
          <w:sz w:val="20"/>
        </w:rPr>
        <w:t>.</w:t>
      </w:r>
    </w:p>
    <w:p w14:paraId="5F0EBF7E"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38. </w:t>
      </w:r>
      <w:r w:rsidRPr="000B7475">
        <w:rPr>
          <w:rFonts w:asciiTheme="minorHAnsi" w:hAnsiTheme="minorHAnsi" w:cstheme="majorHAnsi"/>
          <w:color w:val="1E293B"/>
          <w:sz w:val="20"/>
        </w:rPr>
        <w:t xml:space="preserve">Callier P, Faivre L, </w:t>
      </w:r>
      <w:proofErr w:type="spellStart"/>
      <w:r w:rsidRPr="000B7475">
        <w:rPr>
          <w:rFonts w:asciiTheme="minorHAnsi" w:hAnsiTheme="minorHAnsi" w:cstheme="majorHAnsi"/>
          <w:color w:val="1E293B"/>
          <w:sz w:val="20"/>
        </w:rPr>
        <w:t>Cusin</w:t>
      </w:r>
      <w:proofErr w:type="spellEnd"/>
      <w:r w:rsidRPr="000B7475">
        <w:rPr>
          <w:rFonts w:asciiTheme="minorHAnsi" w:hAnsiTheme="minorHAnsi" w:cstheme="majorHAnsi"/>
          <w:color w:val="1E293B"/>
          <w:sz w:val="20"/>
        </w:rPr>
        <w:t xml:space="preserve"> V, et al. Microcephaly is not mandatory for the diagnosis of mosaic variegated aneuploidy syndrome. Am J Med Genet A. 2005;137</w:t>
      </w:r>
      <w:proofErr w:type="gramStart"/>
      <w:r w:rsidRPr="000B7475">
        <w:rPr>
          <w:rFonts w:asciiTheme="minorHAnsi" w:hAnsiTheme="minorHAnsi" w:cstheme="majorHAnsi"/>
          <w:color w:val="1E293B"/>
          <w:sz w:val="20"/>
        </w:rPr>
        <w:t>A(</w:t>
      </w:r>
      <w:proofErr w:type="gramEnd"/>
      <w:r w:rsidRPr="000B7475">
        <w:rPr>
          <w:rFonts w:asciiTheme="minorHAnsi" w:hAnsiTheme="minorHAnsi" w:cstheme="majorHAnsi"/>
          <w:color w:val="1E293B"/>
          <w:sz w:val="20"/>
        </w:rPr>
        <w:t xml:space="preserve">2):204-207. </w:t>
      </w:r>
      <w:hyperlink r:id="rId49">
        <w:r w:rsidRPr="000B7475">
          <w:rPr>
            <w:rFonts w:asciiTheme="minorHAnsi" w:hAnsiTheme="minorHAnsi" w:cstheme="majorHAnsi"/>
            <w:color w:val="1D4ED8"/>
            <w:sz w:val="20"/>
            <w:szCs w:val="20"/>
            <w:u w:val="single"/>
          </w:rPr>
          <w:t>PMID: 16059936</w:t>
        </w:r>
      </w:hyperlink>
      <w:r w:rsidRPr="000B7475">
        <w:rPr>
          <w:rFonts w:asciiTheme="minorHAnsi" w:hAnsiTheme="minorHAnsi" w:cstheme="majorHAnsi"/>
          <w:color w:val="1E293B"/>
          <w:sz w:val="20"/>
        </w:rPr>
        <w:t>.</w:t>
      </w:r>
    </w:p>
    <w:p w14:paraId="53D53B0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39. </w:t>
      </w:r>
      <w:r w:rsidRPr="000B7475">
        <w:rPr>
          <w:rFonts w:asciiTheme="minorHAnsi" w:hAnsiTheme="minorHAnsi" w:cstheme="majorHAnsi"/>
          <w:color w:val="1E293B"/>
          <w:sz w:val="20"/>
        </w:rPr>
        <w:t xml:space="preserve">Corona-Rivera A, Salamanca-Gomez F, Bobadilla-Morales L, et al. Cell cycle and centromere FISH studies in premature centromere division. BMC Med Genet. </w:t>
      </w:r>
      <w:proofErr w:type="gramStart"/>
      <w:r w:rsidRPr="000B7475">
        <w:rPr>
          <w:rFonts w:asciiTheme="minorHAnsi" w:hAnsiTheme="minorHAnsi" w:cstheme="majorHAnsi"/>
          <w:color w:val="1E293B"/>
          <w:sz w:val="20"/>
        </w:rPr>
        <w:t>2005;6:33</w:t>
      </w:r>
      <w:proofErr w:type="gramEnd"/>
      <w:r w:rsidRPr="000B7475">
        <w:rPr>
          <w:rFonts w:asciiTheme="minorHAnsi" w:hAnsiTheme="minorHAnsi" w:cstheme="majorHAnsi"/>
          <w:color w:val="1E293B"/>
          <w:sz w:val="20"/>
        </w:rPr>
        <w:t xml:space="preserve">. </w:t>
      </w:r>
      <w:hyperlink r:id="rId50">
        <w:r w:rsidRPr="000B7475">
          <w:rPr>
            <w:rFonts w:asciiTheme="minorHAnsi" w:hAnsiTheme="minorHAnsi" w:cstheme="majorHAnsi"/>
            <w:color w:val="1D4ED8"/>
            <w:sz w:val="20"/>
            <w:szCs w:val="20"/>
            <w:u w:val="single"/>
          </w:rPr>
          <w:t>PMID: 16174301</w:t>
        </w:r>
      </w:hyperlink>
      <w:r w:rsidRPr="000B7475">
        <w:rPr>
          <w:rFonts w:asciiTheme="minorHAnsi" w:hAnsiTheme="minorHAnsi" w:cstheme="majorHAnsi"/>
          <w:color w:val="1E293B"/>
          <w:sz w:val="20"/>
        </w:rPr>
        <w:t>.</w:t>
      </w:r>
    </w:p>
    <w:p w14:paraId="3645ADB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40. </w:t>
      </w:r>
      <w:r w:rsidRPr="000B7475">
        <w:rPr>
          <w:rFonts w:asciiTheme="minorHAnsi" w:hAnsiTheme="minorHAnsi" w:cstheme="majorHAnsi"/>
          <w:color w:val="1E293B"/>
          <w:sz w:val="20"/>
        </w:rPr>
        <w:t xml:space="preserve">Hanks S, Rahman N. Aneuploidy-cancer predisposition syndromes: a new link between the mitotic spindle checkpoint and cancer. Cell Cycle. 2005;4(2):225-227. </w:t>
      </w:r>
      <w:hyperlink r:id="rId51">
        <w:r w:rsidRPr="000B7475">
          <w:rPr>
            <w:rFonts w:asciiTheme="minorHAnsi" w:hAnsiTheme="minorHAnsi" w:cstheme="majorHAnsi"/>
            <w:color w:val="1D4ED8"/>
            <w:sz w:val="20"/>
            <w:szCs w:val="20"/>
            <w:u w:val="single"/>
          </w:rPr>
          <w:t>PMID: 15655355</w:t>
        </w:r>
      </w:hyperlink>
      <w:r w:rsidRPr="000B7475">
        <w:rPr>
          <w:rFonts w:asciiTheme="minorHAnsi" w:hAnsiTheme="minorHAnsi" w:cstheme="majorHAnsi"/>
          <w:color w:val="1E293B"/>
          <w:sz w:val="20"/>
        </w:rPr>
        <w:t>.</w:t>
      </w:r>
    </w:p>
    <w:p w14:paraId="2A2543B5"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41. </w:t>
      </w:r>
      <w:r w:rsidRPr="000B7475">
        <w:rPr>
          <w:rFonts w:asciiTheme="minorHAnsi" w:hAnsiTheme="minorHAnsi" w:cstheme="majorHAnsi"/>
          <w:color w:val="1E293B"/>
          <w:sz w:val="20"/>
        </w:rPr>
        <w:t xml:space="preserve">Kops GJ, Weaver BA, Cleveland DW. On the road to cancer: aneuploidy and the mitotic checkpoint. Nat Rev Cancer. 2005;5(10):773-785. doi:10.1038/nrc1714. </w:t>
      </w:r>
      <w:hyperlink r:id="rId52">
        <w:r w:rsidRPr="000B7475">
          <w:rPr>
            <w:rFonts w:asciiTheme="minorHAnsi" w:hAnsiTheme="minorHAnsi" w:cstheme="majorHAnsi"/>
            <w:color w:val="1D4ED8"/>
            <w:sz w:val="20"/>
            <w:szCs w:val="20"/>
            <w:u w:val="single"/>
          </w:rPr>
          <w:t>PMID: 16195750</w:t>
        </w:r>
      </w:hyperlink>
      <w:r w:rsidRPr="000B7475">
        <w:rPr>
          <w:rFonts w:asciiTheme="minorHAnsi" w:hAnsiTheme="minorHAnsi" w:cstheme="majorHAnsi"/>
          <w:color w:val="1E293B"/>
          <w:sz w:val="20"/>
        </w:rPr>
        <w:t>.</w:t>
      </w:r>
    </w:p>
    <w:p w14:paraId="72A3398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42. </w:t>
      </w:r>
      <w:r w:rsidRPr="000B7475">
        <w:rPr>
          <w:rFonts w:asciiTheme="minorHAnsi" w:hAnsiTheme="minorHAnsi" w:cstheme="majorHAnsi"/>
          <w:color w:val="1E293B"/>
          <w:sz w:val="20"/>
        </w:rPr>
        <w:t xml:space="preserve">Mao Y, Desai A, Cleveland DW. Microtubule capture by CENP-E silences BubR1-dependent mitotic checkpoint signaling. J Cell Biol. 2005;170(6):873-880. doi:10.1083/jcb.200505040. </w:t>
      </w:r>
      <w:hyperlink r:id="rId53">
        <w:r w:rsidRPr="000B7475">
          <w:rPr>
            <w:rFonts w:asciiTheme="minorHAnsi" w:hAnsiTheme="minorHAnsi" w:cstheme="majorHAnsi"/>
            <w:color w:val="1D4ED8"/>
            <w:sz w:val="20"/>
            <w:szCs w:val="20"/>
            <w:u w:val="single"/>
          </w:rPr>
          <w:t>PMID: 16144904</w:t>
        </w:r>
      </w:hyperlink>
      <w:r w:rsidRPr="000B7475">
        <w:rPr>
          <w:rFonts w:asciiTheme="minorHAnsi" w:hAnsiTheme="minorHAnsi" w:cstheme="majorHAnsi"/>
          <w:color w:val="1E293B"/>
          <w:sz w:val="20"/>
        </w:rPr>
        <w:t>.</w:t>
      </w:r>
    </w:p>
    <w:p w14:paraId="7AE250B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43. </w:t>
      </w:r>
      <w:r w:rsidRPr="000B7475">
        <w:rPr>
          <w:rFonts w:asciiTheme="minorHAnsi" w:hAnsiTheme="minorHAnsi" w:cstheme="majorHAnsi"/>
          <w:color w:val="1E293B"/>
          <w:sz w:val="20"/>
        </w:rPr>
        <w:t xml:space="preserve">Hanks S, Coleman K, Summersgill B, et al. Comparative genomic hybridization and BUB1B mutation analyses in childhood cancers associated with mosaic variegated aneuploidy syndrome. Cancer Lett. 2006;239(2):234-238. </w:t>
      </w:r>
      <w:hyperlink r:id="rId54">
        <w:r w:rsidRPr="000B7475">
          <w:rPr>
            <w:rFonts w:asciiTheme="minorHAnsi" w:hAnsiTheme="minorHAnsi" w:cstheme="majorHAnsi"/>
            <w:color w:val="1D4ED8"/>
            <w:sz w:val="20"/>
            <w:szCs w:val="20"/>
            <w:u w:val="single"/>
          </w:rPr>
          <w:t>PMID: 16182441</w:t>
        </w:r>
      </w:hyperlink>
      <w:r w:rsidRPr="000B7475">
        <w:rPr>
          <w:rFonts w:asciiTheme="minorHAnsi" w:hAnsiTheme="minorHAnsi" w:cstheme="majorHAnsi"/>
          <w:color w:val="1E293B"/>
          <w:sz w:val="20"/>
        </w:rPr>
        <w:t>.</w:t>
      </w:r>
    </w:p>
    <w:p w14:paraId="573FA60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44. </w:t>
      </w:r>
      <w:r w:rsidRPr="000B7475">
        <w:rPr>
          <w:rFonts w:asciiTheme="minorHAnsi" w:hAnsiTheme="minorHAnsi" w:cstheme="majorHAnsi"/>
          <w:color w:val="1E293B"/>
          <w:sz w:val="20"/>
        </w:rPr>
        <w:t>Matsuura S, Matsumoto Y, Morishima K, et al. Monoallelic BUB1B mutations and defective mitotic-spindle checkpoint in seven families with premature chromatid separation (PCS) syndrome. Am J Med Genet A. 2006;140</w:t>
      </w:r>
      <w:proofErr w:type="gramStart"/>
      <w:r w:rsidRPr="000B7475">
        <w:rPr>
          <w:rFonts w:asciiTheme="minorHAnsi" w:hAnsiTheme="minorHAnsi" w:cstheme="majorHAnsi"/>
          <w:color w:val="1E293B"/>
          <w:sz w:val="20"/>
        </w:rPr>
        <w:t>A(</w:t>
      </w:r>
      <w:proofErr w:type="gramEnd"/>
      <w:r w:rsidRPr="000B7475">
        <w:rPr>
          <w:rFonts w:asciiTheme="minorHAnsi" w:hAnsiTheme="minorHAnsi" w:cstheme="majorHAnsi"/>
          <w:color w:val="1E293B"/>
          <w:sz w:val="20"/>
        </w:rPr>
        <w:t xml:space="preserve">4):358-367. </w:t>
      </w:r>
      <w:hyperlink r:id="rId55">
        <w:r w:rsidRPr="000B7475">
          <w:rPr>
            <w:rFonts w:asciiTheme="minorHAnsi" w:hAnsiTheme="minorHAnsi" w:cstheme="majorHAnsi"/>
            <w:color w:val="1D4ED8"/>
            <w:sz w:val="20"/>
            <w:szCs w:val="20"/>
            <w:u w:val="single"/>
          </w:rPr>
          <w:t>PMID: 16411201</w:t>
        </w:r>
      </w:hyperlink>
      <w:r w:rsidRPr="000B7475">
        <w:rPr>
          <w:rFonts w:asciiTheme="minorHAnsi" w:hAnsiTheme="minorHAnsi" w:cstheme="majorHAnsi"/>
          <w:color w:val="1E293B"/>
          <w:sz w:val="20"/>
        </w:rPr>
        <w:t>.</w:t>
      </w:r>
    </w:p>
    <w:p w14:paraId="3FD1CFEF"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45. </w:t>
      </w:r>
      <w:r w:rsidRPr="000B7475">
        <w:rPr>
          <w:rFonts w:asciiTheme="minorHAnsi" w:hAnsiTheme="minorHAnsi" w:cstheme="majorHAnsi"/>
          <w:color w:val="1E293B"/>
          <w:sz w:val="20"/>
        </w:rPr>
        <w:t xml:space="preserve">Emanuele MJ, Stukenberg PT. Xenopus Cep57 is a novel kinetochore component involved in microtubule attachment. Cell. 2007;130(5):893-905. </w:t>
      </w:r>
      <w:proofErr w:type="gramStart"/>
      <w:r w:rsidRPr="000B7475">
        <w:rPr>
          <w:rFonts w:asciiTheme="minorHAnsi" w:hAnsiTheme="minorHAnsi" w:cstheme="majorHAnsi"/>
          <w:color w:val="1E293B"/>
          <w:sz w:val="20"/>
        </w:rPr>
        <w:t>doi:10.1016/j.cell</w:t>
      </w:r>
      <w:proofErr w:type="gramEnd"/>
      <w:r w:rsidRPr="000B7475">
        <w:rPr>
          <w:rFonts w:asciiTheme="minorHAnsi" w:hAnsiTheme="minorHAnsi" w:cstheme="majorHAnsi"/>
          <w:color w:val="1E293B"/>
          <w:sz w:val="20"/>
        </w:rPr>
        <w:t xml:space="preserve">.2007.07.023. </w:t>
      </w:r>
      <w:hyperlink r:id="rId56">
        <w:r w:rsidRPr="000B7475">
          <w:rPr>
            <w:rFonts w:asciiTheme="minorHAnsi" w:hAnsiTheme="minorHAnsi" w:cstheme="majorHAnsi"/>
            <w:color w:val="1D4ED8"/>
            <w:sz w:val="20"/>
            <w:szCs w:val="20"/>
            <w:u w:val="single"/>
          </w:rPr>
          <w:t>PMID: 17803911</w:t>
        </w:r>
      </w:hyperlink>
      <w:r w:rsidRPr="000B7475">
        <w:rPr>
          <w:rFonts w:asciiTheme="minorHAnsi" w:hAnsiTheme="minorHAnsi" w:cstheme="majorHAnsi"/>
          <w:color w:val="1E293B"/>
          <w:sz w:val="20"/>
        </w:rPr>
        <w:t>.</w:t>
      </w:r>
    </w:p>
    <w:p w14:paraId="6F22D8C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46. </w:t>
      </w:r>
      <w:r w:rsidRPr="000B7475">
        <w:rPr>
          <w:rFonts w:asciiTheme="minorHAnsi" w:hAnsiTheme="minorHAnsi" w:cstheme="majorHAnsi"/>
          <w:color w:val="1E293B"/>
          <w:sz w:val="20"/>
        </w:rPr>
        <w:t>Micale MA, Schran D, Emch S, et al. Mosaic variegated aneuploidy without microcephaly: implications for cytogenetic diagnosis. Am J Med Genet A. 2007;143</w:t>
      </w:r>
      <w:proofErr w:type="gramStart"/>
      <w:r w:rsidRPr="000B7475">
        <w:rPr>
          <w:rFonts w:asciiTheme="minorHAnsi" w:hAnsiTheme="minorHAnsi" w:cstheme="majorHAnsi"/>
          <w:color w:val="1E293B"/>
          <w:sz w:val="20"/>
        </w:rPr>
        <w:t>A(</w:t>
      </w:r>
      <w:proofErr w:type="gramEnd"/>
      <w:r w:rsidRPr="000B7475">
        <w:rPr>
          <w:rFonts w:asciiTheme="minorHAnsi" w:hAnsiTheme="minorHAnsi" w:cstheme="majorHAnsi"/>
          <w:color w:val="1E293B"/>
          <w:sz w:val="20"/>
        </w:rPr>
        <w:t xml:space="preserve">16):1890-1893. </w:t>
      </w:r>
      <w:hyperlink r:id="rId57">
        <w:r w:rsidRPr="000B7475">
          <w:rPr>
            <w:rFonts w:asciiTheme="minorHAnsi" w:hAnsiTheme="minorHAnsi" w:cstheme="majorHAnsi"/>
            <w:color w:val="1D4ED8"/>
            <w:sz w:val="20"/>
            <w:szCs w:val="20"/>
            <w:u w:val="single"/>
          </w:rPr>
          <w:t>PMID: 17632782</w:t>
        </w:r>
      </w:hyperlink>
      <w:r w:rsidRPr="000B7475">
        <w:rPr>
          <w:rFonts w:asciiTheme="minorHAnsi" w:hAnsiTheme="minorHAnsi" w:cstheme="majorHAnsi"/>
          <w:color w:val="1E293B"/>
          <w:sz w:val="20"/>
        </w:rPr>
        <w:t>.</w:t>
      </w:r>
    </w:p>
    <w:p w14:paraId="26E3BCD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lastRenderedPageBreak/>
        <w:t xml:space="preserve">47. </w:t>
      </w:r>
      <w:r w:rsidRPr="000B7475">
        <w:rPr>
          <w:rFonts w:asciiTheme="minorHAnsi" w:hAnsiTheme="minorHAnsi" w:cstheme="majorHAnsi"/>
          <w:color w:val="1E293B"/>
          <w:sz w:val="20"/>
        </w:rPr>
        <w:t xml:space="preserve">Myslinski E, Gérard MA, Krol A, et al. Transcription of the human cell cycle regulated BUB1B gene requires </w:t>
      </w:r>
      <w:proofErr w:type="spellStart"/>
      <w:r w:rsidRPr="000B7475">
        <w:rPr>
          <w:rFonts w:asciiTheme="minorHAnsi" w:hAnsiTheme="minorHAnsi" w:cstheme="majorHAnsi"/>
          <w:color w:val="1E293B"/>
          <w:sz w:val="20"/>
        </w:rPr>
        <w:t>hStaf</w:t>
      </w:r>
      <w:proofErr w:type="spellEnd"/>
      <w:r w:rsidRPr="000B7475">
        <w:rPr>
          <w:rFonts w:asciiTheme="minorHAnsi" w:hAnsiTheme="minorHAnsi" w:cstheme="majorHAnsi"/>
          <w:color w:val="1E293B"/>
          <w:sz w:val="20"/>
        </w:rPr>
        <w:t xml:space="preserve">/ZNF143. Nucleic Acids Res. 2007;35(10):3453-3464. </w:t>
      </w:r>
      <w:hyperlink r:id="rId58">
        <w:r w:rsidRPr="000B7475">
          <w:rPr>
            <w:rFonts w:asciiTheme="minorHAnsi" w:hAnsiTheme="minorHAnsi" w:cstheme="majorHAnsi"/>
            <w:color w:val="1D4ED8"/>
            <w:sz w:val="20"/>
            <w:szCs w:val="20"/>
            <w:u w:val="single"/>
          </w:rPr>
          <w:t>PMID: 17478512</w:t>
        </w:r>
      </w:hyperlink>
      <w:r w:rsidRPr="000B7475">
        <w:rPr>
          <w:rFonts w:asciiTheme="minorHAnsi" w:hAnsiTheme="minorHAnsi" w:cstheme="majorHAnsi"/>
          <w:color w:val="1E293B"/>
          <w:sz w:val="20"/>
        </w:rPr>
        <w:t>.</w:t>
      </w:r>
    </w:p>
    <w:p w14:paraId="09D0368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48. </w:t>
      </w:r>
      <w:r w:rsidRPr="000B7475">
        <w:rPr>
          <w:rFonts w:asciiTheme="minorHAnsi" w:hAnsiTheme="minorHAnsi" w:cstheme="majorHAnsi"/>
          <w:color w:val="1E293B"/>
          <w:sz w:val="20"/>
        </w:rPr>
        <w:t xml:space="preserve">Weaver BA, Silk AD, Montagna C, Verdier-Pinard P, Cleveland DW. Aneuploidy acts both </w:t>
      </w:r>
      <w:proofErr w:type="spellStart"/>
      <w:r w:rsidRPr="000B7475">
        <w:rPr>
          <w:rFonts w:asciiTheme="minorHAnsi" w:hAnsiTheme="minorHAnsi" w:cstheme="majorHAnsi"/>
          <w:color w:val="1E293B"/>
          <w:sz w:val="20"/>
        </w:rPr>
        <w:t>oncogenically</w:t>
      </w:r>
      <w:proofErr w:type="spellEnd"/>
      <w:r w:rsidRPr="000B7475">
        <w:rPr>
          <w:rFonts w:asciiTheme="minorHAnsi" w:hAnsiTheme="minorHAnsi" w:cstheme="majorHAnsi"/>
          <w:color w:val="1E293B"/>
          <w:sz w:val="20"/>
        </w:rPr>
        <w:t xml:space="preserve"> and as a tumor suppressor. Cancer Cell. 2007;11(1):25-36. </w:t>
      </w:r>
      <w:proofErr w:type="gramStart"/>
      <w:r w:rsidRPr="000B7475">
        <w:rPr>
          <w:rFonts w:asciiTheme="minorHAnsi" w:hAnsiTheme="minorHAnsi" w:cstheme="majorHAnsi"/>
          <w:color w:val="1E293B"/>
          <w:sz w:val="20"/>
        </w:rPr>
        <w:t>doi:10.1016/j.ccr</w:t>
      </w:r>
      <w:proofErr w:type="gramEnd"/>
      <w:r w:rsidRPr="000B7475">
        <w:rPr>
          <w:rFonts w:asciiTheme="minorHAnsi" w:hAnsiTheme="minorHAnsi" w:cstheme="majorHAnsi"/>
          <w:color w:val="1E293B"/>
          <w:sz w:val="20"/>
        </w:rPr>
        <w:t xml:space="preserve">.2006.12.003. </w:t>
      </w:r>
      <w:hyperlink r:id="rId59">
        <w:r w:rsidRPr="000B7475">
          <w:rPr>
            <w:rFonts w:asciiTheme="minorHAnsi" w:hAnsiTheme="minorHAnsi" w:cstheme="majorHAnsi"/>
            <w:color w:val="1D4ED8"/>
            <w:sz w:val="20"/>
            <w:szCs w:val="20"/>
            <w:u w:val="single"/>
          </w:rPr>
          <w:t>PMID: 17189716</w:t>
        </w:r>
      </w:hyperlink>
      <w:r w:rsidRPr="000B7475">
        <w:rPr>
          <w:rFonts w:asciiTheme="minorHAnsi" w:hAnsiTheme="minorHAnsi" w:cstheme="majorHAnsi"/>
          <w:color w:val="1E293B"/>
          <w:sz w:val="20"/>
        </w:rPr>
        <w:t>.</w:t>
      </w:r>
    </w:p>
    <w:p w14:paraId="13C8E29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49. </w:t>
      </w:r>
      <w:r w:rsidRPr="000B7475">
        <w:rPr>
          <w:rFonts w:asciiTheme="minorHAnsi" w:hAnsiTheme="minorHAnsi" w:cstheme="majorHAnsi"/>
          <w:color w:val="1E293B"/>
          <w:sz w:val="20"/>
        </w:rPr>
        <w:t xml:space="preserve">Baker DJ, Perez-Terzic C, Jin F, Pitel KS, </w:t>
      </w:r>
      <w:proofErr w:type="spellStart"/>
      <w:r w:rsidRPr="000B7475">
        <w:rPr>
          <w:rFonts w:asciiTheme="minorHAnsi" w:hAnsiTheme="minorHAnsi" w:cstheme="majorHAnsi"/>
          <w:color w:val="1E293B"/>
          <w:sz w:val="20"/>
        </w:rPr>
        <w:t>Niederländer</w:t>
      </w:r>
      <w:proofErr w:type="spellEnd"/>
      <w:r w:rsidRPr="000B7475">
        <w:rPr>
          <w:rFonts w:asciiTheme="minorHAnsi" w:hAnsiTheme="minorHAnsi" w:cstheme="majorHAnsi"/>
          <w:color w:val="1E293B"/>
          <w:sz w:val="20"/>
        </w:rPr>
        <w:t xml:space="preserve"> NJ, Jeganathan K, et al. Opposing roles for p16Ink4a and p19Arf in senescence and ageing caused by BubR1 insufficiency. Nat Cell Biol. 2008;10(7):825-836. doi:10.1038/ncb1744. </w:t>
      </w:r>
      <w:hyperlink r:id="rId60">
        <w:r w:rsidRPr="000B7475">
          <w:rPr>
            <w:rFonts w:asciiTheme="minorHAnsi" w:hAnsiTheme="minorHAnsi" w:cstheme="majorHAnsi"/>
            <w:color w:val="1D4ED8"/>
            <w:sz w:val="20"/>
            <w:szCs w:val="20"/>
            <w:u w:val="single"/>
          </w:rPr>
          <w:t>PMID: 18516091</w:t>
        </w:r>
      </w:hyperlink>
      <w:r w:rsidRPr="000B7475">
        <w:rPr>
          <w:rFonts w:asciiTheme="minorHAnsi" w:hAnsiTheme="minorHAnsi" w:cstheme="majorHAnsi"/>
          <w:color w:val="1E293B"/>
          <w:sz w:val="20"/>
        </w:rPr>
        <w:t>.</w:t>
      </w:r>
    </w:p>
    <w:p w14:paraId="1CAA6765"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50. </w:t>
      </w:r>
      <w:proofErr w:type="spellStart"/>
      <w:r w:rsidRPr="000B7475">
        <w:rPr>
          <w:rFonts w:asciiTheme="minorHAnsi" w:hAnsiTheme="minorHAnsi" w:cstheme="majorHAnsi"/>
          <w:color w:val="1E293B"/>
          <w:sz w:val="20"/>
        </w:rPr>
        <w:t>Bohers</w:t>
      </w:r>
      <w:proofErr w:type="spellEnd"/>
      <w:r w:rsidRPr="000B7475">
        <w:rPr>
          <w:rFonts w:asciiTheme="minorHAnsi" w:hAnsiTheme="minorHAnsi" w:cstheme="majorHAnsi"/>
          <w:color w:val="1E293B"/>
          <w:sz w:val="20"/>
        </w:rPr>
        <w:t xml:space="preserve"> E, </w:t>
      </w:r>
      <w:proofErr w:type="spellStart"/>
      <w:r w:rsidRPr="000B7475">
        <w:rPr>
          <w:rFonts w:asciiTheme="minorHAnsi" w:hAnsiTheme="minorHAnsi" w:cstheme="majorHAnsi"/>
          <w:color w:val="1E293B"/>
          <w:sz w:val="20"/>
        </w:rPr>
        <w:t>Sarafan</w:t>
      </w:r>
      <w:proofErr w:type="spellEnd"/>
      <w:r w:rsidRPr="000B7475">
        <w:rPr>
          <w:rFonts w:asciiTheme="minorHAnsi" w:hAnsiTheme="minorHAnsi" w:cstheme="majorHAnsi"/>
          <w:color w:val="1E293B"/>
          <w:sz w:val="20"/>
        </w:rPr>
        <w:t xml:space="preserve">-Vasseur N, Drouet A, et al. Gradual reduction of BUBR1 protein levels results in premature sister-chromatid separation then in aneuploidy. Hum Genet. 2008;124(5):473-478. </w:t>
      </w:r>
      <w:hyperlink r:id="rId61">
        <w:r w:rsidRPr="000B7475">
          <w:rPr>
            <w:rFonts w:asciiTheme="minorHAnsi" w:hAnsiTheme="minorHAnsi" w:cstheme="majorHAnsi"/>
            <w:color w:val="1D4ED8"/>
            <w:sz w:val="20"/>
            <w:szCs w:val="20"/>
            <w:u w:val="single"/>
          </w:rPr>
          <w:t>PMID: 18932004</w:t>
        </w:r>
      </w:hyperlink>
      <w:r w:rsidRPr="000B7475">
        <w:rPr>
          <w:rFonts w:asciiTheme="minorHAnsi" w:hAnsiTheme="minorHAnsi" w:cstheme="majorHAnsi"/>
          <w:color w:val="1E293B"/>
          <w:sz w:val="20"/>
        </w:rPr>
        <w:t>.</w:t>
      </w:r>
    </w:p>
    <w:p w14:paraId="504D56AC"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51. </w:t>
      </w:r>
      <w:r w:rsidRPr="000B7475">
        <w:rPr>
          <w:rFonts w:asciiTheme="minorHAnsi" w:hAnsiTheme="minorHAnsi" w:cstheme="majorHAnsi"/>
          <w:color w:val="1E293B"/>
          <w:sz w:val="20"/>
        </w:rPr>
        <w:t>García-Castillo H, Vásquez-Velásquez AI, Rivera H, et al. Clinical and genetic heterogeneity in patients with mosaic variegated aneuploidy: delineation of clinical subtypes. Am J Med Genet A. 2008;146</w:t>
      </w:r>
      <w:proofErr w:type="gramStart"/>
      <w:r w:rsidRPr="000B7475">
        <w:rPr>
          <w:rFonts w:asciiTheme="minorHAnsi" w:hAnsiTheme="minorHAnsi" w:cstheme="majorHAnsi"/>
          <w:color w:val="1E293B"/>
          <w:sz w:val="20"/>
        </w:rPr>
        <w:t>A(</w:t>
      </w:r>
      <w:proofErr w:type="gramEnd"/>
      <w:r w:rsidRPr="000B7475">
        <w:rPr>
          <w:rFonts w:asciiTheme="minorHAnsi" w:hAnsiTheme="minorHAnsi" w:cstheme="majorHAnsi"/>
          <w:color w:val="1E293B"/>
          <w:sz w:val="20"/>
        </w:rPr>
        <w:t xml:space="preserve">13):1687-1695. </w:t>
      </w:r>
      <w:hyperlink r:id="rId62">
        <w:r w:rsidRPr="000B7475">
          <w:rPr>
            <w:rFonts w:asciiTheme="minorHAnsi" w:hAnsiTheme="minorHAnsi" w:cstheme="majorHAnsi"/>
            <w:color w:val="1D4ED8"/>
            <w:sz w:val="20"/>
            <w:szCs w:val="20"/>
            <w:u w:val="single"/>
          </w:rPr>
          <w:t>PMID: 18548531</w:t>
        </w:r>
      </w:hyperlink>
      <w:r w:rsidRPr="000B7475">
        <w:rPr>
          <w:rFonts w:asciiTheme="minorHAnsi" w:hAnsiTheme="minorHAnsi" w:cstheme="majorHAnsi"/>
          <w:color w:val="1E293B"/>
          <w:sz w:val="20"/>
        </w:rPr>
        <w:t>.</w:t>
      </w:r>
    </w:p>
    <w:p w14:paraId="4202DB2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52. </w:t>
      </w:r>
      <w:r w:rsidRPr="000B7475">
        <w:rPr>
          <w:rFonts w:asciiTheme="minorHAnsi" w:hAnsiTheme="minorHAnsi" w:cstheme="majorHAnsi"/>
          <w:color w:val="1E293B"/>
          <w:sz w:val="20"/>
        </w:rPr>
        <w:t xml:space="preserve">Haruta M, Matsumoto Y, Izumi H, et al. Combined BubR1 protein down-regulation and RASSF1A hypermethylation in Wilms tumors with diverse cytogenetic changes. Mol </w:t>
      </w:r>
      <w:proofErr w:type="spellStart"/>
      <w:r w:rsidRPr="000B7475">
        <w:rPr>
          <w:rFonts w:asciiTheme="minorHAnsi" w:hAnsiTheme="minorHAnsi" w:cstheme="majorHAnsi"/>
          <w:color w:val="1E293B"/>
          <w:sz w:val="20"/>
        </w:rPr>
        <w:t>Carcinog</w:t>
      </w:r>
      <w:proofErr w:type="spellEnd"/>
      <w:r w:rsidRPr="000B7475">
        <w:rPr>
          <w:rFonts w:asciiTheme="minorHAnsi" w:hAnsiTheme="minorHAnsi" w:cstheme="majorHAnsi"/>
          <w:color w:val="1E293B"/>
          <w:sz w:val="20"/>
        </w:rPr>
        <w:t xml:space="preserve">. 2008;47(9):660-666. </w:t>
      </w:r>
      <w:hyperlink r:id="rId63">
        <w:r w:rsidRPr="000B7475">
          <w:rPr>
            <w:rFonts w:asciiTheme="minorHAnsi" w:hAnsiTheme="minorHAnsi" w:cstheme="majorHAnsi"/>
            <w:color w:val="1D4ED8"/>
            <w:sz w:val="20"/>
            <w:szCs w:val="20"/>
            <w:u w:val="single"/>
          </w:rPr>
          <w:t>PMID: 18286482</w:t>
        </w:r>
      </w:hyperlink>
      <w:r w:rsidRPr="000B7475">
        <w:rPr>
          <w:rFonts w:asciiTheme="minorHAnsi" w:hAnsiTheme="minorHAnsi" w:cstheme="majorHAnsi"/>
          <w:color w:val="1E293B"/>
          <w:sz w:val="20"/>
        </w:rPr>
        <w:t>.</w:t>
      </w:r>
    </w:p>
    <w:p w14:paraId="029F2D4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53. </w:t>
      </w:r>
      <w:r w:rsidRPr="000B7475">
        <w:rPr>
          <w:rFonts w:asciiTheme="minorHAnsi" w:hAnsiTheme="minorHAnsi" w:cstheme="majorHAnsi"/>
          <w:color w:val="1E293B"/>
          <w:sz w:val="20"/>
        </w:rPr>
        <w:t xml:space="preserve">Kim Y, Heuser JE, Waterman CM, Cleveland DW. CENP-E combines a slow, processive motor and a flexible coiled coil to produce an essential kinetochore-microtubule tether. J Cell Biol. 2008;181(3):411-419. doi:10.1083/jcb.200802189. </w:t>
      </w:r>
      <w:hyperlink r:id="rId64">
        <w:r w:rsidRPr="000B7475">
          <w:rPr>
            <w:rFonts w:asciiTheme="minorHAnsi" w:hAnsiTheme="minorHAnsi" w:cstheme="majorHAnsi"/>
            <w:color w:val="1D4ED8"/>
            <w:sz w:val="20"/>
            <w:szCs w:val="20"/>
            <w:u w:val="single"/>
          </w:rPr>
          <w:t>PMID: 18443223</w:t>
        </w:r>
      </w:hyperlink>
      <w:r w:rsidRPr="000B7475">
        <w:rPr>
          <w:rFonts w:asciiTheme="minorHAnsi" w:hAnsiTheme="minorHAnsi" w:cstheme="majorHAnsi"/>
          <w:color w:val="1E293B"/>
          <w:sz w:val="20"/>
        </w:rPr>
        <w:t>.</w:t>
      </w:r>
    </w:p>
    <w:p w14:paraId="2F9803A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54. </w:t>
      </w:r>
      <w:r w:rsidRPr="000B7475">
        <w:rPr>
          <w:rFonts w:asciiTheme="minorHAnsi" w:hAnsiTheme="minorHAnsi" w:cstheme="majorHAnsi"/>
          <w:color w:val="1E293B"/>
          <w:sz w:val="20"/>
        </w:rPr>
        <w:t xml:space="preserve">Izumi H, Matsumoto Y, Ikeuchi T, et al. BubR1 localizes to centrosomes and suppresses centrosome amplification via regulating Plk1 activity in interphase cells. Oncogene. 2009;28(31):2806-2820. </w:t>
      </w:r>
      <w:hyperlink r:id="rId65">
        <w:r w:rsidRPr="000B7475">
          <w:rPr>
            <w:rFonts w:asciiTheme="minorHAnsi" w:hAnsiTheme="minorHAnsi" w:cstheme="majorHAnsi"/>
            <w:color w:val="1D4ED8"/>
            <w:sz w:val="20"/>
            <w:szCs w:val="20"/>
            <w:u w:val="single"/>
          </w:rPr>
          <w:t>PMID: 19503101</w:t>
        </w:r>
      </w:hyperlink>
      <w:r w:rsidRPr="000B7475">
        <w:rPr>
          <w:rFonts w:asciiTheme="minorHAnsi" w:hAnsiTheme="minorHAnsi" w:cstheme="majorHAnsi"/>
          <w:color w:val="1E293B"/>
          <w:sz w:val="20"/>
        </w:rPr>
        <w:t>.</w:t>
      </w:r>
    </w:p>
    <w:p w14:paraId="75D042B4"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55. </w:t>
      </w:r>
      <w:r w:rsidRPr="000B7475">
        <w:rPr>
          <w:rFonts w:asciiTheme="minorHAnsi" w:hAnsiTheme="minorHAnsi" w:cstheme="majorHAnsi"/>
          <w:color w:val="1E293B"/>
          <w:sz w:val="20"/>
        </w:rPr>
        <w:t xml:space="preserve">Rao CV, Yamada HY, Yao Y, et al. Enhanced genomic instabilities caused by deregulated microtubule dynamics and chromosome segregation: a perspective from genetic studies in mice. Carcinogenesis. 2009;30(9):1469-1474. </w:t>
      </w:r>
      <w:hyperlink r:id="rId66">
        <w:r w:rsidRPr="000B7475">
          <w:rPr>
            <w:rFonts w:asciiTheme="minorHAnsi" w:hAnsiTheme="minorHAnsi" w:cstheme="majorHAnsi"/>
            <w:color w:val="1D4ED8"/>
            <w:sz w:val="20"/>
            <w:szCs w:val="20"/>
            <w:u w:val="single"/>
          </w:rPr>
          <w:t>PMID: 19372138</w:t>
        </w:r>
      </w:hyperlink>
      <w:r w:rsidRPr="000B7475">
        <w:rPr>
          <w:rFonts w:asciiTheme="minorHAnsi" w:hAnsiTheme="minorHAnsi" w:cstheme="majorHAnsi"/>
          <w:color w:val="1E293B"/>
          <w:sz w:val="20"/>
        </w:rPr>
        <w:t>.</w:t>
      </w:r>
    </w:p>
    <w:p w14:paraId="519BF6F7"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56. </w:t>
      </w:r>
      <w:r w:rsidRPr="000B7475">
        <w:rPr>
          <w:rFonts w:asciiTheme="minorHAnsi" w:hAnsiTheme="minorHAnsi" w:cstheme="majorHAnsi"/>
          <w:color w:val="1E293B"/>
          <w:sz w:val="20"/>
        </w:rPr>
        <w:t xml:space="preserve">Sari N, Akyuz C, Aktas D, et al. Wilms tumor, AML and medulloblastoma in a child with cancer prone syndrome of total premature chromatid separation and Fanconi anemia. </w:t>
      </w:r>
      <w:proofErr w:type="spellStart"/>
      <w:r w:rsidRPr="000B7475">
        <w:rPr>
          <w:rFonts w:asciiTheme="minorHAnsi" w:hAnsiTheme="minorHAnsi" w:cstheme="majorHAnsi"/>
          <w:color w:val="1E293B"/>
          <w:sz w:val="20"/>
        </w:rPr>
        <w:t>Pediatr</w:t>
      </w:r>
      <w:proofErr w:type="spellEnd"/>
      <w:r w:rsidRPr="000B7475">
        <w:rPr>
          <w:rFonts w:asciiTheme="minorHAnsi" w:hAnsiTheme="minorHAnsi" w:cstheme="majorHAnsi"/>
          <w:color w:val="1E293B"/>
          <w:sz w:val="20"/>
        </w:rPr>
        <w:t xml:space="preserve"> Blood Cancer. 2009;53(2):208-210. </w:t>
      </w:r>
      <w:hyperlink r:id="rId67">
        <w:r w:rsidRPr="000B7475">
          <w:rPr>
            <w:rFonts w:asciiTheme="minorHAnsi" w:hAnsiTheme="minorHAnsi" w:cstheme="majorHAnsi"/>
            <w:color w:val="1D4ED8"/>
            <w:sz w:val="20"/>
            <w:szCs w:val="20"/>
            <w:u w:val="single"/>
          </w:rPr>
          <w:t>PMID: 19373780</w:t>
        </w:r>
      </w:hyperlink>
      <w:r w:rsidRPr="000B7475">
        <w:rPr>
          <w:rFonts w:asciiTheme="minorHAnsi" w:hAnsiTheme="minorHAnsi" w:cstheme="majorHAnsi"/>
          <w:color w:val="1E293B"/>
          <w:sz w:val="20"/>
        </w:rPr>
        <w:t>.</w:t>
      </w:r>
    </w:p>
    <w:p w14:paraId="675E3A1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57. </w:t>
      </w:r>
      <w:r w:rsidRPr="000B7475">
        <w:rPr>
          <w:rFonts w:asciiTheme="minorHAnsi" w:hAnsiTheme="minorHAnsi" w:cstheme="majorHAnsi"/>
          <w:color w:val="1E293B"/>
          <w:sz w:val="20"/>
        </w:rPr>
        <w:t xml:space="preserve">Rio Frio T, Lavoie J, Hamel N, et al. Homozygous BUB1B mutation and susceptibility to gastrointestinal neoplasia. N Engl J Med. 2010;363(27):2628-2637. </w:t>
      </w:r>
      <w:hyperlink r:id="rId68">
        <w:r w:rsidRPr="000B7475">
          <w:rPr>
            <w:rFonts w:asciiTheme="minorHAnsi" w:hAnsiTheme="minorHAnsi" w:cstheme="majorHAnsi"/>
            <w:color w:val="1D4ED8"/>
            <w:sz w:val="20"/>
            <w:szCs w:val="20"/>
            <w:u w:val="single"/>
          </w:rPr>
          <w:t>PMID: 21190457</w:t>
        </w:r>
      </w:hyperlink>
      <w:r w:rsidRPr="000B7475">
        <w:rPr>
          <w:rFonts w:asciiTheme="minorHAnsi" w:hAnsiTheme="minorHAnsi" w:cstheme="majorHAnsi"/>
          <w:color w:val="1E293B"/>
          <w:sz w:val="20"/>
        </w:rPr>
        <w:t>.</w:t>
      </w:r>
    </w:p>
    <w:p w14:paraId="24E6A44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58. </w:t>
      </w:r>
      <w:proofErr w:type="spellStart"/>
      <w:r w:rsidRPr="000B7475">
        <w:rPr>
          <w:rFonts w:asciiTheme="minorHAnsi" w:hAnsiTheme="minorHAnsi" w:cstheme="majorHAnsi"/>
          <w:color w:val="1E293B"/>
          <w:sz w:val="20"/>
        </w:rPr>
        <w:t>Suijkerbuijk</w:t>
      </w:r>
      <w:proofErr w:type="spellEnd"/>
      <w:r w:rsidRPr="000B7475">
        <w:rPr>
          <w:rFonts w:asciiTheme="minorHAnsi" w:hAnsiTheme="minorHAnsi" w:cstheme="majorHAnsi"/>
          <w:color w:val="1E293B"/>
          <w:sz w:val="20"/>
        </w:rPr>
        <w:t xml:space="preserve"> SJ, van </w:t>
      </w:r>
      <w:proofErr w:type="spellStart"/>
      <w:r w:rsidRPr="000B7475">
        <w:rPr>
          <w:rFonts w:asciiTheme="minorHAnsi" w:hAnsiTheme="minorHAnsi" w:cstheme="majorHAnsi"/>
          <w:color w:val="1E293B"/>
          <w:sz w:val="20"/>
        </w:rPr>
        <w:t>Osch</w:t>
      </w:r>
      <w:proofErr w:type="spellEnd"/>
      <w:r w:rsidRPr="000B7475">
        <w:rPr>
          <w:rFonts w:asciiTheme="minorHAnsi" w:hAnsiTheme="minorHAnsi" w:cstheme="majorHAnsi"/>
          <w:color w:val="1E293B"/>
          <w:sz w:val="20"/>
        </w:rPr>
        <w:t xml:space="preserve"> MH, Bos FL, et al. Molecular causes for BUBR1 dysfunction in the human cancer predisposition syndrome mosaic variegated aneuploidy. Cancer Res. 2010;70(12):4891-4900. </w:t>
      </w:r>
      <w:hyperlink r:id="rId69">
        <w:r w:rsidRPr="000B7475">
          <w:rPr>
            <w:rFonts w:asciiTheme="minorHAnsi" w:hAnsiTheme="minorHAnsi" w:cstheme="majorHAnsi"/>
            <w:color w:val="1D4ED8"/>
            <w:sz w:val="20"/>
            <w:szCs w:val="20"/>
            <w:u w:val="single"/>
          </w:rPr>
          <w:t>PMID: 20516114</w:t>
        </w:r>
      </w:hyperlink>
      <w:r w:rsidRPr="000B7475">
        <w:rPr>
          <w:rFonts w:asciiTheme="minorHAnsi" w:hAnsiTheme="minorHAnsi" w:cstheme="majorHAnsi"/>
          <w:color w:val="1E293B"/>
          <w:sz w:val="20"/>
        </w:rPr>
        <w:t>.</w:t>
      </w:r>
    </w:p>
    <w:p w14:paraId="3F39D6B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59. </w:t>
      </w:r>
      <w:r w:rsidRPr="000B7475">
        <w:rPr>
          <w:rFonts w:asciiTheme="minorHAnsi" w:hAnsiTheme="minorHAnsi" w:cstheme="majorHAnsi"/>
          <w:color w:val="1E293B"/>
          <w:sz w:val="20"/>
        </w:rPr>
        <w:t xml:space="preserve">Miyamoto T, </w:t>
      </w:r>
      <w:proofErr w:type="spellStart"/>
      <w:r w:rsidRPr="000B7475">
        <w:rPr>
          <w:rFonts w:asciiTheme="minorHAnsi" w:hAnsiTheme="minorHAnsi" w:cstheme="majorHAnsi"/>
          <w:color w:val="1E293B"/>
          <w:sz w:val="20"/>
        </w:rPr>
        <w:t>Porazinski</w:t>
      </w:r>
      <w:proofErr w:type="spellEnd"/>
      <w:r w:rsidRPr="000B7475">
        <w:rPr>
          <w:rFonts w:asciiTheme="minorHAnsi" w:hAnsiTheme="minorHAnsi" w:cstheme="majorHAnsi"/>
          <w:color w:val="1E293B"/>
          <w:sz w:val="20"/>
        </w:rPr>
        <w:t xml:space="preserve"> S, Wang H, et al. Insufficiency of BUBR1, a mitotic spindle checkpoint regulator, causes impaired </w:t>
      </w:r>
      <w:proofErr w:type="spellStart"/>
      <w:r w:rsidRPr="000B7475">
        <w:rPr>
          <w:rFonts w:asciiTheme="minorHAnsi" w:hAnsiTheme="minorHAnsi" w:cstheme="majorHAnsi"/>
          <w:color w:val="1E293B"/>
          <w:sz w:val="20"/>
        </w:rPr>
        <w:t>ciliogenesis</w:t>
      </w:r>
      <w:proofErr w:type="spellEnd"/>
      <w:r w:rsidRPr="000B7475">
        <w:rPr>
          <w:rFonts w:asciiTheme="minorHAnsi" w:hAnsiTheme="minorHAnsi" w:cstheme="majorHAnsi"/>
          <w:color w:val="1E293B"/>
          <w:sz w:val="20"/>
        </w:rPr>
        <w:t xml:space="preserve"> in vertebrates. Hum Mol Genet. 2011;20(10):2058-2070. </w:t>
      </w:r>
      <w:hyperlink r:id="rId70">
        <w:r w:rsidRPr="000B7475">
          <w:rPr>
            <w:rFonts w:asciiTheme="minorHAnsi" w:hAnsiTheme="minorHAnsi" w:cstheme="majorHAnsi"/>
            <w:color w:val="1D4ED8"/>
            <w:sz w:val="20"/>
            <w:szCs w:val="20"/>
            <w:u w:val="single"/>
          </w:rPr>
          <w:t>PMID: 21389084</w:t>
        </w:r>
      </w:hyperlink>
      <w:r w:rsidRPr="000B7475">
        <w:rPr>
          <w:rFonts w:asciiTheme="minorHAnsi" w:hAnsiTheme="minorHAnsi" w:cstheme="majorHAnsi"/>
          <w:color w:val="1E293B"/>
          <w:sz w:val="20"/>
        </w:rPr>
        <w:t>.</w:t>
      </w:r>
    </w:p>
    <w:p w14:paraId="28EE316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60. </w:t>
      </w:r>
      <w:r w:rsidRPr="000B7475">
        <w:rPr>
          <w:rFonts w:asciiTheme="minorHAnsi" w:hAnsiTheme="minorHAnsi" w:cstheme="majorHAnsi"/>
          <w:color w:val="1E293B"/>
          <w:sz w:val="20"/>
        </w:rPr>
        <w:t xml:space="preserve">Guo Y, Kim C, Ahmad S, Zhang J, Mao Y. CENP-E-dependent BubR1 autophosphorylation enhances chromosome alignment and the mitotic checkpoint. J Cell Biol. 2012;198(2):205-217. doi:10.1083/jcb.201202152. </w:t>
      </w:r>
      <w:hyperlink r:id="rId71">
        <w:r w:rsidRPr="000B7475">
          <w:rPr>
            <w:rFonts w:asciiTheme="minorHAnsi" w:hAnsiTheme="minorHAnsi" w:cstheme="majorHAnsi"/>
            <w:color w:val="1D4ED8"/>
            <w:sz w:val="20"/>
            <w:szCs w:val="20"/>
            <w:u w:val="single"/>
          </w:rPr>
          <w:t>PMID: 22801780</w:t>
        </w:r>
      </w:hyperlink>
      <w:r w:rsidRPr="000B7475">
        <w:rPr>
          <w:rFonts w:asciiTheme="minorHAnsi" w:hAnsiTheme="minorHAnsi" w:cstheme="majorHAnsi"/>
          <w:color w:val="1E293B"/>
          <w:sz w:val="20"/>
        </w:rPr>
        <w:t>.</w:t>
      </w:r>
    </w:p>
    <w:p w14:paraId="54E9DB8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61. </w:t>
      </w:r>
      <w:r w:rsidRPr="000B7475">
        <w:rPr>
          <w:rFonts w:asciiTheme="minorHAnsi" w:hAnsiTheme="minorHAnsi" w:cstheme="majorHAnsi"/>
          <w:color w:val="1E293B"/>
          <w:sz w:val="20"/>
        </w:rPr>
        <w:t xml:space="preserve">Krenn V, </w:t>
      </w:r>
      <w:proofErr w:type="spellStart"/>
      <w:r w:rsidRPr="000B7475">
        <w:rPr>
          <w:rFonts w:asciiTheme="minorHAnsi" w:hAnsiTheme="minorHAnsi" w:cstheme="majorHAnsi"/>
          <w:color w:val="1E293B"/>
          <w:sz w:val="20"/>
        </w:rPr>
        <w:t>Wehenkel</w:t>
      </w:r>
      <w:proofErr w:type="spellEnd"/>
      <w:r w:rsidRPr="000B7475">
        <w:rPr>
          <w:rFonts w:asciiTheme="minorHAnsi" w:hAnsiTheme="minorHAnsi" w:cstheme="majorHAnsi"/>
          <w:color w:val="1E293B"/>
          <w:sz w:val="20"/>
        </w:rPr>
        <w:t xml:space="preserve"> A, Li X, Santaguida S, Musacchio A. Structural analysis reveals features of the spindle checkpoint kinase Bub1-kinetochore subunit Knl1 interaction. J Cell Biol. 2012;196(4):451-467. doi:10.1083/jcb.201110013. </w:t>
      </w:r>
      <w:hyperlink r:id="rId72">
        <w:r w:rsidRPr="000B7475">
          <w:rPr>
            <w:rFonts w:asciiTheme="minorHAnsi" w:hAnsiTheme="minorHAnsi" w:cstheme="majorHAnsi"/>
            <w:color w:val="1D4ED8"/>
            <w:sz w:val="20"/>
            <w:szCs w:val="20"/>
            <w:u w:val="single"/>
          </w:rPr>
          <w:t>PMID: 22331848</w:t>
        </w:r>
      </w:hyperlink>
      <w:r w:rsidRPr="000B7475">
        <w:rPr>
          <w:rFonts w:asciiTheme="minorHAnsi" w:hAnsiTheme="minorHAnsi" w:cstheme="majorHAnsi"/>
          <w:color w:val="1E293B"/>
          <w:sz w:val="20"/>
        </w:rPr>
        <w:t>.</w:t>
      </w:r>
    </w:p>
    <w:p w14:paraId="2A97190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62. </w:t>
      </w:r>
      <w:proofErr w:type="spellStart"/>
      <w:r w:rsidRPr="000B7475">
        <w:rPr>
          <w:rFonts w:asciiTheme="minorHAnsi" w:hAnsiTheme="minorHAnsi" w:cstheme="majorHAnsi"/>
          <w:color w:val="1E293B"/>
          <w:sz w:val="20"/>
        </w:rPr>
        <w:t>Suijkerbuijk</w:t>
      </w:r>
      <w:proofErr w:type="spellEnd"/>
      <w:r w:rsidRPr="000B7475">
        <w:rPr>
          <w:rFonts w:asciiTheme="minorHAnsi" w:hAnsiTheme="minorHAnsi" w:cstheme="majorHAnsi"/>
          <w:color w:val="1E293B"/>
          <w:sz w:val="20"/>
        </w:rPr>
        <w:t xml:space="preserve"> SJ, </w:t>
      </w:r>
      <w:proofErr w:type="spellStart"/>
      <w:r w:rsidRPr="000B7475">
        <w:rPr>
          <w:rFonts w:asciiTheme="minorHAnsi" w:hAnsiTheme="minorHAnsi" w:cstheme="majorHAnsi"/>
          <w:color w:val="1E293B"/>
          <w:sz w:val="20"/>
        </w:rPr>
        <w:t>Vleugel</w:t>
      </w:r>
      <w:proofErr w:type="spellEnd"/>
      <w:r w:rsidRPr="000B7475">
        <w:rPr>
          <w:rFonts w:asciiTheme="minorHAnsi" w:hAnsiTheme="minorHAnsi" w:cstheme="majorHAnsi"/>
          <w:color w:val="1E293B"/>
          <w:sz w:val="20"/>
        </w:rPr>
        <w:t xml:space="preserve"> M, Teixeira A, Kops GJ. Integration of kinase and phosphatase activities by BUBR1 ensures formation of stable kinetochore-microtubule attachments. Dev Cell. 2012;23(4):745-755. </w:t>
      </w:r>
      <w:proofErr w:type="gramStart"/>
      <w:r w:rsidRPr="000B7475">
        <w:rPr>
          <w:rFonts w:asciiTheme="minorHAnsi" w:hAnsiTheme="minorHAnsi" w:cstheme="majorHAnsi"/>
          <w:color w:val="1E293B"/>
          <w:sz w:val="20"/>
        </w:rPr>
        <w:t>doi:10.1016/j.devcel</w:t>
      </w:r>
      <w:proofErr w:type="gramEnd"/>
      <w:r w:rsidRPr="000B7475">
        <w:rPr>
          <w:rFonts w:asciiTheme="minorHAnsi" w:hAnsiTheme="minorHAnsi" w:cstheme="majorHAnsi"/>
          <w:color w:val="1E293B"/>
          <w:sz w:val="20"/>
        </w:rPr>
        <w:t xml:space="preserve">.2012.09.005. </w:t>
      </w:r>
      <w:hyperlink r:id="rId73">
        <w:r w:rsidRPr="000B7475">
          <w:rPr>
            <w:rFonts w:asciiTheme="minorHAnsi" w:hAnsiTheme="minorHAnsi" w:cstheme="majorHAnsi"/>
            <w:color w:val="1D4ED8"/>
            <w:sz w:val="20"/>
            <w:szCs w:val="20"/>
            <w:u w:val="single"/>
          </w:rPr>
          <w:t>PMID: 23079597</w:t>
        </w:r>
      </w:hyperlink>
      <w:r w:rsidRPr="000B7475">
        <w:rPr>
          <w:rFonts w:asciiTheme="minorHAnsi" w:hAnsiTheme="minorHAnsi" w:cstheme="majorHAnsi"/>
          <w:color w:val="1E293B"/>
          <w:sz w:val="20"/>
        </w:rPr>
        <w:t>.</w:t>
      </w:r>
    </w:p>
    <w:p w14:paraId="01A8766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63. </w:t>
      </w:r>
      <w:proofErr w:type="spellStart"/>
      <w:r w:rsidRPr="000B7475">
        <w:rPr>
          <w:rFonts w:asciiTheme="minorHAnsi" w:hAnsiTheme="minorHAnsi" w:cstheme="majorHAnsi"/>
          <w:color w:val="1E293B"/>
          <w:sz w:val="20"/>
        </w:rPr>
        <w:t>Wijshake</w:t>
      </w:r>
      <w:proofErr w:type="spellEnd"/>
      <w:r w:rsidRPr="000B7475">
        <w:rPr>
          <w:rFonts w:asciiTheme="minorHAnsi" w:hAnsiTheme="minorHAnsi" w:cstheme="majorHAnsi"/>
          <w:color w:val="1E293B"/>
          <w:sz w:val="20"/>
        </w:rPr>
        <w:t xml:space="preserve"> T, </w:t>
      </w:r>
      <w:proofErr w:type="spellStart"/>
      <w:r w:rsidRPr="000B7475">
        <w:rPr>
          <w:rFonts w:asciiTheme="minorHAnsi" w:hAnsiTheme="minorHAnsi" w:cstheme="majorHAnsi"/>
          <w:color w:val="1E293B"/>
          <w:sz w:val="20"/>
        </w:rPr>
        <w:t>Malureanu</w:t>
      </w:r>
      <w:proofErr w:type="spellEnd"/>
      <w:r w:rsidRPr="000B7475">
        <w:rPr>
          <w:rFonts w:asciiTheme="minorHAnsi" w:hAnsiTheme="minorHAnsi" w:cstheme="majorHAnsi"/>
          <w:color w:val="1E293B"/>
          <w:sz w:val="20"/>
        </w:rPr>
        <w:t xml:space="preserve"> LA, Baker DJ, et al. Reduced life- and </w:t>
      </w:r>
      <w:proofErr w:type="spellStart"/>
      <w:r w:rsidRPr="000B7475">
        <w:rPr>
          <w:rFonts w:asciiTheme="minorHAnsi" w:hAnsiTheme="minorHAnsi" w:cstheme="majorHAnsi"/>
          <w:color w:val="1E293B"/>
          <w:sz w:val="20"/>
        </w:rPr>
        <w:t>healthspan</w:t>
      </w:r>
      <w:proofErr w:type="spellEnd"/>
      <w:r w:rsidRPr="000B7475">
        <w:rPr>
          <w:rFonts w:asciiTheme="minorHAnsi" w:hAnsiTheme="minorHAnsi" w:cstheme="majorHAnsi"/>
          <w:color w:val="1E293B"/>
          <w:sz w:val="20"/>
        </w:rPr>
        <w:t xml:space="preserve"> in mice carrying a mono-allelic BubR1 MVA mutation. </w:t>
      </w:r>
      <w:proofErr w:type="spellStart"/>
      <w:r w:rsidRPr="000B7475">
        <w:rPr>
          <w:rFonts w:asciiTheme="minorHAnsi" w:hAnsiTheme="minorHAnsi" w:cstheme="majorHAnsi"/>
          <w:color w:val="1E293B"/>
          <w:sz w:val="20"/>
        </w:rPr>
        <w:t>PLoS</w:t>
      </w:r>
      <w:proofErr w:type="spellEnd"/>
      <w:r w:rsidRPr="000B7475">
        <w:rPr>
          <w:rFonts w:asciiTheme="minorHAnsi" w:hAnsiTheme="minorHAnsi" w:cstheme="majorHAnsi"/>
          <w:color w:val="1E293B"/>
          <w:sz w:val="20"/>
        </w:rPr>
        <w:t xml:space="preserve"> Genet. 2012;8(12</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1003138. </w:t>
      </w:r>
      <w:hyperlink r:id="rId74">
        <w:r w:rsidRPr="000B7475">
          <w:rPr>
            <w:rFonts w:asciiTheme="minorHAnsi" w:hAnsiTheme="minorHAnsi" w:cstheme="majorHAnsi"/>
            <w:color w:val="1D4ED8"/>
            <w:sz w:val="20"/>
            <w:szCs w:val="20"/>
            <w:u w:val="single"/>
          </w:rPr>
          <w:t>PMID: 23300461</w:t>
        </w:r>
      </w:hyperlink>
      <w:r w:rsidRPr="000B7475">
        <w:rPr>
          <w:rFonts w:asciiTheme="minorHAnsi" w:hAnsiTheme="minorHAnsi" w:cstheme="majorHAnsi"/>
          <w:color w:val="1E293B"/>
          <w:sz w:val="20"/>
        </w:rPr>
        <w:t>.</w:t>
      </w:r>
    </w:p>
    <w:p w14:paraId="36D39BEC"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64. </w:t>
      </w:r>
      <w:r w:rsidRPr="000B7475">
        <w:rPr>
          <w:rFonts w:asciiTheme="minorHAnsi" w:hAnsiTheme="minorHAnsi" w:cstheme="majorHAnsi"/>
          <w:color w:val="1E293B"/>
          <w:sz w:val="20"/>
        </w:rPr>
        <w:t xml:space="preserve">Akasaka N, </w:t>
      </w:r>
      <w:proofErr w:type="spellStart"/>
      <w:r w:rsidRPr="000B7475">
        <w:rPr>
          <w:rFonts w:asciiTheme="minorHAnsi" w:hAnsiTheme="minorHAnsi" w:cstheme="majorHAnsi"/>
          <w:color w:val="1E293B"/>
          <w:sz w:val="20"/>
        </w:rPr>
        <w:t>Tohyama</w:t>
      </w:r>
      <w:proofErr w:type="spellEnd"/>
      <w:r w:rsidRPr="000B7475">
        <w:rPr>
          <w:rFonts w:asciiTheme="minorHAnsi" w:hAnsiTheme="minorHAnsi" w:cstheme="majorHAnsi"/>
          <w:color w:val="1E293B"/>
          <w:sz w:val="20"/>
        </w:rPr>
        <w:t xml:space="preserve"> J, Ogawa A, et al. Refractory infantile spasms associated with mosaic variegated aneuploidy syndrome. </w:t>
      </w:r>
      <w:proofErr w:type="spellStart"/>
      <w:r w:rsidRPr="000B7475">
        <w:rPr>
          <w:rFonts w:asciiTheme="minorHAnsi" w:hAnsiTheme="minorHAnsi" w:cstheme="majorHAnsi"/>
          <w:color w:val="1E293B"/>
          <w:sz w:val="20"/>
        </w:rPr>
        <w:t>Pediatr</w:t>
      </w:r>
      <w:proofErr w:type="spellEnd"/>
      <w:r w:rsidRPr="000B7475">
        <w:rPr>
          <w:rFonts w:asciiTheme="minorHAnsi" w:hAnsiTheme="minorHAnsi" w:cstheme="majorHAnsi"/>
          <w:color w:val="1E293B"/>
          <w:sz w:val="20"/>
        </w:rPr>
        <w:t xml:space="preserve"> Neurol. 2013;49(5):364-367. </w:t>
      </w:r>
      <w:hyperlink r:id="rId75">
        <w:r w:rsidRPr="000B7475">
          <w:rPr>
            <w:rFonts w:asciiTheme="minorHAnsi" w:hAnsiTheme="minorHAnsi" w:cstheme="majorHAnsi"/>
            <w:color w:val="1D4ED8"/>
            <w:sz w:val="20"/>
            <w:szCs w:val="20"/>
            <w:u w:val="single"/>
          </w:rPr>
          <w:t>PMID: 23916859</w:t>
        </w:r>
      </w:hyperlink>
      <w:r w:rsidRPr="000B7475">
        <w:rPr>
          <w:rFonts w:asciiTheme="minorHAnsi" w:hAnsiTheme="minorHAnsi" w:cstheme="majorHAnsi"/>
          <w:color w:val="1E293B"/>
          <w:sz w:val="20"/>
        </w:rPr>
        <w:t>.</w:t>
      </w:r>
    </w:p>
    <w:p w14:paraId="6F11774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lastRenderedPageBreak/>
        <w:t xml:space="preserve">65. </w:t>
      </w:r>
      <w:r w:rsidRPr="000B7475">
        <w:rPr>
          <w:rFonts w:asciiTheme="minorHAnsi" w:hAnsiTheme="minorHAnsi" w:cstheme="majorHAnsi"/>
          <w:color w:val="1E293B"/>
          <w:sz w:val="20"/>
        </w:rPr>
        <w:t xml:space="preserve">Baker DJ, </w:t>
      </w:r>
      <w:proofErr w:type="spellStart"/>
      <w:r w:rsidRPr="000B7475">
        <w:rPr>
          <w:rFonts w:asciiTheme="minorHAnsi" w:hAnsiTheme="minorHAnsi" w:cstheme="majorHAnsi"/>
          <w:color w:val="1E293B"/>
          <w:sz w:val="20"/>
        </w:rPr>
        <w:t>Dawlaty</w:t>
      </w:r>
      <w:proofErr w:type="spellEnd"/>
      <w:r w:rsidRPr="000B7475">
        <w:rPr>
          <w:rFonts w:asciiTheme="minorHAnsi" w:hAnsiTheme="minorHAnsi" w:cstheme="majorHAnsi"/>
          <w:color w:val="1E293B"/>
          <w:sz w:val="20"/>
        </w:rPr>
        <w:t xml:space="preserve"> MM, </w:t>
      </w:r>
      <w:proofErr w:type="spellStart"/>
      <w:r w:rsidRPr="000B7475">
        <w:rPr>
          <w:rFonts w:asciiTheme="minorHAnsi" w:hAnsiTheme="minorHAnsi" w:cstheme="majorHAnsi"/>
          <w:color w:val="1E293B"/>
          <w:sz w:val="20"/>
        </w:rPr>
        <w:t>Wijshake</w:t>
      </w:r>
      <w:proofErr w:type="spellEnd"/>
      <w:r w:rsidRPr="000B7475">
        <w:rPr>
          <w:rFonts w:asciiTheme="minorHAnsi" w:hAnsiTheme="minorHAnsi" w:cstheme="majorHAnsi"/>
          <w:color w:val="1E293B"/>
          <w:sz w:val="20"/>
        </w:rPr>
        <w:t xml:space="preserve"> T, Jeganathan KB, </w:t>
      </w:r>
      <w:proofErr w:type="spellStart"/>
      <w:r w:rsidRPr="000B7475">
        <w:rPr>
          <w:rFonts w:asciiTheme="minorHAnsi" w:hAnsiTheme="minorHAnsi" w:cstheme="majorHAnsi"/>
          <w:color w:val="1E293B"/>
          <w:sz w:val="20"/>
        </w:rPr>
        <w:t>Malureanu</w:t>
      </w:r>
      <w:proofErr w:type="spellEnd"/>
      <w:r w:rsidRPr="000B7475">
        <w:rPr>
          <w:rFonts w:asciiTheme="minorHAnsi" w:hAnsiTheme="minorHAnsi" w:cstheme="majorHAnsi"/>
          <w:color w:val="1E293B"/>
          <w:sz w:val="20"/>
        </w:rPr>
        <w:t xml:space="preserve"> L, van Ree JH, et al. Increased expression of BubR1 protects against aneuploidy and cancer and extends healthy lifespan. Nat Cell Biol. 2013;15(1):96-102. doi:10.1038/ncb2643. </w:t>
      </w:r>
      <w:hyperlink r:id="rId76">
        <w:r w:rsidRPr="000B7475">
          <w:rPr>
            <w:rFonts w:asciiTheme="minorHAnsi" w:hAnsiTheme="minorHAnsi" w:cstheme="majorHAnsi"/>
            <w:color w:val="1D4ED8"/>
            <w:sz w:val="20"/>
            <w:szCs w:val="20"/>
            <w:u w:val="single"/>
          </w:rPr>
          <w:t>PMID: 23242215</w:t>
        </w:r>
      </w:hyperlink>
      <w:r w:rsidRPr="000B7475">
        <w:rPr>
          <w:rFonts w:asciiTheme="minorHAnsi" w:hAnsiTheme="minorHAnsi" w:cstheme="majorHAnsi"/>
          <w:color w:val="1E293B"/>
          <w:sz w:val="20"/>
        </w:rPr>
        <w:t>.</w:t>
      </w:r>
    </w:p>
    <w:p w14:paraId="0C1A2CE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66. </w:t>
      </w:r>
      <w:r w:rsidRPr="000B7475">
        <w:rPr>
          <w:rFonts w:asciiTheme="minorHAnsi" w:hAnsiTheme="minorHAnsi" w:cstheme="majorHAnsi"/>
          <w:color w:val="1E293B"/>
          <w:sz w:val="20"/>
        </w:rPr>
        <w:t xml:space="preserve">Baker DJ, Weaver RL, van Deursen JM. p21 both attenuates and drives senescence and aging in BubR1 progeroid mice. Cell Rep. 2013;3(4):1164-1174. </w:t>
      </w:r>
      <w:hyperlink r:id="rId77">
        <w:r w:rsidRPr="000B7475">
          <w:rPr>
            <w:rFonts w:asciiTheme="minorHAnsi" w:hAnsiTheme="minorHAnsi" w:cstheme="majorHAnsi"/>
            <w:color w:val="1D4ED8"/>
            <w:sz w:val="20"/>
            <w:szCs w:val="20"/>
            <w:u w:val="single"/>
          </w:rPr>
          <w:t>PMID: 23602569</w:t>
        </w:r>
      </w:hyperlink>
      <w:r w:rsidRPr="000B7475">
        <w:rPr>
          <w:rFonts w:asciiTheme="minorHAnsi" w:hAnsiTheme="minorHAnsi" w:cstheme="majorHAnsi"/>
          <w:color w:val="1E293B"/>
          <w:sz w:val="20"/>
        </w:rPr>
        <w:t>.</w:t>
      </w:r>
    </w:p>
    <w:p w14:paraId="633A27E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67. </w:t>
      </w:r>
      <w:proofErr w:type="spellStart"/>
      <w:r w:rsidRPr="000B7475">
        <w:rPr>
          <w:rFonts w:asciiTheme="minorHAnsi" w:hAnsiTheme="minorHAnsi" w:cstheme="majorHAnsi"/>
          <w:color w:val="1E293B"/>
          <w:sz w:val="20"/>
        </w:rPr>
        <w:t>Gudimchuk</w:t>
      </w:r>
      <w:proofErr w:type="spellEnd"/>
      <w:r w:rsidRPr="000B7475">
        <w:rPr>
          <w:rFonts w:asciiTheme="minorHAnsi" w:hAnsiTheme="minorHAnsi" w:cstheme="majorHAnsi"/>
          <w:color w:val="1E293B"/>
          <w:sz w:val="20"/>
        </w:rPr>
        <w:t xml:space="preserve"> N, </w:t>
      </w:r>
      <w:proofErr w:type="spellStart"/>
      <w:r w:rsidRPr="000B7475">
        <w:rPr>
          <w:rFonts w:asciiTheme="minorHAnsi" w:hAnsiTheme="minorHAnsi" w:cstheme="majorHAnsi"/>
          <w:color w:val="1E293B"/>
          <w:sz w:val="20"/>
        </w:rPr>
        <w:t>Vitre</w:t>
      </w:r>
      <w:proofErr w:type="spellEnd"/>
      <w:r w:rsidRPr="000B7475">
        <w:rPr>
          <w:rFonts w:asciiTheme="minorHAnsi" w:hAnsiTheme="minorHAnsi" w:cstheme="majorHAnsi"/>
          <w:color w:val="1E293B"/>
          <w:sz w:val="20"/>
        </w:rPr>
        <w:t xml:space="preserve"> B, Kim Y, </w:t>
      </w:r>
      <w:proofErr w:type="spellStart"/>
      <w:r w:rsidRPr="000B7475">
        <w:rPr>
          <w:rFonts w:asciiTheme="minorHAnsi" w:hAnsiTheme="minorHAnsi" w:cstheme="majorHAnsi"/>
          <w:color w:val="1E293B"/>
          <w:sz w:val="20"/>
        </w:rPr>
        <w:t>Kiyatkin</w:t>
      </w:r>
      <w:proofErr w:type="spellEnd"/>
      <w:r w:rsidRPr="000B7475">
        <w:rPr>
          <w:rFonts w:asciiTheme="minorHAnsi" w:hAnsiTheme="minorHAnsi" w:cstheme="majorHAnsi"/>
          <w:color w:val="1E293B"/>
          <w:sz w:val="20"/>
        </w:rPr>
        <w:t xml:space="preserve"> A, Cleveland DW, </w:t>
      </w:r>
      <w:proofErr w:type="spellStart"/>
      <w:r w:rsidRPr="000B7475">
        <w:rPr>
          <w:rFonts w:asciiTheme="minorHAnsi" w:hAnsiTheme="minorHAnsi" w:cstheme="majorHAnsi"/>
          <w:color w:val="1E293B"/>
          <w:sz w:val="20"/>
        </w:rPr>
        <w:t>Ataullakhanov</w:t>
      </w:r>
      <w:proofErr w:type="spellEnd"/>
      <w:r w:rsidRPr="000B7475">
        <w:rPr>
          <w:rFonts w:asciiTheme="minorHAnsi" w:hAnsiTheme="minorHAnsi" w:cstheme="majorHAnsi"/>
          <w:color w:val="1E293B"/>
          <w:sz w:val="20"/>
        </w:rPr>
        <w:t xml:space="preserve"> FI, et al. Kinetochore kinesin CENP-E is a processive bi-directional tracker of dynamic microtubule tips. Nat Cell Biol. 2013;15(9):1079-1088. doi:10.1038/ncb2831. </w:t>
      </w:r>
      <w:hyperlink r:id="rId78">
        <w:r w:rsidRPr="000B7475">
          <w:rPr>
            <w:rFonts w:asciiTheme="minorHAnsi" w:hAnsiTheme="minorHAnsi" w:cstheme="majorHAnsi"/>
            <w:color w:val="1D4ED8"/>
            <w:sz w:val="20"/>
            <w:szCs w:val="20"/>
            <w:u w:val="single"/>
          </w:rPr>
          <w:t>PMID: 23955301</w:t>
        </w:r>
      </w:hyperlink>
      <w:r w:rsidRPr="000B7475">
        <w:rPr>
          <w:rFonts w:asciiTheme="minorHAnsi" w:hAnsiTheme="minorHAnsi" w:cstheme="majorHAnsi"/>
          <w:color w:val="1E293B"/>
          <w:sz w:val="20"/>
        </w:rPr>
        <w:t>.</w:t>
      </w:r>
    </w:p>
    <w:p w14:paraId="4918F440"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68. </w:t>
      </w:r>
      <w:r w:rsidRPr="000B7475">
        <w:rPr>
          <w:rFonts w:asciiTheme="minorHAnsi" w:hAnsiTheme="minorHAnsi" w:cstheme="majorHAnsi"/>
          <w:color w:val="1E293B"/>
          <w:sz w:val="20"/>
        </w:rPr>
        <w:t xml:space="preserve">Xu P, Raetz EA, Kitagawa M, et al. BUBR1 recruits PP2A via the B56 family of targeting subunits to promote chromosome congression. Biol Open. 2013;2(5):479-486. </w:t>
      </w:r>
      <w:hyperlink r:id="rId79">
        <w:r w:rsidRPr="000B7475">
          <w:rPr>
            <w:rFonts w:asciiTheme="minorHAnsi" w:hAnsiTheme="minorHAnsi" w:cstheme="majorHAnsi"/>
            <w:color w:val="1D4ED8"/>
            <w:sz w:val="20"/>
            <w:szCs w:val="20"/>
            <w:u w:val="single"/>
          </w:rPr>
          <w:t>PMID: 23789096</w:t>
        </w:r>
      </w:hyperlink>
      <w:r w:rsidRPr="000B7475">
        <w:rPr>
          <w:rFonts w:asciiTheme="minorHAnsi" w:hAnsiTheme="minorHAnsi" w:cstheme="majorHAnsi"/>
          <w:color w:val="1E293B"/>
          <w:sz w:val="20"/>
        </w:rPr>
        <w:t>.</w:t>
      </w:r>
    </w:p>
    <w:p w14:paraId="5D5F0B5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69. </w:t>
      </w:r>
      <w:r w:rsidRPr="000B7475">
        <w:rPr>
          <w:rFonts w:asciiTheme="minorHAnsi" w:hAnsiTheme="minorHAnsi" w:cstheme="majorHAnsi"/>
          <w:color w:val="1E293B"/>
          <w:sz w:val="20"/>
        </w:rPr>
        <w:t xml:space="preserve">Eytan E, Wang K, Miniowitz-Shemtov S, </w:t>
      </w:r>
      <w:proofErr w:type="spellStart"/>
      <w:r w:rsidRPr="000B7475">
        <w:rPr>
          <w:rFonts w:asciiTheme="minorHAnsi" w:hAnsiTheme="minorHAnsi" w:cstheme="majorHAnsi"/>
          <w:color w:val="1E293B"/>
          <w:sz w:val="20"/>
        </w:rPr>
        <w:t>Sitry-Shevah</w:t>
      </w:r>
      <w:proofErr w:type="spellEnd"/>
      <w:r w:rsidRPr="000B7475">
        <w:rPr>
          <w:rFonts w:asciiTheme="minorHAnsi" w:hAnsiTheme="minorHAnsi" w:cstheme="majorHAnsi"/>
          <w:color w:val="1E293B"/>
          <w:sz w:val="20"/>
        </w:rPr>
        <w:t xml:space="preserve"> D, </w:t>
      </w:r>
      <w:proofErr w:type="spellStart"/>
      <w:r w:rsidRPr="000B7475">
        <w:rPr>
          <w:rFonts w:asciiTheme="minorHAnsi" w:hAnsiTheme="minorHAnsi" w:cstheme="majorHAnsi"/>
          <w:color w:val="1E293B"/>
          <w:sz w:val="20"/>
        </w:rPr>
        <w:t>Kaisari</w:t>
      </w:r>
      <w:proofErr w:type="spellEnd"/>
      <w:r w:rsidRPr="000B7475">
        <w:rPr>
          <w:rFonts w:asciiTheme="minorHAnsi" w:hAnsiTheme="minorHAnsi" w:cstheme="majorHAnsi"/>
          <w:color w:val="1E293B"/>
          <w:sz w:val="20"/>
        </w:rPr>
        <w:t xml:space="preserve"> S, Yen TJ, et al. Disassembly of mitotic checkpoint complexes by the joint action of the AAA-ATPase TRIP13 and p31comet. Proc Natl Acad Sci U S A. 2014;111(33):12019-12024. doi:10.1073/pnas.1412901111. </w:t>
      </w:r>
      <w:hyperlink r:id="rId80">
        <w:r w:rsidRPr="000B7475">
          <w:rPr>
            <w:rFonts w:asciiTheme="minorHAnsi" w:hAnsiTheme="minorHAnsi" w:cstheme="majorHAnsi"/>
            <w:color w:val="1D4ED8"/>
            <w:sz w:val="20"/>
            <w:szCs w:val="20"/>
            <w:u w:val="single"/>
          </w:rPr>
          <w:t>PMID: 25092294</w:t>
        </w:r>
      </w:hyperlink>
      <w:r w:rsidRPr="000B7475">
        <w:rPr>
          <w:rFonts w:asciiTheme="minorHAnsi" w:hAnsiTheme="minorHAnsi" w:cstheme="majorHAnsi"/>
          <w:color w:val="1E293B"/>
          <w:sz w:val="20"/>
        </w:rPr>
        <w:t>.</w:t>
      </w:r>
    </w:p>
    <w:p w14:paraId="224335D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70. </w:t>
      </w:r>
      <w:r w:rsidRPr="000B7475">
        <w:rPr>
          <w:rFonts w:asciiTheme="minorHAnsi" w:hAnsiTheme="minorHAnsi" w:cstheme="majorHAnsi"/>
          <w:color w:val="1E293B"/>
          <w:sz w:val="20"/>
        </w:rPr>
        <w:t xml:space="preserve">Lipska BS, </w:t>
      </w:r>
      <w:proofErr w:type="spellStart"/>
      <w:r w:rsidRPr="000B7475">
        <w:rPr>
          <w:rFonts w:asciiTheme="minorHAnsi" w:hAnsiTheme="minorHAnsi" w:cstheme="majorHAnsi"/>
          <w:color w:val="1E293B"/>
          <w:sz w:val="20"/>
        </w:rPr>
        <w:t>Ranchin</w:t>
      </w:r>
      <w:proofErr w:type="spellEnd"/>
      <w:r w:rsidRPr="000B7475">
        <w:rPr>
          <w:rFonts w:asciiTheme="minorHAnsi" w:hAnsiTheme="minorHAnsi" w:cstheme="majorHAnsi"/>
          <w:color w:val="1E293B"/>
          <w:sz w:val="20"/>
        </w:rPr>
        <w:t xml:space="preserve"> B, </w:t>
      </w:r>
      <w:proofErr w:type="spellStart"/>
      <w:r w:rsidRPr="000B7475">
        <w:rPr>
          <w:rFonts w:asciiTheme="minorHAnsi" w:hAnsiTheme="minorHAnsi" w:cstheme="majorHAnsi"/>
          <w:color w:val="1E293B"/>
          <w:sz w:val="20"/>
        </w:rPr>
        <w:t>Iatropoulos</w:t>
      </w:r>
      <w:proofErr w:type="spellEnd"/>
      <w:r w:rsidRPr="000B7475">
        <w:rPr>
          <w:rFonts w:asciiTheme="minorHAnsi" w:hAnsiTheme="minorHAnsi" w:cstheme="majorHAnsi"/>
          <w:color w:val="1E293B"/>
          <w:sz w:val="20"/>
        </w:rPr>
        <w:t xml:space="preserve"> P, </w:t>
      </w:r>
      <w:proofErr w:type="spellStart"/>
      <w:r w:rsidRPr="000B7475">
        <w:rPr>
          <w:rFonts w:asciiTheme="minorHAnsi" w:hAnsiTheme="minorHAnsi" w:cstheme="majorHAnsi"/>
          <w:color w:val="1E293B"/>
          <w:sz w:val="20"/>
        </w:rPr>
        <w:t>Gellermann</w:t>
      </w:r>
      <w:proofErr w:type="spellEnd"/>
      <w:r w:rsidRPr="000B7475">
        <w:rPr>
          <w:rFonts w:asciiTheme="minorHAnsi" w:hAnsiTheme="minorHAnsi" w:cstheme="majorHAnsi"/>
          <w:color w:val="1E293B"/>
          <w:sz w:val="20"/>
        </w:rPr>
        <w:t xml:space="preserve"> J, Melk A, </w:t>
      </w:r>
      <w:proofErr w:type="spellStart"/>
      <w:r w:rsidRPr="000B7475">
        <w:rPr>
          <w:rFonts w:asciiTheme="minorHAnsi" w:hAnsiTheme="minorHAnsi" w:cstheme="majorHAnsi"/>
          <w:color w:val="1E293B"/>
          <w:sz w:val="20"/>
        </w:rPr>
        <w:t>Ozaltin</w:t>
      </w:r>
      <w:proofErr w:type="spellEnd"/>
      <w:r w:rsidRPr="000B7475">
        <w:rPr>
          <w:rFonts w:asciiTheme="minorHAnsi" w:hAnsiTheme="minorHAnsi" w:cstheme="majorHAnsi"/>
          <w:color w:val="1E293B"/>
          <w:sz w:val="20"/>
        </w:rPr>
        <w:t xml:space="preserve"> F, et al. Genotype-phenotype associations in WT1 glomerulopathy. Kidney Int. 2014;85(5):1169-1178. doi:10.1038/ki.2013.519. </w:t>
      </w:r>
      <w:hyperlink r:id="rId81">
        <w:r w:rsidRPr="000B7475">
          <w:rPr>
            <w:rFonts w:asciiTheme="minorHAnsi" w:hAnsiTheme="minorHAnsi" w:cstheme="majorHAnsi"/>
            <w:color w:val="1D4ED8"/>
            <w:sz w:val="20"/>
            <w:szCs w:val="20"/>
            <w:u w:val="single"/>
          </w:rPr>
          <w:t>PMID: 24402088</w:t>
        </w:r>
      </w:hyperlink>
      <w:r w:rsidRPr="000B7475">
        <w:rPr>
          <w:rFonts w:asciiTheme="minorHAnsi" w:hAnsiTheme="minorHAnsi" w:cstheme="majorHAnsi"/>
          <w:color w:val="1E293B"/>
          <w:sz w:val="20"/>
        </w:rPr>
        <w:t>.</w:t>
      </w:r>
    </w:p>
    <w:p w14:paraId="0775512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71. </w:t>
      </w:r>
      <w:proofErr w:type="spellStart"/>
      <w:r w:rsidRPr="000B7475">
        <w:rPr>
          <w:rFonts w:asciiTheme="minorHAnsi" w:hAnsiTheme="minorHAnsi" w:cstheme="majorHAnsi"/>
          <w:color w:val="1E293B"/>
          <w:sz w:val="20"/>
        </w:rPr>
        <w:t>Mirzaa</w:t>
      </w:r>
      <w:proofErr w:type="spellEnd"/>
      <w:r w:rsidRPr="000B7475">
        <w:rPr>
          <w:rFonts w:asciiTheme="minorHAnsi" w:hAnsiTheme="minorHAnsi" w:cstheme="majorHAnsi"/>
          <w:color w:val="1E293B"/>
          <w:sz w:val="20"/>
        </w:rPr>
        <w:t xml:space="preserve"> GM, </w:t>
      </w:r>
      <w:proofErr w:type="spellStart"/>
      <w:r w:rsidRPr="000B7475">
        <w:rPr>
          <w:rFonts w:asciiTheme="minorHAnsi" w:hAnsiTheme="minorHAnsi" w:cstheme="majorHAnsi"/>
          <w:color w:val="1E293B"/>
          <w:sz w:val="20"/>
        </w:rPr>
        <w:t>Vitre</w:t>
      </w:r>
      <w:proofErr w:type="spellEnd"/>
      <w:r w:rsidRPr="000B7475">
        <w:rPr>
          <w:rFonts w:asciiTheme="minorHAnsi" w:hAnsiTheme="minorHAnsi" w:cstheme="majorHAnsi"/>
          <w:color w:val="1E293B"/>
          <w:sz w:val="20"/>
        </w:rPr>
        <w:t xml:space="preserve"> B, Carpenter G, Abramowicz I, Gleeson JG, </w:t>
      </w:r>
      <w:proofErr w:type="spellStart"/>
      <w:r w:rsidRPr="000B7475">
        <w:rPr>
          <w:rFonts w:asciiTheme="minorHAnsi" w:hAnsiTheme="minorHAnsi" w:cstheme="majorHAnsi"/>
          <w:color w:val="1E293B"/>
          <w:sz w:val="20"/>
        </w:rPr>
        <w:t>Paciorkowski</w:t>
      </w:r>
      <w:proofErr w:type="spellEnd"/>
      <w:r w:rsidRPr="000B7475">
        <w:rPr>
          <w:rFonts w:asciiTheme="minorHAnsi" w:hAnsiTheme="minorHAnsi" w:cstheme="majorHAnsi"/>
          <w:color w:val="1E293B"/>
          <w:sz w:val="20"/>
        </w:rPr>
        <w:t xml:space="preserve"> AR, et al. Mutations in CENPE define a novel kinetochore-centromeric mechanism for microcephalic primordial dwarfism. Hum Genet. 2014;133(8):1023-1039. doi:10.1007/s00439-014-1443-3. </w:t>
      </w:r>
      <w:hyperlink r:id="rId82">
        <w:r w:rsidRPr="000B7475">
          <w:rPr>
            <w:rFonts w:asciiTheme="minorHAnsi" w:hAnsiTheme="minorHAnsi" w:cstheme="majorHAnsi"/>
            <w:color w:val="1D4ED8"/>
            <w:sz w:val="20"/>
            <w:szCs w:val="20"/>
            <w:u w:val="single"/>
          </w:rPr>
          <w:t>PMID: 24748105</w:t>
        </w:r>
      </w:hyperlink>
      <w:r w:rsidRPr="000B7475">
        <w:rPr>
          <w:rFonts w:asciiTheme="minorHAnsi" w:hAnsiTheme="minorHAnsi" w:cstheme="majorHAnsi"/>
          <w:color w:val="1E293B"/>
          <w:sz w:val="20"/>
        </w:rPr>
        <w:t>.</w:t>
      </w:r>
    </w:p>
    <w:p w14:paraId="3AB6E2B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72. </w:t>
      </w:r>
      <w:r w:rsidRPr="000B7475">
        <w:rPr>
          <w:rFonts w:asciiTheme="minorHAnsi" w:hAnsiTheme="minorHAnsi" w:cstheme="majorHAnsi"/>
          <w:color w:val="1E293B"/>
          <w:sz w:val="20"/>
        </w:rPr>
        <w:t xml:space="preserve">Ochiai H, Miyamoto T, Kanai A, et al. TALEN-mediated single-base-pair editing identification of an intergenic mutation upstream of BUB1B as causative of PCS (MVA) syndrome. Proc Natl Acad Sci U S A. 2014;111(4):1461-1466. </w:t>
      </w:r>
      <w:hyperlink r:id="rId83">
        <w:r w:rsidRPr="000B7475">
          <w:rPr>
            <w:rFonts w:asciiTheme="minorHAnsi" w:hAnsiTheme="minorHAnsi" w:cstheme="majorHAnsi"/>
            <w:color w:val="1D4ED8"/>
            <w:sz w:val="20"/>
            <w:szCs w:val="20"/>
            <w:u w:val="single"/>
          </w:rPr>
          <w:t>PMID: 24344301</w:t>
        </w:r>
      </w:hyperlink>
      <w:r w:rsidRPr="000B7475">
        <w:rPr>
          <w:rFonts w:asciiTheme="minorHAnsi" w:hAnsiTheme="minorHAnsi" w:cstheme="majorHAnsi"/>
          <w:color w:val="1E293B"/>
          <w:sz w:val="20"/>
        </w:rPr>
        <w:t>.</w:t>
      </w:r>
    </w:p>
    <w:p w14:paraId="1523698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73. </w:t>
      </w:r>
      <w:r w:rsidRPr="000B7475">
        <w:rPr>
          <w:rFonts w:asciiTheme="minorHAnsi" w:hAnsiTheme="minorHAnsi" w:cstheme="majorHAnsi"/>
          <w:color w:val="1E293B"/>
          <w:sz w:val="20"/>
        </w:rPr>
        <w:t xml:space="preserve">Pinson L, </w:t>
      </w:r>
      <w:proofErr w:type="spellStart"/>
      <w:r w:rsidRPr="000B7475">
        <w:rPr>
          <w:rFonts w:asciiTheme="minorHAnsi" w:hAnsiTheme="minorHAnsi" w:cstheme="majorHAnsi"/>
          <w:color w:val="1E293B"/>
          <w:sz w:val="20"/>
        </w:rPr>
        <w:t>Mannini</w:t>
      </w:r>
      <w:proofErr w:type="spellEnd"/>
      <w:r w:rsidRPr="000B7475">
        <w:rPr>
          <w:rFonts w:asciiTheme="minorHAnsi" w:hAnsiTheme="minorHAnsi" w:cstheme="majorHAnsi"/>
          <w:color w:val="1E293B"/>
          <w:sz w:val="20"/>
        </w:rPr>
        <w:t xml:space="preserve"> L, Willems M, et al. CEP57 mutation in a girl with mosaic variegated aneuploidy syndrome. Am J Med Genet A. 2014;164</w:t>
      </w:r>
      <w:proofErr w:type="gramStart"/>
      <w:r w:rsidRPr="000B7475">
        <w:rPr>
          <w:rFonts w:asciiTheme="minorHAnsi" w:hAnsiTheme="minorHAnsi" w:cstheme="majorHAnsi"/>
          <w:color w:val="1E293B"/>
          <w:sz w:val="20"/>
        </w:rPr>
        <w:t>A(</w:t>
      </w:r>
      <w:proofErr w:type="gramEnd"/>
      <w:r w:rsidRPr="000B7475">
        <w:rPr>
          <w:rFonts w:asciiTheme="minorHAnsi" w:hAnsiTheme="minorHAnsi" w:cstheme="majorHAnsi"/>
          <w:color w:val="1E293B"/>
          <w:sz w:val="20"/>
        </w:rPr>
        <w:t xml:space="preserve">1):177-181. </w:t>
      </w:r>
      <w:hyperlink r:id="rId84">
        <w:r w:rsidRPr="000B7475">
          <w:rPr>
            <w:rFonts w:asciiTheme="minorHAnsi" w:hAnsiTheme="minorHAnsi" w:cstheme="majorHAnsi"/>
            <w:color w:val="1D4ED8"/>
            <w:sz w:val="20"/>
            <w:szCs w:val="20"/>
            <w:u w:val="single"/>
          </w:rPr>
          <w:t>PMID: 24259107</w:t>
        </w:r>
      </w:hyperlink>
      <w:r w:rsidRPr="000B7475">
        <w:rPr>
          <w:rFonts w:asciiTheme="minorHAnsi" w:hAnsiTheme="minorHAnsi" w:cstheme="majorHAnsi"/>
          <w:color w:val="1E293B"/>
          <w:sz w:val="20"/>
        </w:rPr>
        <w:t>.</w:t>
      </w:r>
    </w:p>
    <w:p w14:paraId="0A936577"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74. </w:t>
      </w:r>
      <w:r w:rsidRPr="000B7475">
        <w:rPr>
          <w:rFonts w:asciiTheme="minorHAnsi" w:hAnsiTheme="minorHAnsi" w:cstheme="majorHAnsi"/>
          <w:color w:val="1E293B"/>
          <w:sz w:val="20"/>
        </w:rPr>
        <w:t xml:space="preserve">Schmid M, Steinlein C, Tian Q, et al. Mosaic variegated aneuploidy in mouse BubR1 deficient embryos and pregnancy loss in human. Chromosome Res. 2014;22(3):375-392. </w:t>
      </w:r>
      <w:hyperlink r:id="rId85">
        <w:r w:rsidRPr="000B7475">
          <w:rPr>
            <w:rFonts w:asciiTheme="minorHAnsi" w:hAnsiTheme="minorHAnsi" w:cstheme="majorHAnsi"/>
            <w:color w:val="1D4ED8"/>
            <w:sz w:val="20"/>
            <w:szCs w:val="20"/>
            <w:u w:val="single"/>
          </w:rPr>
          <w:t>PMID: 24981203</w:t>
        </w:r>
      </w:hyperlink>
      <w:r w:rsidRPr="000B7475">
        <w:rPr>
          <w:rFonts w:asciiTheme="minorHAnsi" w:hAnsiTheme="minorHAnsi" w:cstheme="majorHAnsi"/>
          <w:color w:val="1E293B"/>
          <w:sz w:val="20"/>
        </w:rPr>
        <w:t>.</w:t>
      </w:r>
    </w:p>
    <w:p w14:paraId="53A8336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75. </w:t>
      </w:r>
      <w:r w:rsidRPr="000B7475">
        <w:rPr>
          <w:rFonts w:asciiTheme="minorHAnsi" w:hAnsiTheme="minorHAnsi" w:cstheme="majorHAnsi"/>
          <w:color w:val="1E293B"/>
          <w:sz w:val="20"/>
        </w:rPr>
        <w:t xml:space="preserve">Cho CH, Oh MJ, Lim CS, et al. A case report of a fetus with mosaic autosomal variegated aneuploidies and literature review. Ann Clin Lab Sci. 2015;45(1):106-109. </w:t>
      </w:r>
      <w:hyperlink r:id="rId86">
        <w:r w:rsidRPr="000B7475">
          <w:rPr>
            <w:rFonts w:asciiTheme="minorHAnsi" w:hAnsiTheme="minorHAnsi" w:cstheme="majorHAnsi"/>
            <w:color w:val="1D4ED8"/>
            <w:sz w:val="20"/>
            <w:szCs w:val="20"/>
            <w:u w:val="single"/>
          </w:rPr>
          <w:t>PMID: 25696020</w:t>
        </w:r>
      </w:hyperlink>
      <w:r w:rsidRPr="000B7475">
        <w:rPr>
          <w:rFonts w:asciiTheme="minorHAnsi" w:hAnsiTheme="minorHAnsi" w:cstheme="majorHAnsi"/>
          <w:color w:val="1E293B"/>
          <w:sz w:val="20"/>
        </w:rPr>
        <w:t>.</w:t>
      </w:r>
    </w:p>
    <w:p w14:paraId="76C9314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76. </w:t>
      </w:r>
      <w:r w:rsidRPr="000B7475">
        <w:rPr>
          <w:rFonts w:asciiTheme="minorHAnsi" w:hAnsiTheme="minorHAnsi" w:cstheme="majorHAnsi"/>
          <w:color w:val="1E293B"/>
          <w:sz w:val="20"/>
        </w:rPr>
        <w:t xml:space="preserve">Lehnhardt A, Karnatz C, </w:t>
      </w:r>
      <w:proofErr w:type="spellStart"/>
      <w:r w:rsidRPr="000B7475">
        <w:rPr>
          <w:rFonts w:asciiTheme="minorHAnsi" w:hAnsiTheme="minorHAnsi" w:cstheme="majorHAnsi"/>
          <w:color w:val="1E293B"/>
          <w:sz w:val="20"/>
        </w:rPr>
        <w:t>Ahlenstiel</w:t>
      </w:r>
      <w:proofErr w:type="spellEnd"/>
      <w:r w:rsidRPr="000B7475">
        <w:rPr>
          <w:rFonts w:asciiTheme="minorHAnsi" w:hAnsiTheme="minorHAnsi" w:cstheme="majorHAnsi"/>
          <w:color w:val="1E293B"/>
          <w:sz w:val="20"/>
        </w:rPr>
        <w:t xml:space="preserve">-Grunow T, Benz K, Benz MR, Budde K, et al. Clinical and molecular characterization of patients with heterozygous mutations in </w:t>
      </w:r>
      <w:proofErr w:type="spellStart"/>
      <w:r w:rsidRPr="000B7475">
        <w:rPr>
          <w:rFonts w:asciiTheme="minorHAnsi" w:hAnsiTheme="minorHAnsi" w:cstheme="majorHAnsi"/>
          <w:color w:val="1E293B"/>
          <w:sz w:val="20"/>
        </w:rPr>
        <w:t>wilms</w:t>
      </w:r>
      <w:proofErr w:type="spellEnd"/>
      <w:r w:rsidRPr="000B7475">
        <w:rPr>
          <w:rFonts w:asciiTheme="minorHAnsi" w:hAnsiTheme="minorHAnsi" w:cstheme="majorHAnsi"/>
          <w:color w:val="1E293B"/>
          <w:sz w:val="20"/>
        </w:rPr>
        <w:t xml:space="preserve"> tumor suppressor gene 1. Clin J Am Soc Nephrol. 2015;10(5):825-831. doi:10.2215/CJN.10141014. </w:t>
      </w:r>
      <w:hyperlink r:id="rId87">
        <w:r w:rsidRPr="000B7475">
          <w:rPr>
            <w:rFonts w:asciiTheme="minorHAnsi" w:hAnsiTheme="minorHAnsi" w:cstheme="majorHAnsi"/>
            <w:color w:val="1D4ED8"/>
            <w:sz w:val="20"/>
            <w:szCs w:val="20"/>
            <w:u w:val="single"/>
          </w:rPr>
          <w:t>PMID: 25818337</w:t>
        </w:r>
      </w:hyperlink>
      <w:r w:rsidRPr="000B7475">
        <w:rPr>
          <w:rFonts w:asciiTheme="minorHAnsi" w:hAnsiTheme="minorHAnsi" w:cstheme="majorHAnsi"/>
          <w:color w:val="1E293B"/>
          <w:sz w:val="20"/>
        </w:rPr>
        <w:t>.</w:t>
      </w:r>
    </w:p>
    <w:p w14:paraId="1F74BE2C"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77. </w:t>
      </w:r>
      <w:r w:rsidRPr="000B7475">
        <w:rPr>
          <w:rFonts w:asciiTheme="minorHAnsi" w:hAnsiTheme="minorHAnsi" w:cstheme="majorHAnsi"/>
          <w:color w:val="1E293B"/>
          <w:sz w:val="20"/>
        </w:rPr>
        <w:t xml:space="preserve">Miniowitz-Shemtov S, Eytan E, </w:t>
      </w:r>
      <w:proofErr w:type="spellStart"/>
      <w:r w:rsidRPr="000B7475">
        <w:rPr>
          <w:rFonts w:asciiTheme="minorHAnsi" w:hAnsiTheme="minorHAnsi" w:cstheme="majorHAnsi"/>
          <w:color w:val="1E293B"/>
          <w:sz w:val="20"/>
        </w:rPr>
        <w:t>Kaisari</w:t>
      </w:r>
      <w:proofErr w:type="spellEnd"/>
      <w:r w:rsidRPr="000B7475">
        <w:rPr>
          <w:rFonts w:asciiTheme="minorHAnsi" w:hAnsiTheme="minorHAnsi" w:cstheme="majorHAnsi"/>
          <w:color w:val="1E293B"/>
          <w:sz w:val="20"/>
        </w:rPr>
        <w:t xml:space="preserve"> S, </w:t>
      </w:r>
      <w:proofErr w:type="spellStart"/>
      <w:r w:rsidRPr="000B7475">
        <w:rPr>
          <w:rFonts w:asciiTheme="minorHAnsi" w:hAnsiTheme="minorHAnsi" w:cstheme="majorHAnsi"/>
          <w:color w:val="1E293B"/>
          <w:sz w:val="20"/>
        </w:rPr>
        <w:t>Sitry-Shevah</w:t>
      </w:r>
      <w:proofErr w:type="spellEnd"/>
      <w:r w:rsidRPr="000B7475">
        <w:rPr>
          <w:rFonts w:asciiTheme="minorHAnsi" w:hAnsiTheme="minorHAnsi" w:cstheme="majorHAnsi"/>
          <w:color w:val="1E293B"/>
          <w:sz w:val="20"/>
        </w:rPr>
        <w:t xml:space="preserve"> D, Hershko A. Mode of interaction of TRIP13 AAA-ATPase with the Mad2-binding protein p31comet and with mitotic checkpoint complexes. Proc Natl Acad Sci U S A. 2015;112(37):11536-11540. doi:10.1073/pnas.1515358112. </w:t>
      </w:r>
      <w:hyperlink r:id="rId88">
        <w:r w:rsidRPr="000B7475">
          <w:rPr>
            <w:rFonts w:asciiTheme="minorHAnsi" w:hAnsiTheme="minorHAnsi" w:cstheme="majorHAnsi"/>
            <w:color w:val="1D4ED8"/>
            <w:sz w:val="20"/>
            <w:szCs w:val="20"/>
            <w:u w:val="single"/>
          </w:rPr>
          <w:t>PMID: 26324890</w:t>
        </w:r>
      </w:hyperlink>
      <w:r w:rsidRPr="000B7475">
        <w:rPr>
          <w:rFonts w:asciiTheme="minorHAnsi" w:hAnsiTheme="minorHAnsi" w:cstheme="majorHAnsi"/>
          <w:color w:val="1E293B"/>
          <w:sz w:val="20"/>
        </w:rPr>
        <w:t>.</w:t>
      </w:r>
    </w:p>
    <w:p w14:paraId="5CB0732D" w14:textId="77777777" w:rsidR="000B7475" w:rsidRPr="000B7475" w:rsidRDefault="000B7475" w:rsidP="000B7475">
      <w:pPr>
        <w:spacing w:before="12" w:after="40" w:line="252" w:lineRule="auto"/>
        <w:ind w:left="461" w:hanging="461"/>
        <w:rPr>
          <w:rFonts w:asciiTheme="minorHAnsi" w:hAnsiTheme="minorHAnsi" w:cstheme="majorHAnsi"/>
          <w:color w:val="000000" w:themeColor="text1"/>
          <w:sz w:val="20"/>
        </w:rPr>
      </w:pPr>
      <w:r w:rsidRPr="000B7475">
        <w:rPr>
          <w:rFonts w:asciiTheme="minorHAnsi" w:hAnsiTheme="minorHAnsi" w:cstheme="majorHAnsi"/>
          <w:b/>
          <w:color w:val="000000" w:themeColor="text1"/>
          <w:sz w:val="20"/>
        </w:rPr>
        <w:t xml:space="preserve">78. </w:t>
      </w:r>
      <w:r w:rsidRPr="000B7475">
        <w:rPr>
          <w:rFonts w:asciiTheme="minorHAnsi" w:hAnsiTheme="minorHAnsi" w:cstheme="majorHAnsi"/>
          <w:color w:val="000000" w:themeColor="text1"/>
          <w:sz w:val="20"/>
        </w:rPr>
        <w:t xml:space="preserve">Miyamoto T, Matsuura S. Ciliopathy in PCS (MVA) syndrome. </w:t>
      </w:r>
      <w:proofErr w:type="spellStart"/>
      <w:r w:rsidRPr="000B7475">
        <w:rPr>
          <w:rFonts w:asciiTheme="minorHAnsi" w:hAnsiTheme="minorHAnsi" w:cstheme="majorHAnsi"/>
          <w:color w:val="000000" w:themeColor="text1"/>
          <w:sz w:val="20"/>
        </w:rPr>
        <w:t>Oncotarget</w:t>
      </w:r>
      <w:proofErr w:type="spellEnd"/>
      <w:r w:rsidRPr="000B7475">
        <w:rPr>
          <w:rFonts w:asciiTheme="minorHAnsi" w:hAnsiTheme="minorHAnsi" w:cstheme="majorHAnsi"/>
          <w:color w:val="000000" w:themeColor="text1"/>
          <w:sz w:val="20"/>
        </w:rPr>
        <w:t xml:space="preserve">. 2015 Sep 22;6(28):24582-24583. </w:t>
      </w:r>
      <w:proofErr w:type="spellStart"/>
      <w:r w:rsidRPr="000B7475">
        <w:rPr>
          <w:rFonts w:asciiTheme="minorHAnsi" w:hAnsiTheme="minorHAnsi" w:cstheme="majorHAnsi"/>
          <w:color w:val="000000" w:themeColor="text1"/>
          <w:sz w:val="20"/>
        </w:rPr>
        <w:t>doi</w:t>
      </w:r>
      <w:proofErr w:type="spellEnd"/>
      <w:r w:rsidRPr="000B7475">
        <w:rPr>
          <w:rFonts w:asciiTheme="minorHAnsi" w:hAnsiTheme="minorHAnsi" w:cstheme="majorHAnsi"/>
          <w:color w:val="000000" w:themeColor="text1"/>
          <w:sz w:val="20"/>
        </w:rPr>
        <w:t xml:space="preserve">: 10.18632/oncotarget.5244. PMID: 26309087; PMCID: </w:t>
      </w:r>
      <w:hyperlink r:id="rId89" w:history="1">
        <w:r w:rsidRPr="000B7475">
          <w:rPr>
            <w:rStyle w:val="Hipervnculo"/>
            <w:rFonts w:asciiTheme="minorHAnsi" w:hAnsiTheme="minorHAnsi" w:cstheme="majorHAnsi"/>
            <w:sz w:val="20"/>
          </w:rPr>
          <w:t>PMC4694</w:t>
        </w:r>
        <w:r w:rsidRPr="000B7475">
          <w:rPr>
            <w:rStyle w:val="Hipervnculo"/>
            <w:rFonts w:asciiTheme="minorHAnsi" w:hAnsiTheme="minorHAnsi" w:cstheme="majorHAnsi"/>
            <w:sz w:val="20"/>
          </w:rPr>
          <w:t>7</w:t>
        </w:r>
        <w:r w:rsidRPr="000B7475">
          <w:rPr>
            <w:rStyle w:val="Hipervnculo"/>
            <w:rFonts w:asciiTheme="minorHAnsi" w:hAnsiTheme="minorHAnsi" w:cstheme="majorHAnsi"/>
            <w:sz w:val="20"/>
          </w:rPr>
          <w:t>72.</w:t>
        </w:r>
      </w:hyperlink>
    </w:p>
    <w:p w14:paraId="783F7357"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000000" w:themeColor="text1"/>
          <w:sz w:val="20"/>
        </w:rPr>
        <w:t xml:space="preserve">79. </w:t>
      </w:r>
      <w:r w:rsidRPr="000B7475">
        <w:rPr>
          <w:rFonts w:asciiTheme="minorHAnsi" w:hAnsiTheme="minorHAnsi" w:cstheme="majorHAnsi"/>
          <w:color w:val="000000" w:themeColor="text1"/>
          <w:sz w:val="20"/>
        </w:rPr>
        <w:t xml:space="preserve">Nelson CR, Hwang T, Chen PH, et al. TRIP13PCH-2 promotes Mad2 localization </w:t>
      </w:r>
      <w:r w:rsidRPr="000B7475">
        <w:rPr>
          <w:rFonts w:asciiTheme="minorHAnsi" w:hAnsiTheme="minorHAnsi" w:cstheme="majorHAnsi"/>
          <w:color w:val="1E293B"/>
          <w:sz w:val="20"/>
        </w:rPr>
        <w:t xml:space="preserve">to unattached kinetochores in the spindle checkpoint response. J Cell Biol. 2015;211(3):503-516. </w:t>
      </w:r>
      <w:hyperlink r:id="rId90">
        <w:r w:rsidRPr="000B7475">
          <w:rPr>
            <w:rFonts w:asciiTheme="minorHAnsi" w:hAnsiTheme="minorHAnsi" w:cstheme="majorHAnsi"/>
            <w:color w:val="1D4ED8"/>
            <w:sz w:val="20"/>
            <w:szCs w:val="20"/>
            <w:u w:val="single"/>
          </w:rPr>
          <w:t>PMID: 26527744</w:t>
        </w:r>
      </w:hyperlink>
      <w:r w:rsidRPr="000B7475">
        <w:rPr>
          <w:rFonts w:asciiTheme="minorHAnsi" w:hAnsiTheme="minorHAnsi" w:cstheme="majorHAnsi"/>
          <w:color w:val="1E293B"/>
          <w:sz w:val="20"/>
        </w:rPr>
        <w:t>.</w:t>
      </w:r>
    </w:p>
    <w:p w14:paraId="3538C35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80. </w:t>
      </w:r>
      <w:r w:rsidRPr="000B7475">
        <w:rPr>
          <w:rFonts w:asciiTheme="minorHAnsi" w:hAnsiTheme="minorHAnsi" w:cstheme="majorHAnsi"/>
          <w:color w:val="1E293B"/>
          <w:sz w:val="20"/>
        </w:rPr>
        <w:t xml:space="preserve">Ye Q, Rosenberg SC, Moeller A, Speir JA, Su TY, Corbett KD. TRIP13 is a protein-remodeling AAA+ ATPase that catalyzes MAD2 conformation switching. </w:t>
      </w:r>
      <w:proofErr w:type="spellStart"/>
      <w:r w:rsidRPr="000B7475">
        <w:rPr>
          <w:rFonts w:asciiTheme="minorHAnsi" w:hAnsiTheme="minorHAnsi" w:cstheme="majorHAnsi"/>
          <w:color w:val="1E293B"/>
          <w:sz w:val="20"/>
        </w:rPr>
        <w:t>eLife</w:t>
      </w:r>
      <w:proofErr w:type="spellEnd"/>
      <w:r w:rsidRPr="000B7475">
        <w:rPr>
          <w:rFonts w:asciiTheme="minorHAnsi" w:hAnsiTheme="minorHAnsi" w:cstheme="majorHAnsi"/>
          <w:color w:val="1E293B"/>
          <w:sz w:val="20"/>
        </w:rPr>
        <w:t>. 2015;</w:t>
      </w:r>
      <w:proofErr w:type="gramStart"/>
      <w:r w:rsidRPr="000B7475">
        <w:rPr>
          <w:rFonts w:asciiTheme="minorHAnsi" w:hAnsiTheme="minorHAnsi" w:cstheme="majorHAnsi"/>
          <w:color w:val="1E293B"/>
          <w:sz w:val="20"/>
        </w:rPr>
        <w:t>4:e</w:t>
      </w:r>
      <w:proofErr w:type="gramEnd"/>
      <w:r w:rsidRPr="000B7475">
        <w:rPr>
          <w:rFonts w:asciiTheme="minorHAnsi" w:hAnsiTheme="minorHAnsi" w:cstheme="majorHAnsi"/>
          <w:color w:val="1E293B"/>
          <w:sz w:val="20"/>
        </w:rPr>
        <w:t xml:space="preserve">07367. doi:10.7554/eLife.07367. </w:t>
      </w:r>
      <w:hyperlink r:id="rId91">
        <w:r w:rsidRPr="000B7475">
          <w:rPr>
            <w:rFonts w:asciiTheme="minorHAnsi" w:hAnsiTheme="minorHAnsi" w:cstheme="majorHAnsi"/>
            <w:color w:val="1D4ED8"/>
            <w:sz w:val="20"/>
            <w:szCs w:val="20"/>
            <w:u w:val="single"/>
          </w:rPr>
          <w:t>PMID: 25918846</w:t>
        </w:r>
      </w:hyperlink>
      <w:r w:rsidRPr="000B7475">
        <w:rPr>
          <w:rFonts w:asciiTheme="minorHAnsi" w:hAnsiTheme="minorHAnsi" w:cstheme="majorHAnsi"/>
          <w:color w:val="1E293B"/>
          <w:sz w:val="20"/>
        </w:rPr>
        <w:t>.</w:t>
      </w:r>
    </w:p>
    <w:p w14:paraId="5DA9FE3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81. </w:t>
      </w:r>
      <w:r w:rsidRPr="000B7475">
        <w:rPr>
          <w:rFonts w:asciiTheme="minorHAnsi" w:hAnsiTheme="minorHAnsi" w:cstheme="majorHAnsi"/>
          <w:color w:val="1E293B"/>
          <w:sz w:val="20"/>
        </w:rPr>
        <w:t xml:space="preserve">Andriani GA, Faggioli F, Baker D, et al. Whole chromosome aneuploidy in the brain of Bub1bH/H and Ercc1-/Δ7 mice. Hum Mol Genet. 2016;25(4):755-765. </w:t>
      </w:r>
      <w:hyperlink r:id="rId92">
        <w:r w:rsidRPr="000B7475">
          <w:rPr>
            <w:rFonts w:asciiTheme="minorHAnsi" w:hAnsiTheme="minorHAnsi" w:cstheme="majorHAnsi"/>
            <w:color w:val="1D4ED8"/>
            <w:sz w:val="20"/>
            <w:szCs w:val="20"/>
            <w:u w:val="single"/>
          </w:rPr>
          <w:t>PMID: 26681803</w:t>
        </w:r>
      </w:hyperlink>
      <w:r w:rsidRPr="000B7475">
        <w:rPr>
          <w:rFonts w:asciiTheme="minorHAnsi" w:hAnsiTheme="minorHAnsi" w:cstheme="majorHAnsi"/>
          <w:color w:val="1E293B"/>
          <w:sz w:val="20"/>
        </w:rPr>
        <w:t>.</w:t>
      </w:r>
    </w:p>
    <w:p w14:paraId="5D8ABDF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82. </w:t>
      </w:r>
      <w:r w:rsidRPr="000B7475">
        <w:rPr>
          <w:rFonts w:asciiTheme="minorHAnsi" w:hAnsiTheme="minorHAnsi" w:cstheme="majorHAnsi"/>
          <w:color w:val="1E293B"/>
          <w:sz w:val="20"/>
        </w:rPr>
        <w:t xml:space="preserve">Ma HT, Poon RY. TRIP13 regulates both the activation and inactivation of the spindle-assembly checkpoint. Cell Rep. 2016;14(5):1086-1099. </w:t>
      </w:r>
      <w:proofErr w:type="gramStart"/>
      <w:r w:rsidRPr="000B7475">
        <w:rPr>
          <w:rFonts w:asciiTheme="minorHAnsi" w:hAnsiTheme="minorHAnsi" w:cstheme="majorHAnsi"/>
          <w:color w:val="1E293B"/>
          <w:sz w:val="20"/>
        </w:rPr>
        <w:t>doi:10.1016/j.celrep</w:t>
      </w:r>
      <w:proofErr w:type="gramEnd"/>
      <w:r w:rsidRPr="000B7475">
        <w:rPr>
          <w:rFonts w:asciiTheme="minorHAnsi" w:hAnsiTheme="minorHAnsi" w:cstheme="majorHAnsi"/>
          <w:color w:val="1E293B"/>
          <w:sz w:val="20"/>
        </w:rPr>
        <w:t xml:space="preserve">.2016.01.001. </w:t>
      </w:r>
      <w:hyperlink r:id="rId93">
        <w:r w:rsidRPr="000B7475">
          <w:rPr>
            <w:rFonts w:asciiTheme="minorHAnsi" w:hAnsiTheme="minorHAnsi" w:cstheme="majorHAnsi"/>
            <w:color w:val="1D4ED8"/>
            <w:sz w:val="20"/>
            <w:szCs w:val="20"/>
            <w:u w:val="single"/>
          </w:rPr>
          <w:t>PMID: 26832417</w:t>
        </w:r>
      </w:hyperlink>
      <w:r w:rsidRPr="000B7475">
        <w:rPr>
          <w:rFonts w:asciiTheme="minorHAnsi" w:hAnsiTheme="minorHAnsi" w:cstheme="majorHAnsi"/>
          <w:color w:val="1E293B"/>
          <w:sz w:val="20"/>
        </w:rPr>
        <w:t>.</w:t>
      </w:r>
    </w:p>
    <w:p w14:paraId="2EA60D0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83. </w:t>
      </w:r>
      <w:r w:rsidRPr="000B7475">
        <w:rPr>
          <w:rFonts w:asciiTheme="minorHAnsi" w:hAnsiTheme="minorHAnsi" w:cstheme="majorHAnsi"/>
          <w:color w:val="1E293B"/>
          <w:sz w:val="20"/>
        </w:rPr>
        <w:t xml:space="preserve">Pfau SJ, Silberman RE, Knouse KA, et al. Aneuploidy impairs hematopoietic stem cell fitness and is selected against in regenerating tissues in vivo. Genes Dev. 2016;30(12):1395-1408. </w:t>
      </w:r>
      <w:hyperlink r:id="rId94">
        <w:r w:rsidRPr="000B7475">
          <w:rPr>
            <w:rFonts w:asciiTheme="minorHAnsi" w:hAnsiTheme="minorHAnsi" w:cstheme="majorHAnsi"/>
            <w:color w:val="1D4ED8"/>
            <w:sz w:val="20"/>
            <w:szCs w:val="20"/>
            <w:u w:val="single"/>
          </w:rPr>
          <w:t>PMID: 27313317</w:t>
        </w:r>
      </w:hyperlink>
      <w:r w:rsidRPr="000B7475">
        <w:rPr>
          <w:rFonts w:asciiTheme="minorHAnsi" w:hAnsiTheme="minorHAnsi" w:cstheme="majorHAnsi"/>
          <w:color w:val="1E293B"/>
          <w:sz w:val="20"/>
        </w:rPr>
        <w:t>.</w:t>
      </w:r>
    </w:p>
    <w:p w14:paraId="334EF27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84. </w:t>
      </w:r>
      <w:r w:rsidRPr="000B7475">
        <w:rPr>
          <w:rFonts w:asciiTheme="minorHAnsi" w:hAnsiTheme="minorHAnsi" w:cstheme="majorHAnsi"/>
          <w:color w:val="1E293B"/>
          <w:sz w:val="20"/>
        </w:rPr>
        <w:t xml:space="preserve">Weaver RL, </w:t>
      </w:r>
      <w:proofErr w:type="spellStart"/>
      <w:r w:rsidRPr="000B7475">
        <w:rPr>
          <w:rFonts w:asciiTheme="minorHAnsi" w:hAnsiTheme="minorHAnsi" w:cstheme="majorHAnsi"/>
          <w:color w:val="1E293B"/>
          <w:sz w:val="20"/>
        </w:rPr>
        <w:t>Limzerwala</w:t>
      </w:r>
      <w:proofErr w:type="spellEnd"/>
      <w:r w:rsidRPr="000B7475">
        <w:rPr>
          <w:rFonts w:asciiTheme="minorHAnsi" w:hAnsiTheme="minorHAnsi" w:cstheme="majorHAnsi"/>
          <w:color w:val="1E293B"/>
          <w:sz w:val="20"/>
        </w:rPr>
        <w:t xml:space="preserve"> JF, Naylor RM, et al. BubR1 alterations that reinforce mitotic surveillance act against aneuploidy and cancer. </w:t>
      </w:r>
      <w:proofErr w:type="spellStart"/>
      <w:r w:rsidRPr="000B7475">
        <w:rPr>
          <w:rFonts w:asciiTheme="minorHAnsi" w:hAnsiTheme="minorHAnsi" w:cstheme="majorHAnsi"/>
          <w:color w:val="1E293B"/>
          <w:sz w:val="20"/>
        </w:rPr>
        <w:t>eLife</w:t>
      </w:r>
      <w:proofErr w:type="spellEnd"/>
      <w:r w:rsidRPr="000B7475">
        <w:rPr>
          <w:rFonts w:asciiTheme="minorHAnsi" w:hAnsiTheme="minorHAnsi" w:cstheme="majorHAnsi"/>
          <w:color w:val="1E293B"/>
          <w:sz w:val="20"/>
        </w:rPr>
        <w:t>. 2016;</w:t>
      </w:r>
      <w:proofErr w:type="gramStart"/>
      <w:r w:rsidRPr="000B7475">
        <w:rPr>
          <w:rFonts w:asciiTheme="minorHAnsi" w:hAnsiTheme="minorHAnsi" w:cstheme="majorHAnsi"/>
          <w:color w:val="1E293B"/>
          <w:sz w:val="20"/>
        </w:rPr>
        <w:t>5:e</w:t>
      </w:r>
      <w:proofErr w:type="gramEnd"/>
      <w:r w:rsidRPr="000B7475">
        <w:rPr>
          <w:rFonts w:asciiTheme="minorHAnsi" w:hAnsiTheme="minorHAnsi" w:cstheme="majorHAnsi"/>
          <w:color w:val="1E293B"/>
          <w:sz w:val="20"/>
        </w:rPr>
        <w:t xml:space="preserve">16620. </w:t>
      </w:r>
      <w:hyperlink r:id="rId95">
        <w:r w:rsidRPr="000B7475">
          <w:rPr>
            <w:rFonts w:asciiTheme="minorHAnsi" w:hAnsiTheme="minorHAnsi" w:cstheme="majorHAnsi"/>
            <w:color w:val="1D4ED8"/>
            <w:sz w:val="20"/>
            <w:szCs w:val="20"/>
            <w:u w:val="single"/>
          </w:rPr>
          <w:t>PMID: 27528194</w:t>
        </w:r>
      </w:hyperlink>
      <w:r w:rsidRPr="000B7475">
        <w:rPr>
          <w:rFonts w:asciiTheme="minorHAnsi" w:hAnsiTheme="minorHAnsi" w:cstheme="majorHAnsi"/>
          <w:color w:val="1E293B"/>
          <w:sz w:val="20"/>
        </w:rPr>
        <w:t>.</w:t>
      </w:r>
    </w:p>
    <w:p w14:paraId="76B914D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lastRenderedPageBreak/>
        <w:t xml:space="preserve">85. </w:t>
      </w:r>
      <w:r w:rsidRPr="000B7475">
        <w:rPr>
          <w:rFonts w:asciiTheme="minorHAnsi" w:hAnsiTheme="minorHAnsi" w:cstheme="majorHAnsi"/>
          <w:color w:val="1E293B"/>
          <w:sz w:val="20"/>
        </w:rPr>
        <w:t xml:space="preserve">Zhou H, Wang T, Zheng T, Teng J, Chen J. Cep57 is a Mis12-interacting kinetochore protein involved in kinetochore targeting of Mad1-Mad2. Nat Commun. </w:t>
      </w:r>
      <w:proofErr w:type="gramStart"/>
      <w:r w:rsidRPr="000B7475">
        <w:rPr>
          <w:rFonts w:asciiTheme="minorHAnsi" w:hAnsiTheme="minorHAnsi" w:cstheme="majorHAnsi"/>
          <w:color w:val="1E293B"/>
          <w:sz w:val="20"/>
        </w:rPr>
        <w:t>2016;7:10151</w:t>
      </w:r>
      <w:proofErr w:type="gramEnd"/>
      <w:r w:rsidRPr="000B7475">
        <w:rPr>
          <w:rFonts w:asciiTheme="minorHAnsi" w:hAnsiTheme="minorHAnsi" w:cstheme="majorHAnsi"/>
          <w:color w:val="1E293B"/>
          <w:sz w:val="20"/>
        </w:rPr>
        <w:t xml:space="preserve">. doi:10.1038/ncomms10151. </w:t>
      </w:r>
      <w:hyperlink r:id="rId96">
        <w:r w:rsidRPr="000B7475">
          <w:rPr>
            <w:rFonts w:asciiTheme="minorHAnsi" w:hAnsiTheme="minorHAnsi" w:cstheme="majorHAnsi"/>
            <w:color w:val="1D4ED8"/>
            <w:sz w:val="20"/>
            <w:szCs w:val="20"/>
            <w:u w:val="single"/>
          </w:rPr>
          <w:t>PMID: 26743940</w:t>
        </w:r>
      </w:hyperlink>
      <w:r w:rsidRPr="000B7475">
        <w:rPr>
          <w:rFonts w:asciiTheme="minorHAnsi" w:hAnsiTheme="minorHAnsi" w:cstheme="majorHAnsi"/>
          <w:color w:val="1E293B"/>
          <w:sz w:val="20"/>
        </w:rPr>
        <w:t>.</w:t>
      </w:r>
    </w:p>
    <w:p w14:paraId="3561C39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86. </w:t>
      </w:r>
      <w:r w:rsidRPr="000B7475">
        <w:rPr>
          <w:rFonts w:asciiTheme="minorHAnsi" w:hAnsiTheme="minorHAnsi" w:cstheme="majorHAnsi"/>
          <w:color w:val="1E293B"/>
          <w:sz w:val="20"/>
        </w:rPr>
        <w:t xml:space="preserve">Brulotte ML, Jeong BC, Li F, et al. Mechanistic insight into TRIP13-catalyzed Mad2 structural transition and spindle checkpoint silencing. Nat Commun. 2017;8(1):1956. </w:t>
      </w:r>
      <w:hyperlink r:id="rId97">
        <w:r w:rsidRPr="000B7475">
          <w:rPr>
            <w:rFonts w:asciiTheme="minorHAnsi" w:hAnsiTheme="minorHAnsi" w:cstheme="majorHAnsi"/>
            <w:color w:val="1D4ED8"/>
            <w:sz w:val="20"/>
            <w:szCs w:val="20"/>
            <w:u w:val="single"/>
          </w:rPr>
          <w:t>PMID: 29208896</w:t>
        </w:r>
      </w:hyperlink>
      <w:r w:rsidRPr="000B7475">
        <w:rPr>
          <w:rFonts w:asciiTheme="minorHAnsi" w:hAnsiTheme="minorHAnsi" w:cstheme="majorHAnsi"/>
          <w:color w:val="1E293B"/>
          <w:sz w:val="20"/>
        </w:rPr>
        <w:t>.</w:t>
      </w:r>
    </w:p>
    <w:p w14:paraId="0298598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87. </w:t>
      </w:r>
      <w:r w:rsidRPr="000B7475">
        <w:rPr>
          <w:rFonts w:asciiTheme="minorHAnsi" w:hAnsiTheme="minorHAnsi" w:cstheme="majorHAnsi"/>
          <w:color w:val="1E293B"/>
          <w:sz w:val="20"/>
        </w:rPr>
        <w:t xml:space="preserve">Chaker F, </w:t>
      </w:r>
      <w:proofErr w:type="spellStart"/>
      <w:r w:rsidRPr="000B7475">
        <w:rPr>
          <w:rFonts w:asciiTheme="minorHAnsi" w:hAnsiTheme="minorHAnsi" w:cstheme="majorHAnsi"/>
          <w:color w:val="1E293B"/>
          <w:sz w:val="20"/>
        </w:rPr>
        <w:t>Chihaoui</w:t>
      </w:r>
      <w:proofErr w:type="spellEnd"/>
      <w:r w:rsidRPr="000B7475">
        <w:rPr>
          <w:rFonts w:asciiTheme="minorHAnsi" w:hAnsiTheme="minorHAnsi" w:cstheme="majorHAnsi"/>
          <w:color w:val="1E293B"/>
          <w:sz w:val="20"/>
        </w:rPr>
        <w:t xml:space="preserve"> M, Yazidi M, Slimane H. Polycystic ovary syndrome: A new phenotype in mosaic variegated aneuploidy syndrome? Ann Endocrinol (Paris). 2017;78(1):62-64. </w:t>
      </w:r>
      <w:hyperlink r:id="rId98">
        <w:r w:rsidRPr="000B7475">
          <w:rPr>
            <w:rFonts w:asciiTheme="minorHAnsi" w:hAnsiTheme="minorHAnsi" w:cstheme="majorHAnsi"/>
            <w:color w:val="1D4ED8"/>
            <w:sz w:val="20"/>
            <w:szCs w:val="20"/>
            <w:u w:val="single"/>
          </w:rPr>
          <w:t>PMID: 27931980</w:t>
        </w:r>
      </w:hyperlink>
      <w:r w:rsidRPr="000B7475">
        <w:rPr>
          <w:rFonts w:asciiTheme="minorHAnsi" w:hAnsiTheme="minorHAnsi" w:cstheme="majorHAnsi"/>
          <w:color w:val="1E293B"/>
          <w:sz w:val="20"/>
        </w:rPr>
        <w:t>.</w:t>
      </w:r>
    </w:p>
    <w:p w14:paraId="29AF97A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88. </w:t>
      </w:r>
      <w:r w:rsidRPr="000B7475">
        <w:rPr>
          <w:rFonts w:asciiTheme="minorHAnsi" w:hAnsiTheme="minorHAnsi" w:cstheme="majorHAnsi"/>
          <w:color w:val="1E293B"/>
          <w:sz w:val="20"/>
        </w:rPr>
        <w:t xml:space="preserve">Kato M, Kato T, </w:t>
      </w:r>
      <w:proofErr w:type="spellStart"/>
      <w:r w:rsidRPr="000B7475">
        <w:rPr>
          <w:rFonts w:asciiTheme="minorHAnsi" w:hAnsiTheme="minorHAnsi" w:cstheme="majorHAnsi"/>
          <w:color w:val="1E293B"/>
          <w:sz w:val="20"/>
        </w:rPr>
        <w:t>Hosoba</w:t>
      </w:r>
      <w:proofErr w:type="spellEnd"/>
      <w:r w:rsidRPr="000B7475">
        <w:rPr>
          <w:rFonts w:asciiTheme="minorHAnsi" w:hAnsiTheme="minorHAnsi" w:cstheme="majorHAnsi"/>
          <w:color w:val="1E293B"/>
          <w:sz w:val="20"/>
        </w:rPr>
        <w:t xml:space="preserve"> E, et al. PCS/MVA syndrome caused by an Alu insertion in the BUB1B gene. Hum Genome Var. </w:t>
      </w:r>
      <w:proofErr w:type="gramStart"/>
      <w:r w:rsidRPr="000B7475">
        <w:rPr>
          <w:rFonts w:asciiTheme="minorHAnsi" w:hAnsiTheme="minorHAnsi" w:cstheme="majorHAnsi"/>
          <w:color w:val="1E293B"/>
          <w:sz w:val="20"/>
        </w:rPr>
        <w:t>2017;4:17021</w:t>
      </w:r>
      <w:proofErr w:type="gramEnd"/>
      <w:r w:rsidRPr="000B7475">
        <w:rPr>
          <w:rFonts w:asciiTheme="minorHAnsi" w:hAnsiTheme="minorHAnsi" w:cstheme="majorHAnsi"/>
          <w:color w:val="1E293B"/>
          <w:sz w:val="20"/>
        </w:rPr>
        <w:t xml:space="preserve">. </w:t>
      </w:r>
      <w:hyperlink r:id="rId99">
        <w:r w:rsidRPr="000B7475">
          <w:rPr>
            <w:rFonts w:asciiTheme="minorHAnsi" w:hAnsiTheme="minorHAnsi" w:cstheme="majorHAnsi"/>
            <w:color w:val="1D4ED8"/>
            <w:sz w:val="20"/>
            <w:szCs w:val="20"/>
            <w:u w:val="single"/>
          </w:rPr>
          <w:t>PMID: 28611924</w:t>
        </w:r>
      </w:hyperlink>
      <w:r w:rsidRPr="000B7475">
        <w:rPr>
          <w:rFonts w:asciiTheme="minorHAnsi" w:hAnsiTheme="minorHAnsi" w:cstheme="majorHAnsi"/>
          <w:color w:val="1E293B"/>
          <w:sz w:val="20"/>
        </w:rPr>
        <w:t>.</w:t>
      </w:r>
    </w:p>
    <w:p w14:paraId="505A25C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89. </w:t>
      </w:r>
      <w:r w:rsidRPr="000B7475">
        <w:rPr>
          <w:rFonts w:asciiTheme="minorHAnsi" w:hAnsiTheme="minorHAnsi" w:cstheme="majorHAnsi"/>
          <w:color w:val="1E293B"/>
          <w:sz w:val="20"/>
        </w:rPr>
        <w:t xml:space="preserve">Yang Z, Jun H, Choi CI, et al. Age-related decline in BubR1 impairs adult hippocampal neurogenesis. Aging Cell. 2017;16(3):598-601. </w:t>
      </w:r>
      <w:hyperlink r:id="rId100">
        <w:r w:rsidRPr="000B7475">
          <w:rPr>
            <w:rFonts w:asciiTheme="minorHAnsi" w:hAnsiTheme="minorHAnsi" w:cstheme="majorHAnsi"/>
            <w:color w:val="1D4ED8"/>
            <w:sz w:val="20"/>
            <w:szCs w:val="20"/>
            <w:u w:val="single"/>
          </w:rPr>
          <w:t>PMID: 28383136</w:t>
        </w:r>
      </w:hyperlink>
      <w:r w:rsidRPr="000B7475">
        <w:rPr>
          <w:rFonts w:asciiTheme="minorHAnsi" w:hAnsiTheme="minorHAnsi" w:cstheme="majorHAnsi"/>
          <w:color w:val="1E293B"/>
          <w:sz w:val="20"/>
        </w:rPr>
        <w:t>.</w:t>
      </w:r>
    </w:p>
    <w:p w14:paraId="2D675B85"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90. </w:t>
      </w:r>
      <w:r w:rsidRPr="000B7475">
        <w:rPr>
          <w:rFonts w:asciiTheme="minorHAnsi" w:hAnsiTheme="minorHAnsi" w:cstheme="majorHAnsi"/>
          <w:color w:val="1E293B"/>
          <w:sz w:val="20"/>
        </w:rPr>
        <w:t xml:space="preserve">Alfieri C, Chang L, Barford D. Mechanism for </w:t>
      </w:r>
      <w:proofErr w:type="spellStart"/>
      <w:r w:rsidRPr="000B7475">
        <w:rPr>
          <w:rFonts w:asciiTheme="minorHAnsi" w:hAnsiTheme="minorHAnsi" w:cstheme="majorHAnsi"/>
          <w:color w:val="1E293B"/>
          <w:sz w:val="20"/>
        </w:rPr>
        <w:t>remodelling</w:t>
      </w:r>
      <w:proofErr w:type="spellEnd"/>
      <w:r w:rsidRPr="000B7475">
        <w:rPr>
          <w:rFonts w:asciiTheme="minorHAnsi" w:hAnsiTheme="minorHAnsi" w:cstheme="majorHAnsi"/>
          <w:color w:val="1E293B"/>
          <w:sz w:val="20"/>
        </w:rPr>
        <w:t xml:space="preserve"> of the cell cycle checkpoint protein MAD2 by the ATPase TRIP13. Nature. 2018;559(7713):274-278. doi:10.1038/s41586-018-0281-1. </w:t>
      </w:r>
      <w:hyperlink r:id="rId101">
        <w:r w:rsidRPr="000B7475">
          <w:rPr>
            <w:rFonts w:asciiTheme="minorHAnsi" w:hAnsiTheme="minorHAnsi" w:cstheme="majorHAnsi"/>
            <w:color w:val="1D4ED8"/>
            <w:sz w:val="20"/>
            <w:szCs w:val="20"/>
            <w:u w:val="single"/>
          </w:rPr>
          <w:t>PMID: 29973720</w:t>
        </w:r>
      </w:hyperlink>
      <w:r w:rsidRPr="000B7475">
        <w:rPr>
          <w:rFonts w:asciiTheme="minorHAnsi" w:hAnsiTheme="minorHAnsi" w:cstheme="majorHAnsi"/>
          <w:color w:val="1E293B"/>
          <w:sz w:val="20"/>
        </w:rPr>
        <w:t>.</w:t>
      </w:r>
    </w:p>
    <w:p w14:paraId="712EC13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91. </w:t>
      </w:r>
      <w:r w:rsidRPr="000B7475">
        <w:rPr>
          <w:rFonts w:asciiTheme="minorHAnsi" w:hAnsiTheme="minorHAnsi" w:cstheme="majorHAnsi"/>
          <w:color w:val="1E293B"/>
          <w:sz w:val="20"/>
        </w:rPr>
        <w:t xml:space="preserve">Ayaz A, </w:t>
      </w:r>
      <w:proofErr w:type="spellStart"/>
      <w:r w:rsidRPr="000B7475">
        <w:rPr>
          <w:rFonts w:asciiTheme="minorHAnsi" w:hAnsiTheme="minorHAnsi" w:cstheme="majorHAnsi"/>
          <w:color w:val="1E293B"/>
          <w:sz w:val="20"/>
        </w:rPr>
        <w:t>Topak</w:t>
      </w:r>
      <w:proofErr w:type="spellEnd"/>
      <w:r w:rsidRPr="000B7475">
        <w:rPr>
          <w:rFonts w:asciiTheme="minorHAnsi" w:hAnsiTheme="minorHAnsi" w:cstheme="majorHAnsi"/>
          <w:color w:val="1E293B"/>
          <w:sz w:val="20"/>
        </w:rPr>
        <w:t xml:space="preserve"> A, </w:t>
      </w:r>
      <w:proofErr w:type="spellStart"/>
      <w:r w:rsidRPr="000B7475">
        <w:rPr>
          <w:rFonts w:asciiTheme="minorHAnsi" w:hAnsiTheme="minorHAnsi" w:cstheme="majorHAnsi"/>
          <w:color w:val="1E293B"/>
          <w:sz w:val="20"/>
        </w:rPr>
        <w:t>Yalcintepe</w:t>
      </w:r>
      <w:proofErr w:type="spellEnd"/>
      <w:r w:rsidRPr="000B7475">
        <w:rPr>
          <w:rFonts w:asciiTheme="minorHAnsi" w:hAnsiTheme="minorHAnsi" w:cstheme="majorHAnsi"/>
          <w:color w:val="1E293B"/>
          <w:sz w:val="20"/>
        </w:rPr>
        <w:t xml:space="preserve"> S, Celik T, </w:t>
      </w:r>
      <w:proofErr w:type="spellStart"/>
      <w:r w:rsidRPr="000B7475">
        <w:rPr>
          <w:rFonts w:asciiTheme="minorHAnsi" w:hAnsiTheme="minorHAnsi" w:cstheme="majorHAnsi"/>
          <w:color w:val="1E293B"/>
          <w:sz w:val="20"/>
        </w:rPr>
        <w:t>Yararbas</w:t>
      </w:r>
      <w:proofErr w:type="spellEnd"/>
      <w:r w:rsidRPr="000B7475">
        <w:rPr>
          <w:rFonts w:asciiTheme="minorHAnsi" w:hAnsiTheme="minorHAnsi" w:cstheme="majorHAnsi"/>
          <w:color w:val="1E293B"/>
          <w:sz w:val="20"/>
        </w:rPr>
        <w:t xml:space="preserve"> K, Eser M, et al. A case with isochromosome 18p and 2q13 deletion including the BUB1 gene. Clin </w:t>
      </w:r>
      <w:proofErr w:type="spellStart"/>
      <w:r w:rsidRPr="000B7475">
        <w:rPr>
          <w:rFonts w:asciiTheme="minorHAnsi" w:hAnsiTheme="minorHAnsi" w:cstheme="majorHAnsi"/>
          <w:color w:val="1E293B"/>
          <w:sz w:val="20"/>
        </w:rPr>
        <w:t>Dysmorphol</w:t>
      </w:r>
      <w:proofErr w:type="spellEnd"/>
      <w:r w:rsidRPr="000B7475">
        <w:rPr>
          <w:rFonts w:asciiTheme="minorHAnsi" w:hAnsiTheme="minorHAnsi" w:cstheme="majorHAnsi"/>
          <w:color w:val="1E293B"/>
          <w:sz w:val="20"/>
        </w:rPr>
        <w:t xml:space="preserve">. 2018;27(3):101-104. doi:10.1097/MCD.0000000000000227. </w:t>
      </w:r>
      <w:hyperlink r:id="rId102">
        <w:r w:rsidRPr="000B7475">
          <w:rPr>
            <w:rFonts w:asciiTheme="minorHAnsi" w:hAnsiTheme="minorHAnsi" w:cstheme="majorHAnsi"/>
            <w:color w:val="1D4ED8"/>
            <w:sz w:val="20"/>
            <w:szCs w:val="20"/>
            <w:u w:val="single"/>
          </w:rPr>
          <w:t>PMID: 29738339</w:t>
        </w:r>
      </w:hyperlink>
      <w:r w:rsidRPr="000B7475">
        <w:rPr>
          <w:rFonts w:asciiTheme="minorHAnsi" w:hAnsiTheme="minorHAnsi" w:cstheme="majorHAnsi"/>
          <w:color w:val="1E293B"/>
          <w:sz w:val="20"/>
        </w:rPr>
        <w:t>.</w:t>
      </w:r>
    </w:p>
    <w:p w14:paraId="29B6B11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92. </w:t>
      </w:r>
      <w:r w:rsidRPr="000B7475">
        <w:rPr>
          <w:rFonts w:asciiTheme="minorHAnsi" w:hAnsiTheme="minorHAnsi" w:cstheme="majorHAnsi"/>
          <w:color w:val="1E293B"/>
          <w:sz w:val="20"/>
        </w:rPr>
        <w:t xml:space="preserve">Aziz K, Sieben CJ, Jeganathan KB, et al. Mosaic-variegated aneuploidy syndrome mutation or haploinsufficiency in Cep57 impairs tumor suppression. J Clin Invest. 2018;128(8):3517-3534. </w:t>
      </w:r>
      <w:hyperlink r:id="rId103">
        <w:r w:rsidRPr="000B7475">
          <w:rPr>
            <w:rFonts w:asciiTheme="minorHAnsi" w:hAnsiTheme="minorHAnsi" w:cstheme="majorHAnsi"/>
            <w:color w:val="1D4ED8"/>
            <w:sz w:val="20"/>
            <w:szCs w:val="20"/>
            <w:u w:val="single"/>
          </w:rPr>
          <w:t>PMID: 30035751</w:t>
        </w:r>
      </w:hyperlink>
      <w:r w:rsidRPr="000B7475">
        <w:rPr>
          <w:rFonts w:asciiTheme="minorHAnsi" w:hAnsiTheme="minorHAnsi" w:cstheme="majorHAnsi"/>
          <w:color w:val="1E293B"/>
          <w:sz w:val="20"/>
        </w:rPr>
        <w:t>.</w:t>
      </w:r>
    </w:p>
    <w:p w14:paraId="60B4D164"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93. </w:t>
      </w:r>
      <w:r w:rsidRPr="000B7475">
        <w:rPr>
          <w:rFonts w:asciiTheme="minorHAnsi" w:hAnsiTheme="minorHAnsi" w:cstheme="majorHAnsi"/>
          <w:color w:val="1E293B"/>
          <w:sz w:val="20"/>
        </w:rPr>
        <w:t xml:space="preserve">Brightman DS, Ejaz S, Dauber A. Mosaic variegated aneuploidy syndrome caused by a CEP57 mutation diagnosed by whole exome sequencing. Clin Case Rep. 2018;6(8):1531-1534. </w:t>
      </w:r>
      <w:hyperlink r:id="rId104">
        <w:r w:rsidRPr="000B7475">
          <w:rPr>
            <w:rFonts w:asciiTheme="minorHAnsi" w:hAnsiTheme="minorHAnsi" w:cstheme="majorHAnsi"/>
            <w:color w:val="1D4ED8"/>
            <w:sz w:val="20"/>
            <w:szCs w:val="20"/>
            <w:u w:val="single"/>
          </w:rPr>
          <w:t>PMID: 30147898</w:t>
        </w:r>
      </w:hyperlink>
      <w:r w:rsidRPr="000B7475">
        <w:rPr>
          <w:rFonts w:asciiTheme="minorHAnsi" w:hAnsiTheme="minorHAnsi" w:cstheme="majorHAnsi"/>
          <w:color w:val="1E293B"/>
          <w:sz w:val="20"/>
        </w:rPr>
        <w:t>.</w:t>
      </w:r>
    </w:p>
    <w:p w14:paraId="13D1C3D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94. </w:t>
      </w:r>
      <w:proofErr w:type="spellStart"/>
      <w:r w:rsidRPr="000B7475">
        <w:rPr>
          <w:rFonts w:asciiTheme="minorHAnsi" w:hAnsiTheme="minorHAnsi" w:cstheme="majorHAnsi"/>
          <w:color w:val="1E293B"/>
          <w:sz w:val="20"/>
        </w:rPr>
        <w:t>Ciossani</w:t>
      </w:r>
      <w:proofErr w:type="spellEnd"/>
      <w:r w:rsidRPr="000B7475">
        <w:rPr>
          <w:rFonts w:asciiTheme="minorHAnsi" w:hAnsiTheme="minorHAnsi" w:cstheme="majorHAnsi"/>
          <w:color w:val="1E293B"/>
          <w:sz w:val="20"/>
        </w:rPr>
        <w:t xml:space="preserve"> G, </w:t>
      </w:r>
      <w:proofErr w:type="spellStart"/>
      <w:r w:rsidRPr="000B7475">
        <w:rPr>
          <w:rFonts w:asciiTheme="minorHAnsi" w:hAnsiTheme="minorHAnsi" w:cstheme="majorHAnsi"/>
          <w:color w:val="1E293B"/>
          <w:sz w:val="20"/>
        </w:rPr>
        <w:t>Overlack</w:t>
      </w:r>
      <w:proofErr w:type="spellEnd"/>
      <w:r w:rsidRPr="000B7475">
        <w:rPr>
          <w:rFonts w:asciiTheme="minorHAnsi" w:hAnsiTheme="minorHAnsi" w:cstheme="majorHAnsi"/>
          <w:color w:val="1E293B"/>
          <w:sz w:val="20"/>
        </w:rPr>
        <w:t xml:space="preserve"> K, Petrovic A, Huis In 't Veld PJ, Koerner C, Wohlgemuth S, et al. The kinetochore proteins CENP-E and CENP-F directly and specifically interact with distinct BUBR1 paralogs. J Biol Chem. 2018;293(26):10084-10101. doi:10.1074/jbc.RA118.003154. </w:t>
      </w:r>
      <w:hyperlink r:id="rId105">
        <w:r w:rsidRPr="000B7475">
          <w:rPr>
            <w:rFonts w:asciiTheme="minorHAnsi" w:hAnsiTheme="minorHAnsi" w:cstheme="majorHAnsi"/>
            <w:color w:val="1D4ED8"/>
            <w:sz w:val="20"/>
            <w:szCs w:val="20"/>
            <w:u w:val="single"/>
          </w:rPr>
          <w:t>PMID: 29748388</w:t>
        </w:r>
      </w:hyperlink>
      <w:r w:rsidRPr="000B7475">
        <w:rPr>
          <w:rFonts w:asciiTheme="minorHAnsi" w:hAnsiTheme="minorHAnsi" w:cstheme="majorHAnsi"/>
          <w:color w:val="1E293B"/>
          <w:sz w:val="20"/>
        </w:rPr>
        <w:t>.</w:t>
      </w:r>
    </w:p>
    <w:p w14:paraId="7152F920"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95. </w:t>
      </w:r>
      <w:r w:rsidRPr="000B7475">
        <w:rPr>
          <w:rFonts w:asciiTheme="minorHAnsi" w:hAnsiTheme="minorHAnsi" w:cstheme="majorHAnsi"/>
          <w:color w:val="1E293B"/>
          <w:sz w:val="20"/>
        </w:rPr>
        <w:t xml:space="preserve">He T, Cui D, Huang Y, et al. [Clinical features and genetic analysis of a child with mosaic variegated aneuploidy syndrome]. Zhonghua Yi Xue Yi Chuan Xue Za Zhi. 2018;35(6):839-842. </w:t>
      </w:r>
      <w:hyperlink r:id="rId106">
        <w:r w:rsidRPr="000B7475">
          <w:rPr>
            <w:rFonts w:asciiTheme="minorHAnsi" w:hAnsiTheme="minorHAnsi" w:cstheme="majorHAnsi"/>
            <w:color w:val="1D4ED8"/>
            <w:sz w:val="20"/>
            <w:szCs w:val="20"/>
            <w:u w:val="single"/>
          </w:rPr>
          <w:t>PMID: 30512160</w:t>
        </w:r>
      </w:hyperlink>
      <w:r w:rsidRPr="000B7475">
        <w:rPr>
          <w:rFonts w:asciiTheme="minorHAnsi" w:hAnsiTheme="minorHAnsi" w:cstheme="majorHAnsi"/>
          <w:color w:val="1E293B"/>
          <w:sz w:val="20"/>
        </w:rPr>
        <w:t>.</w:t>
      </w:r>
    </w:p>
    <w:p w14:paraId="172C41A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96. </w:t>
      </w:r>
      <w:r w:rsidRPr="000B7475">
        <w:rPr>
          <w:rFonts w:asciiTheme="minorHAnsi" w:hAnsiTheme="minorHAnsi" w:cstheme="majorHAnsi"/>
          <w:color w:val="1E293B"/>
          <w:sz w:val="20"/>
        </w:rPr>
        <w:t xml:space="preserve">Ma HT, Poon RYC. TRIP13 functions in the establishment of the spindle assembly checkpoint by replenishing O-MAD2. Cell Rep. 2018;22(6):1439-1450. </w:t>
      </w:r>
      <w:proofErr w:type="gramStart"/>
      <w:r w:rsidRPr="000B7475">
        <w:rPr>
          <w:rFonts w:asciiTheme="minorHAnsi" w:hAnsiTheme="minorHAnsi" w:cstheme="majorHAnsi"/>
          <w:color w:val="1E293B"/>
          <w:sz w:val="20"/>
        </w:rPr>
        <w:t>doi:10.1016/j.celrep</w:t>
      </w:r>
      <w:proofErr w:type="gramEnd"/>
      <w:r w:rsidRPr="000B7475">
        <w:rPr>
          <w:rFonts w:asciiTheme="minorHAnsi" w:hAnsiTheme="minorHAnsi" w:cstheme="majorHAnsi"/>
          <w:color w:val="1E293B"/>
          <w:sz w:val="20"/>
        </w:rPr>
        <w:t xml:space="preserve">.2018.01.027. </w:t>
      </w:r>
      <w:hyperlink r:id="rId107">
        <w:r w:rsidRPr="000B7475">
          <w:rPr>
            <w:rFonts w:asciiTheme="minorHAnsi" w:hAnsiTheme="minorHAnsi" w:cstheme="majorHAnsi"/>
            <w:color w:val="1D4ED8"/>
            <w:sz w:val="20"/>
            <w:szCs w:val="20"/>
            <w:u w:val="single"/>
          </w:rPr>
          <w:t>PMID: 29425500</w:t>
        </w:r>
      </w:hyperlink>
      <w:r w:rsidRPr="000B7475">
        <w:rPr>
          <w:rFonts w:asciiTheme="minorHAnsi" w:hAnsiTheme="minorHAnsi" w:cstheme="majorHAnsi"/>
          <w:color w:val="1E293B"/>
          <w:sz w:val="20"/>
        </w:rPr>
        <w:t>.</w:t>
      </w:r>
    </w:p>
    <w:p w14:paraId="17DF756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97. </w:t>
      </w:r>
      <w:r w:rsidRPr="000B7475">
        <w:rPr>
          <w:rFonts w:asciiTheme="minorHAnsi" w:hAnsiTheme="minorHAnsi" w:cstheme="majorHAnsi"/>
          <w:color w:val="1E293B"/>
          <w:sz w:val="20"/>
        </w:rPr>
        <w:t xml:space="preserve">Yamaguchi T, Yamaguchi M, Akeno K, et al. Prenatal diagnosis of premature chromatid separation/mosaic variegated aneuploidy (PCS/MVA) syndrome. J </w:t>
      </w:r>
      <w:proofErr w:type="spellStart"/>
      <w:r w:rsidRPr="000B7475">
        <w:rPr>
          <w:rFonts w:asciiTheme="minorHAnsi" w:hAnsiTheme="minorHAnsi" w:cstheme="majorHAnsi"/>
          <w:color w:val="1E293B"/>
          <w:sz w:val="20"/>
        </w:rPr>
        <w:t>Obstet</w:t>
      </w:r>
      <w:proofErr w:type="spellEnd"/>
      <w:r w:rsidRPr="000B7475">
        <w:rPr>
          <w:rFonts w:asciiTheme="minorHAnsi" w:hAnsiTheme="minorHAnsi" w:cstheme="majorHAnsi"/>
          <w:color w:val="1E293B"/>
          <w:sz w:val="20"/>
        </w:rPr>
        <w:t xml:space="preserve"> </w:t>
      </w:r>
      <w:proofErr w:type="spellStart"/>
      <w:r w:rsidRPr="000B7475">
        <w:rPr>
          <w:rFonts w:asciiTheme="minorHAnsi" w:hAnsiTheme="minorHAnsi" w:cstheme="majorHAnsi"/>
          <w:color w:val="1E293B"/>
          <w:sz w:val="20"/>
        </w:rPr>
        <w:t>Gynaecol</w:t>
      </w:r>
      <w:proofErr w:type="spellEnd"/>
      <w:r w:rsidRPr="000B7475">
        <w:rPr>
          <w:rFonts w:asciiTheme="minorHAnsi" w:hAnsiTheme="minorHAnsi" w:cstheme="majorHAnsi"/>
          <w:color w:val="1E293B"/>
          <w:sz w:val="20"/>
        </w:rPr>
        <w:t xml:space="preserve"> Res. 2018;44(7):1313-1317. </w:t>
      </w:r>
      <w:hyperlink r:id="rId108">
        <w:r w:rsidRPr="000B7475">
          <w:rPr>
            <w:rFonts w:asciiTheme="minorHAnsi" w:hAnsiTheme="minorHAnsi" w:cstheme="majorHAnsi"/>
            <w:color w:val="1D4ED8"/>
            <w:sz w:val="20"/>
            <w:szCs w:val="20"/>
            <w:u w:val="single"/>
          </w:rPr>
          <w:t>PMID: 29673003</w:t>
        </w:r>
      </w:hyperlink>
      <w:r w:rsidRPr="000B7475">
        <w:rPr>
          <w:rFonts w:asciiTheme="minorHAnsi" w:hAnsiTheme="minorHAnsi" w:cstheme="majorHAnsi"/>
          <w:color w:val="1E293B"/>
          <w:sz w:val="20"/>
        </w:rPr>
        <w:t>.</w:t>
      </w:r>
    </w:p>
    <w:p w14:paraId="72A843D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98. </w:t>
      </w:r>
      <w:r w:rsidRPr="000B7475">
        <w:rPr>
          <w:rFonts w:asciiTheme="minorHAnsi" w:hAnsiTheme="minorHAnsi" w:cstheme="majorHAnsi"/>
          <w:color w:val="1E293B"/>
          <w:sz w:val="20"/>
        </w:rPr>
        <w:t xml:space="preserve">De la Torre-García O, Mar-Aldama R, Salgado-Sangri R, et al. A homozygous CEP57 c.915_925dupCAATGTTCAGC mutation in a patient with mosaic variegated aneuploidy syndrome with </w:t>
      </w:r>
      <w:proofErr w:type="spellStart"/>
      <w:r w:rsidRPr="000B7475">
        <w:rPr>
          <w:rFonts w:asciiTheme="minorHAnsi" w:hAnsiTheme="minorHAnsi" w:cstheme="majorHAnsi"/>
          <w:color w:val="1E293B"/>
          <w:sz w:val="20"/>
        </w:rPr>
        <w:t>rhizomelic</w:t>
      </w:r>
      <w:proofErr w:type="spellEnd"/>
      <w:r w:rsidRPr="000B7475">
        <w:rPr>
          <w:rFonts w:asciiTheme="minorHAnsi" w:hAnsiTheme="minorHAnsi" w:cstheme="majorHAnsi"/>
          <w:color w:val="1E293B"/>
          <w:sz w:val="20"/>
        </w:rPr>
        <w:t xml:space="preserve"> shortening in the upper and lower limbs and a narrow thorax. </w:t>
      </w:r>
      <w:proofErr w:type="spellStart"/>
      <w:r w:rsidRPr="000B7475">
        <w:rPr>
          <w:rFonts w:asciiTheme="minorHAnsi" w:hAnsiTheme="minorHAnsi" w:cstheme="majorHAnsi"/>
          <w:color w:val="1E293B"/>
          <w:sz w:val="20"/>
        </w:rPr>
        <w:t>Eur</w:t>
      </w:r>
      <w:proofErr w:type="spellEnd"/>
      <w:r w:rsidRPr="000B7475">
        <w:rPr>
          <w:rFonts w:asciiTheme="minorHAnsi" w:hAnsiTheme="minorHAnsi" w:cstheme="majorHAnsi"/>
          <w:color w:val="1E293B"/>
          <w:sz w:val="20"/>
        </w:rPr>
        <w:t xml:space="preserve"> J Med Genet. 2019;62(3):195-197. </w:t>
      </w:r>
      <w:hyperlink r:id="rId109">
        <w:r w:rsidRPr="000B7475">
          <w:rPr>
            <w:rFonts w:asciiTheme="minorHAnsi" w:hAnsiTheme="minorHAnsi" w:cstheme="majorHAnsi"/>
            <w:color w:val="1D4ED8"/>
            <w:sz w:val="20"/>
            <w:szCs w:val="20"/>
            <w:u w:val="single"/>
          </w:rPr>
          <w:t>PMID: 30010053</w:t>
        </w:r>
      </w:hyperlink>
      <w:r w:rsidRPr="000B7475">
        <w:rPr>
          <w:rFonts w:asciiTheme="minorHAnsi" w:hAnsiTheme="minorHAnsi" w:cstheme="majorHAnsi"/>
          <w:color w:val="1E293B"/>
          <w:sz w:val="20"/>
        </w:rPr>
        <w:t>.</w:t>
      </w:r>
    </w:p>
    <w:p w14:paraId="3C4065C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99. </w:t>
      </w:r>
      <w:proofErr w:type="spellStart"/>
      <w:r w:rsidRPr="000B7475">
        <w:rPr>
          <w:rFonts w:asciiTheme="minorHAnsi" w:hAnsiTheme="minorHAnsi" w:cstheme="majorHAnsi"/>
          <w:color w:val="1E293B"/>
          <w:sz w:val="20"/>
        </w:rPr>
        <w:t>Laberko</w:t>
      </w:r>
      <w:proofErr w:type="spellEnd"/>
      <w:r w:rsidRPr="000B7475">
        <w:rPr>
          <w:rFonts w:asciiTheme="minorHAnsi" w:hAnsiTheme="minorHAnsi" w:cstheme="majorHAnsi"/>
          <w:color w:val="1E293B"/>
          <w:sz w:val="20"/>
        </w:rPr>
        <w:t xml:space="preserve"> A, Balashov D, </w:t>
      </w:r>
      <w:proofErr w:type="spellStart"/>
      <w:r w:rsidRPr="000B7475">
        <w:rPr>
          <w:rFonts w:asciiTheme="minorHAnsi" w:hAnsiTheme="minorHAnsi" w:cstheme="majorHAnsi"/>
          <w:color w:val="1E293B"/>
          <w:sz w:val="20"/>
        </w:rPr>
        <w:t>Deripapa</w:t>
      </w:r>
      <w:proofErr w:type="spellEnd"/>
      <w:r w:rsidRPr="000B7475">
        <w:rPr>
          <w:rFonts w:asciiTheme="minorHAnsi" w:hAnsiTheme="minorHAnsi" w:cstheme="majorHAnsi"/>
          <w:color w:val="1E293B"/>
          <w:sz w:val="20"/>
        </w:rPr>
        <w:t xml:space="preserve"> E, et al. Hematopoietic stem cell transplantation in a patient with type 1 mosaic variegated aneuploidy syndrome. Orphanet J Rare Dis. 2019;14(1):97. </w:t>
      </w:r>
      <w:hyperlink r:id="rId110">
        <w:r w:rsidRPr="000B7475">
          <w:rPr>
            <w:rFonts w:asciiTheme="minorHAnsi" w:hAnsiTheme="minorHAnsi" w:cstheme="majorHAnsi"/>
            <w:color w:val="1D4ED8"/>
            <w:sz w:val="20"/>
            <w:szCs w:val="20"/>
            <w:u w:val="single"/>
          </w:rPr>
          <w:t>PMID: 31053147</w:t>
        </w:r>
      </w:hyperlink>
      <w:r w:rsidRPr="000B7475">
        <w:rPr>
          <w:rFonts w:asciiTheme="minorHAnsi" w:hAnsiTheme="minorHAnsi" w:cstheme="majorHAnsi"/>
          <w:color w:val="1E293B"/>
          <w:sz w:val="20"/>
        </w:rPr>
        <w:t>.</w:t>
      </w:r>
    </w:p>
    <w:p w14:paraId="0D8C695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100. </w:t>
      </w:r>
      <w:r w:rsidRPr="000B7475">
        <w:rPr>
          <w:rFonts w:asciiTheme="minorHAnsi" w:hAnsiTheme="minorHAnsi" w:cstheme="majorHAnsi"/>
          <w:color w:val="1E293B"/>
          <w:sz w:val="20"/>
        </w:rPr>
        <w:t xml:space="preserve">Nishitani-Isa M, </w:t>
      </w:r>
      <w:proofErr w:type="spellStart"/>
      <w:r w:rsidRPr="000B7475">
        <w:rPr>
          <w:rFonts w:asciiTheme="minorHAnsi" w:hAnsiTheme="minorHAnsi" w:cstheme="majorHAnsi"/>
          <w:color w:val="1E293B"/>
          <w:sz w:val="20"/>
        </w:rPr>
        <w:t>Hiraumi</w:t>
      </w:r>
      <w:proofErr w:type="spellEnd"/>
      <w:r w:rsidRPr="000B7475">
        <w:rPr>
          <w:rFonts w:asciiTheme="minorHAnsi" w:hAnsiTheme="minorHAnsi" w:cstheme="majorHAnsi"/>
          <w:color w:val="1E293B"/>
          <w:sz w:val="20"/>
        </w:rPr>
        <w:t xml:space="preserve"> Y, Nishida Y, et al. Rhabdomyosarcoma with premature chromatid separation-mosaic variegated aneuploidy syndrome: Reduced-intensity chemotherapy. </w:t>
      </w:r>
      <w:proofErr w:type="spellStart"/>
      <w:r w:rsidRPr="000B7475">
        <w:rPr>
          <w:rFonts w:asciiTheme="minorHAnsi" w:hAnsiTheme="minorHAnsi" w:cstheme="majorHAnsi"/>
          <w:color w:val="1E293B"/>
          <w:sz w:val="20"/>
        </w:rPr>
        <w:t>Pediatr</w:t>
      </w:r>
      <w:proofErr w:type="spellEnd"/>
      <w:r w:rsidRPr="000B7475">
        <w:rPr>
          <w:rFonts w:asciiTheme="minorHAnsi" w:hAnsiTheme="minorHAnsi" w:cstheme="majorHAnsi"/>
          <w:color w:val="1E293B"/>
          <w:sz w:val="20"/>
        </w:rPr>
        <w:t xml:space="preserve"> Int. 2019;61(6):604-605. </w:t>
      </w:r>
      <w:hyperlink r:id="rId111">
        <w:r w:rsidRPr="000B7475">
          <w:rPr>
            <w:rFonts w:asciiTheme="minorHAnsi" w:hAnsiTheme="minorHAnsi" w:cstheme="majorHAnsi"/>
            <w:color w:val="1D4ED8"/>
            <w:sz w:val="20"/>
            <w:szCs w:val="20"/>
            <w:u w:val="single"/>
          </w:rPr>
          <w:t>PMID: 31184400</w:t>
        </w:r>
      </w:hyperlink>
      <w:r w:rsidRPr="000B7475">
        <w:rPr>
          <w:rFonts w:asciiTheme="minorHAnsi" w:hAnsiTheme="minorHAnsi" w:cstheme="majorHAnsi"/>
          <w:color w:val="1E293B"/>
          <w:sz w:val="20"/>
        </w:rPr>
        <w:t>.</w:t>
      </w:r>
    </w:p>
    <w:p w14:paraId="5EB117D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101. </w:t>
      </w:r>
      <w:r w:rsidRPr="000B7475">
        <w:rPr>
          <w:rFonts w:asciiTheme="minorHAnsi" w:hAnsiTheme="minorHAnsi" w:cstheme="majorHAnsi"/>
          <w:color w:val="1E293B"/>
          <w:sz w:val="20"/>
        </w:rPr>
        <w:t xml:space="preserve">Ochiai K, Yamada A, Kimoto Y, et al. Long-term remission of bilateral Wilms tumors that developed from premature separation of chromatids/mosaic variegated aneuploidy syndrome due to bilateral nephrectomy and peritoneal dialysis. </w:t>
      </w:r>
      <w:proofErr w:type="spellStart"/>
      <w:r w:rsidRPr="000B7475">
        <w:rPr>
          <w:rFonts w:asciiTheme="minorHAnsi" w:hAnsiTheme="minorHAnsi" w:cstheme="majorHAnsi"/>
          <w:color w:val="1E293B"/>
          <w:sz w:val="20"/>
        </w:rPr>
        <w:t>Pediatr</w:t>
      </w:r>
      <w:proofErr w:type="spellEnd"/>
      <w:r w:rsidRPr="000B7475">
        <w:rPr>
          <w:rFonts w:asciiTheme="minorHAnsi" w:hAnsiTheme="minorHAnsi" w:cstheme="majorHAnsi"/>
          <w:color w:val="1E293B"/>
          <w:sz w:val="20"/>
        </w:rPr>
        <w:t xml:space="preserve"> Blood Cancer. 2019;66(8</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27804. </w:t>
      </w:r>
      <w:hyperlink r:id="rId112">
        <w:r w:rsidRPr="000B7475">
          <w:rPr>
            <w:rFonts w:asciiTheme="minorHAnsi" w:hAnsiTheme="minorHAnsi" w:cstheme="majorHAnsi"/>
            <w:color w:val="1D4ED8"/>
            <w:sz w:val="20"/>
            <w:szCs w:val="20"/>
            <w:u w:val="single"/>
          </w:rPr>
          <w:t>PMID: 31081598</w:t>
        </w:r>
      </w:hyperlink>
      <w:r w:rsidRPr="000B7475">
        <w:rPr>
          <w:rFonts w:asciiTheme="minorHAnsi" w:hAnsiTheme="minorHAnsi" w:cstheme="majorHAnsi"/>
          <w:color w:val="1E293B"/>
          <w:sz w:val="20"/>
        </w:rPr>
        <w:t>.</w:t>
      </w:r>
    </w:p>
    <w:p w14:paraId="4AECCE5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102. </w:t>
      </w:r>
      <w:r w:rsidRPr="000B7475">
        <w:rPr>
          <w:rFonts w:asciiTheme="minorHAnsi" w:hAnsiTheme="minorHAnsi" w:cstheme="majorHAnsi"/>
          <w:color w:val="1E293B"/>
          <w:sz w:val="20"/>
        </w:rPr>
        <w:t xml:space="preserve">Simmons AJ, Park R, Sterling NA, et al. Nearly complete deletion of BubR1 causes microcephaly through shortened mitosis and massive cell death. Hum Mol Genet. 2019;28(11):1822-1836. </w:t>
      </w:r>
      <w:hyperlink r:id="rId113">
        <w:r w:rsidRPr="000B7475">
          <w:rPr>
            <w:rFonts w:asciiTheme="minorHAnsi" w:hAnsiTheme="minorHAnsi" w:cstheme="majorHAnsi"/>
            <w:color w:val="1D4ED8"/>
            <w:sz w:val="20"/>
            <w:szCs w:val="20"/>
            <w:u w:val="single"/>
          </w:rPr>
          <w:t>PMID: 30668728</w:t>
        </w:r>
      </w:hyperlink>
      <w:r w:rsidRPr="000B7475">
        <w:rPr>
          <w:rFonts w:asciiTheme="minorHAnsi" w:hAnsiTheme="minorHAnsi" w:cstheme="majorHAnsi"/>
          <w:color w:val="1E293B"/>
          <w:sz w:val="20"/>
        </w:rPr>
        <w:t>.</w:t>
      </w:r>
    </w:p>
    <w:p w14:paraId="79B5297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103. </w:t>
      </w:r>
      <w:r w:rsidRPr="000B7475">
        <w:rPr>
          <w:rFonts w:asciiTheme="minorHAnsi" w:hAnsiTheme="minorHAnsi" w:cstheme="majorHAnsi"/>
          <w:color w:val="1E293B"/>
          <w:sz w:val="20"/>
        </w:rPr>
        <w:t xml:space="preserve">Watanabe K, Takao D, Ito KK, et al. The Cep57-pericentrin module organizes PCM expansion and centriole engagement. Nat Commun. 2019;10(1):931. </w:t>
      </w:r>
      <w:hyperlink r:id="rId114">
        <w:r w:rsidRPr="000B7475">
          <w:rPr>
            <w:rFonts w:asciiTheme="minorHAnsi" w:hAnsiTheme="minorHAnsi" w:cstheme="majorHAnsi"/>
            <w:color w:val="1D4ED8"/>
            <w:sz w:val="20"/>
            <w:szCs w:val="20"/>
            <w:u w:val="single"/>
          </w:rPr>
          <w:t>PMID: 30804344</w:t>
        </w:r>
      </w:hyperlink>
      <w:r w:rsidRPr="000B7475">
        <w:rPr>
          <w:rFonts w:asciiTheme="minorHAnsi" w:hAnsiTheme="minorHAnsi" w:cstheme="majorHAnsi"/>
          <w:color w:val="1E293B"/>
          <w:sz w:val="20"/>
        </w:rPr>
        <w:t>.</w:t>
      </w:r>
    </w:p>
    <w:p w14:paraId="36047ABF"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104. </w:t>
      </w:r>
      <w:r w:rsidRPr="000B7475">
        <w:rPr>
          <w:rFonts w:asciiTheme="minorHAnsi" w:hAnsiTheme="minorHAnsi" w:cstheme="majorHAnsi"/>
          <w:color w:val="1E293B"/>
          <w:sz w:val="20"/>
        </w:rPr>
        <w:t xml:space="preserve">Zhang L, Gao X, Zhou X, et al. Identification of key genes and microRNAs involved in kidney Wilms tumor by integrated bioinformatics analysis. Exp Ther Med. 2019;18(4):2554-2564. </w:t>
      </w:r>
      <w:hyperlink r:id="rId115">
        <w:r w:rsidRPr="000B7475">
          <w:rPr>
            <w:rFonts w:asciiTheme="minorHAnsi" w:hAnsiTheme="minorHAnsi" w:cstheme="majorHAnsi"/>
            <w:color w:val="1D4ED8"/>
            <w:sz w:val="20"/>
            <w:szCs w:val="20"/>
            <w:u w:val="single"/>
          </w:rPr>
          <w:t>PMID: 31555364</w:t>
        </w:r>
      </w:hyperlink>
      <w:r w:rsidRPr="000B7475">
        <w:rPr>
          <w:rFonts w:asciiTheme="minorHAnsi" w:hAnsiTheme="minorHAnsi" w:cstheme="majorHAnsi"/>
          <w:color w:val="1E293B"/>
          <w:sz w:val="20"/>
        </w:rPr>
        <w:t>.</w:t>
      </w:r>
    </w:p>
    <w:p w14:paraId="64E5B3FF"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lastRenderedPageBreak/>
        <w:t xml:space="preserve">105. </w:t>
      </w:r>
      <w:r w:rsidRPr="000B7475">
        <w:rPr>
          <w:rFonts w:asciiTheme="minorHAnsi" w:hAnsiTheme="minorHAnsi" w:cstheme="majorHAnsi"/>
          <w:color w:val="1E293B"/>
          <w:sz w:val="20"/>
        </w:rPr>
        <w:t xml:space="preserve">Dery T, </w:t>
      </w:r>
      <w:proofErr w:type="spellStart"/>
      <w:r w:rsidRPr="000B7475">
        <w:rPr>
          <w:rFonts w:asciiTheme="minorHAnsi" w:hAnsiTheme="minorHAnsi" w:cstheme="majorHAnsi"/>
          <w:color w:val="1E293B"/>
          <w:sz w:val="20"/>
        </w:rPr>
        <w:t>Chatron</w:t>
      </w:r>
      <w:proofErr w:type="spellEnd"/>
      <w:r w:rsidRPr="000B7475">
        <w:rPr>
          <w:rFonts w:asciiTheme="minorHAnsi" w:hAnsiTheme="minorHAnsi" w:cstheme="majorHAnsi"/>
          <w:color w:val="1E293B"/>
          <w:sz w:val="20"/>
        </w:rPr>
        <w:t xml:space="preserve"> N, Alqahtani A, et al. Follow-up of two adult brothers with homozygous CEP57 pathogenic variants expands the phenotype of Mosaic Variegated Aneuploidy Syndrome. </w:t>
      </w:r>
      <w:proofErr w:type="spellStart"/>
      <w:r w:rsidRPr="000B7475">
        <w:rPr>
          <w:rFonts w:asciiTheme="minorHAnsi" w:hAnsiTheme="minorHAnsi" w:cstheme="majorHAnsi"/>
          <w:color w:val="1E293B"/>
          <w:sz w:val="20"/>
        </w:rPr>
        <w:t>Eur</w:t>
      </w:r>
      <w:proofErr w:type="spellEnd"/>
      <w:r w:rsidRPr="000B7475">
        <w:rPr>
          <w:rFonts w:asciiTheme="minorHAnsi" w:hAnsiTheme="minorHAnsi" w:cstheme="majorHAnsi"/>
          <w:color w:val="1E293B"/>
          <w:sz w:val="20"/>
        </w:rPr>
        <w:t xml:space="preserve"> J Med Genet. 2020;63(11):104044. </w:t>
      </w:r>
      <w:hyperlink r:id="rId116">
        <w:r w:rsidRPr="000B7475">
          <w:rPr>
            <w:rFonts w:asciiTheme="minorHAnsi" w:hAnsiTheme="minorHAnsi" w:cstheme="majorHAnsi"/>
            <w:color w:val="1D4ED8"/>
            <w:sz w:val="20"/>
            <w:szCs w:val="20"/>
            <w:u w:val="single"/>
          </w:rPr>
          <w:t>PMID: 32861809</w:t>
        </w:r>
      </w:hyperlink>
      <w:r w:rsidRPr="000B7475">
        <w:rPr>
          <w:rFonts w:asciiTheme="minorHAnsi" w:hAnsiTheme="minorHAnsi" w:cstheme="majorHAnsi"/>
          <w:color w:val="1E293B"/>
          <w:sz w:val="20"/>
        </w:rPr>
        <w:t>.</w:t>
      </w:r>
    </w:p>
    <w:p w14:paraId="5B3729D5"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106. </w:t>
      </w:r>
      <w:r w:rsidRPr="000B7475">
        <w:rPr>
          <w:rFonts w:asciiTheme="minorHAnsi" w:hAnsiTheme="minorHAnsi" w:cstheme="majorHAnsi"/>
          <w:color w:val="1E293B"/>
          <w:sz w:val="20"/>
        </w:rPr>
        <w:t>Fujita H, Sasaki T, Miyamoto T, et al. Premature aging syndrome showing random chromosome number instabilities with CDC20 mutation. Aging Cell. 2020;19(11</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13251. </w:t>
      </w:r>
      <w:hyperlink r:id="rId117">
        <w:r w:rsidRPr="000B7475">
          <w:rPr>
            <w:rFonts w:asciiTheme="minorHAnsi" w:hAnsiTheme="minorHAnsi" w:cstheme="majorHAnsi"/>
            <w:color w:val="1D4ED8"/>
            <w:sz w:val="20"/>
            <w:szCs w:val="20"/>
            <w:u w:val="single"/>
          </w:rPr>
          <w:t>PMID: 33094908</w:t>
        </w:r>
      </w:hyperlink>
      <w:r w:rsidRPr="000B7475">
        <w:rPr>
          <w:rFonts w:asciiTheme="minorHAnsi" w:hAnsiTheme="minorHAnsi" w:cstheme="majorHAnsi"/>
          <w:color w:val="1E293B"/>
          <w:sz w:val="20"/>
        </w:rPr>
        <w:t>.</w:t>
      </w:r>
    </w:p>
    <w:p w14:paraId="6E4CB54E"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107. </w:t>
      </w:r>
      <w:r w:rsidRPr="000B7475">
        <w:rPr>
          <w:rFonts w:asciiTheme="minorHAnsi" w:hAnsiTheme="minorHAnsi" w:cstheme="majorHAnsi"/>
          <w:color w:val="1E293B"/>
          <w:sz w:val="20"/>
        </w:rPr>
        <w:t>Legal T, Hayward D, Gluszek-</w:t>
      </w:r>
      <w:proofErr w:type="spellStart"/>
      <w:r w:rsidRPr="000B7475">
        <w:rPr>
          <w:rFonts w:asciiTheme="minorHAnsi" w:hAnsiTheme="minorHAnsi" w:cstheme="majorHAnsi"/>
          <w:color w:val="1E293B"/>
          <w:sz w:val="20"/>
        </w:rPr>
        <w:t>Kustusz</w:t>
      </w:r>
      <w:proofErr w:type="spellEnd"/>
      <w:r w:rsidRPr="000B7475">
        <w:rPr>
          <w:rFonts w:asciiTheme="minorHAnsi" w:hAnsiTheme="minorHAnsi" w:cstheme="majorHAnsi"/>
          <w:color w:val="1E293B"/>
          <w:sz w:val="20"/>
        </w:rPr>
        <w:t xml:space="preserve"> A, Blackburn EA, Spanos C, </w:t>
      </w:r>
      <w:proofErr w:type="spellStart"/>
      <w:r w:rsidRPr="000B7475">
        <w:rPr>
          <w:rFonts w:asciiTheme="minorHAnsi" w:hAnsiTheme="minorHAnsi" w:cstheme="majorHAnsi"/>
          <w:color w:val="1E293B"/>
          <w:sz w:val="20"/>
        </w:rPr>
        <w:t>Rappsilber</w:t>
      </w:r>
      <w:proofErr w:type="spellEnd"/>
      <w:r w:rsidRPr="000B7475">
        <w:rPr>
          <w:rFonts w:asciiTheme="minorHAnsi" w:hAnsiTheme="minorHAnsi" w:cstheme="majorHAnsi"/>
          <w:color w:val="1E293B"/>
          <w:sz w:val="20"/>
        </w:rPr>
        <w:t xml:space="preserve"> J, et al. The C-terminal helix of BubR1 is essential for CENP-E-dependent chromosome alignment. J Cell Sci. 2020;133(16</w:t>
      </w:r>
      <w:proofErr w:type="gramStart"/>
      <w:r w:rsidRPr="000B7475">
        <w:rPr>
          <w:rFonts w:asciiTheme="minorHAnsi" w:hAnsiTheme="minorHAnsi" w:cstheme="majorHAnsi"/>
          <w:color w:val="1E293B"/>
          <w:sz w:val="20"/>
        </w:rPr>
        <w:t>):jcs</w:t>
      </w:r>
      <w:proofErr w:type="gramEnd"/>
      <w:r w:rsidRPr="000B7475">
        <w:rPr>
          <w:rFonts w:asciiTheme="minorHAnsi" w:hAnsiTheme="minorHAnsi" w:cstheme="majorHAnsi"/>
          <w:color w:val="1E293B"/>
          <w:sz w:val="20"/>
        </w:rPr>
        <w:t xml:space="preserve">246025. doi:10.1242/jcs.246025. </w:t>
      </w:r>
      <w:hyperlink r:id="rId118">
        <w:r w:rsidRPr="000B7475">
          <w:rPr>
            <w:rFonts w:asciiTheme="minorHAnsi" w:hAnsiTheme="minorHAnsi" w:cstheme="majorHAnsi"/>
            <w:color w:val="1D4ED8"/>
            <w:sz w:val="20"/>
            <w:szCs w:val="20"/>
            <w:u w:val="single"/>
          </w:rPr>
          <w:t>PMID: 32665320</w:t>
        </w:r>
      </w:hyperlink>
      <w:r w:rsidRPr="000B7475">
        <w:rPr>
          <w:rFonts w:asciiTheme="minorHAnsi" w:hAnsiTheme="minorHAnsi" w:cstheme="majorHAnsi"/>
          <w:color w:val="1E293B"/>
          <w:sz w:val="20"/>
        </w:rPr>
        <w:t>.</w:t>
      </w:r>
    </w:p>
    <w:p w14:paraId="0FD464E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108. </w:t>
      </w:r>
      <w:r w:rsidRPr="000B7475">
        <w:rPr>
          <w:rFonts w:asciiTheme="minorHAnsi" w:hAnsiTheme="minorHAnsi" w:cstheme="majorHAnsi"/>
          <w:color w:val="1E293B"/>
          <w:sz w:val="20"/>
        </w:rPr>
        <w:t xml:space="preserve">Lin SM, Luk HM, Lo IFM, et al. Prenatal diagnosis and long-term follow-up of a Chinese patient with mosaic variegated aneuploidy and its molecular analysis. Clin Case Rep. 2020;8(8):1369-1375. </w:t>
      </w:r>
      <w:hyperlink r:id="rId119">
        <w:r w:rsidRPr="000B7475">
          <w:rPr>
            <w:rFonts w:asciiTheme="minorHAnsi" w:hAnsiTheme="minorHAnsi" w:cstheme="majorHAnsi"/>
            <w:color w:val="1D4ED8"/>
            <w:sz w:val="20"/>
            <w:szCs w:val="20"/>
            <w:u w:val="single"/>
          </w:rPr>
          <w:t>PMID: 32884756</w:t>
        </w:r>
      </w:hyperlink>
      <w:r w:rsidRPr="000B7475">
        <w:rPr>
          <w:rFonts w:asciiTheme="minorHAnsi" w:hAnsiTheme="minorHAnsi" w:cstheme="majorHAnsi"/>
          <w:color w:val="1E293B"/>
          <w:sz w:val="20"/>
        </w:rPr>
        <w:t>.</w:t>
      </w:r>
    </w:p>
    <w:p w14:paraId="622EC2CF"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109. </w:t>
      </w:r>
      <w:proofErr w:type="spellStart"/>
      <w:r w:rsidRPr="000B7475">
        <w:rPr>
          <w:rFonts w:asciiTheme="minorHAnsi" w:hAnsiTheme="minorHAnsi" w:cstheme="majorHAnsi"/>
          <w:color w:val="1E293B"/>
          <w:sz w:val="20"/>
        </w:rPr>
        <w:t>Pezzani</w:t>
      </w:r>
      <w:proofErr w:type="spellEnd"/>
      <w:r w:rsidRPr="000B7475">
        <w:rPr>
          <w:rFonts w:asciiTheme="minorHAnsi" w:hAnsiTheme="minorHAnsi" w:cstheme="majorHAnsi"/>
          <w:color w:val="1E293B"/>
          <w:sz w:val="20"/>
        </w:rPr>
        <w:t xml:space="preserve"> L, Pezzoli L, Pansa A, et al. Double homozygosity in CEP57 and DYNC2H1 genes detected by WES: Composite or expanded phenotype? Mol Genet Genomic Med. 2020;8(3</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1064. </w:t>
      </w:r>
      <w:hyperlink r:id="rId120">
        <w:r w:rsidRPr="000B7475">
          <w:rPr>
            <w:rFonts w:asciiTheme="minorHAnsi" w:hAnsiTheme="minorHAnsi" w:cstheme="majorHAnsi"/>
            <w:color w:val="1D4ED8"/>
            <w:sz w:val="20"/>
            <w:szCs w:val="20"/>
            <w:u w:val="single"/>
          </w:rPr>
          <w:t>PMID: 31943948</w:t>
        </w:r>
      </w:hyperlink>
      <w:r w:rsidRPr="000B7475">
        <w:rPr>
          <w:rFonts w:asciiTheme="minorHAnsi" w:hAnsiTheme="minorHAnsi" w:cstheme="majorHAnsi"/>
          <w:color w:val="1E293B"/>
          <w:sz w:val="20"/>
        </w:rPr>
        <w:t>.</w:t>
      </w:r>
    </w:p>
    <w:p w14:paraId="36F46C7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110. </w:t>
      </w:r>
      <w:r w:rsidRPr="000B7475">
        <w:rPr>
          <w:rFonts w:asciiTheme="minorHAnsi" w:hAnsiTheme="minorHAnsi" w:cstheme="majorHAnsi"/>
          <w:color w:val="1E293B"/>
          <w:sz w:val="20"/>
        </w:rPr>
        <w:t xml:space="preserve">Rashid MU, Naeemi H, Qazi AQ, et al. Absence of the TRIP13 c.1060C&gt;T Mutation in Wilms Tumor Patients </w:t>
      </w:r>
      <w:proofErr w:type="gramStart"/>
      <w:r w:rsidRPr="000B7475">
        <w:rPr>
          <w:rFonts w:asciiTheme="minorHAnsi" w:hAnsiTheme="minorHAnsi" w:cstheme="majorHAnsi"/>
          <w:color w:val="1E293B"/>
          <w:sz w:val="20"/>
        </w:rPr>
        <w:t>From</w:t>
      </w:r>
      <w:proofErr w:type="gramEnd"/>
      <w:r w:rsidRPr="000B7475">
        <w:rPr>
          <w:rFonts w:asciiTheme="minorHAnsi" w:hAnsiTheme="minorHAnsi" w:cstheme="majorHAnsi"/>
          <w:color w:val="1E293B"/>
          <w:sz w:val="20"/>
        </w:rPr>
        <w:t xml:space="preserve"> Pakistan. J Pediatr </w:t>
      </w:r>
      <w:proofErr w:type="spellStart"/>
      <w:r w:rsidRPr="000B7475">
        <w:rPr>
          <w:rFonts w:asciiTheme="minorHAnsi" w:hAnsiTheme="minorHAnsi" w:cstheme="majorHAnsi"/>
          <w:color w:val="1E293B"/>
          <w:sz w:val="20"/>
        </w:rPr>
        <w:t>Hematol</w:t>
      </w:r>
      <w:proofErr w:type="spellEnd"/>
      <w:r w:rsidRPr="000B7475">
        <w:rPr>
          <w:rFonts w:asciiTheme="minorHAnsi" w:hAnsiTheme="minorHAnsi" w:cstheme="majorHAnsi"/>
          <w:color w:val="1E293B"/>
          <w:sz w:val="20"/>
        </w:rPr>
        <w:t xml:space="preserve"> Oncol. 2020;42(8</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766-e769. </w:t>
      </w:r>
      <w:hyperlink r:id="rId121">
        <w:r w:rsidRPr="000B7475">
          <w:rPr>
            <w:rFonts w:asciiTheme="minorHAnsi" w:hAnsiTheme="minorHAnsi" w:cstheme="majorHAnsi"/>
            <w:color w:val="1D4ED8"/>
            <w:sz w:val="20"/>
            <w:szCs w:val="20"/>
            <w:u w:val="single"/>
          </w:rPr>
          <w:t>PMID: 31574018</w:t>
        </w:r>
      </w:hyperlink>
      <w:r w:rsidRPr="000B7475">
        <w:rPr>
          <w:rFonts w:asciiTheme="minorHAnsi" w:hAnsiTheme="minorHAnsi" w:cstheme="majorHAnsi"/>
          <w:color w:val="1E293B"/>
          <w:sz w:val="20"/>
        </w:rPr>
        <w:t>.</w:t>
      </w:r>
    </w:p>
    <w:p w14:paraId="59F124CF"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111. </w:t>
      </w:r>
      <w:r w:rsidRPr="000B7475">
        <w:rPr>
          <w:rFonts w:asciiTheme="minorHAnsi" w:hAnsiTheme="minorHAnsi" w:cstheme="majorHAnsi"/>
          <w:color w:val="1E293B"/>
          <w:sz w:val="20"/>
        </w:rPr>
        <w:t xml:space="preserve">Schneider KW, Cost NG, Schultz KAP, et al. Germline predisposition to genitourinary rhabdomyosarcoma. </w:t>
      </w:r>
      <w:proofErr w:type="spellStart"/>
      <w:r w:rsidRPr="000B7475">
        <w:rPr>
          <w:rFonts w:asciiTheme="minorHAnsi" w:hAnsiTheme="minorHAnsi" w:cstheme="majorHAnsi"/>
          <w:color w:val="1E293B"/>
          <w:sz w:val="20"/>
        </w:rPr>
        <w:t>Transl</w:t>
      </w:r>
      <w:proofErr w:type="spellEnd"/>
      <w:r w:rsidRPr="000B7475">
        <w:rPr>
          <w:rFonts w:asciiTheme="minorHAnsi" w:hAnsiTheme="minorHAnsi" w:cstheme="majorHAnsi"/>
          <w:color w:val="1E293B"/>
          <w:sz w:val="20"/>
        </w:rPr>
        <w:t xml:space="preserve"> </w:t>
      </w:r>
      <w:proofErr w:type="spellStart"/>
      <w:r w:rsidRPr="000B7475">
        <w:rPr>
          <w:rFonts w:asciiTheme="minorHAnsi" w:hAnsiTheme="minorHAnsi" w:cstheme="majorHAnsi"/>
          <w:color w:val="1E293B"/>
          <w:sz w:val="20"/>
        </w:rPr>
        <w:t>Androl</w:t>
      </w:r>
      <w:proofErr w:type="spellEnd"/>
      <w:r w:rsidRPr="000B7475">
        <w:rPr>
          <w:rFonts w:asciiTheme="minorHAnsi" w:hAnsiTheme="minorHAnsi" w:cstheme="majorHAnsi"/>
          <w:color w:val="1E293B"/>
          <w:sz w:val="20"/>
        </w:rPr>
        <w:t xml:space="preserve"> Urol. 2020;9(5):2430-2440. </w:t>
      </w:r>
      <w:hyperlink r:id="rId122">
        <w:r w:rsidRPr="000B7475">
          <w:rPr>
            <w:rFonts w:asciiTheme="minorHAnsi" w:hAnsiTheme="minorHAnsi" w:cstheme="majorHAnsi"/>
            <w:color w:val="1D4ED8"/>
            <w:sz w:val="20"/>
            <w:szCs w:val="20"/>
            <w:u w:val="single"/>
          </w:rPr>
          <w:t>PMID: 33209717</w:t>
        </w:r>
      </w:hyperlink>
      <w:r w:rsidRPr="000B7475">
        <w:rPr>
          <w:rFonts w:asciiTheme="minorHAnsi" w:hAnsiTheme="minorHAnsi" w:cstheme="majorHAnsi"/>
          <w:color w:val="1E293B"/>
          <w:sz w:val="20"/>
        </w:rPr>
        <w:t>.</w:t>
      </w:r>
    </w:p>
    <w:p w14:paraId="131DF96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112. </w:t>
      </w:r>
      <w:r w:rsidRPr="000B7475">
        <w:rPr>
          <w:rFonts w:asciiTheme="minorHAnsi" w:hAnsiTheme="minorHAnsi" w:cstheme="majorHAnsi"/>
          <w:color w:val="1E293B"/>
          <w:sz w:val="20"/>
        </w:rPr>
        <w:t xml:space="preserve">Sieben CJ, Jeganathan KB, Nelson GG, et al. BubR1 allelic effects drive phenotypic heterogeneity in mosaic-variegated aneuploidy progeria syndrome. J Clin Invest. 2020;130(1):171-188. </w:t>
      </w:r>
      <w:hyperlink r:id="rId123">
        <w:r w:rsidRPr="000B7475">
          <w:rPr>
            <w:rFonts w:asciiTheme="minorHAnsi" w:hAnsiTheme="minorHAnsi" w:cstheme="majorHAnsi"/>
            <w:color w:val="1D4ED8"/>
            <w:sz w:val="20"/>
            <w:szCs w:val="20"/>
            <w:u w:val="single"/>
          </w:rPr>
          <w:t>PMID: 31738183</w:t>
        </w:r>
      </w:hyperlink>
      <w:r w:rsidRPr="000B7475">
        <w:rPr>
          <w:rFonts w:asciiTheme="minorHAnsi" w:hAnsiTheme="minorHAnsi" w:cstheme="majorHAnsi"/>
          <w:color w:val="1E293B"/>
          <w:sz w:val="20"/>
        </w:rPr>
        <w:t>.</w:t>
      </w:r>
    </w:p>
    <w:p w14:paraId="7FF5ED4F"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113. </w:t>
      </w:r>
      <w:r w:rsidRPr="000B7475">
        <w:rPr>
          <w:rFonts w:asciiTheme="minorHAnsi" w:hAnsiTheme="minorHAnsi" w:cstheme="majorHAnsi"/>
          <w:color w:val="1E293B"/>
          <w:sz w:val="20"/>
        </w:rPr>
        <w:t xml:space="preserve">Bloom CR, North BJ. Physiological relevance of post-translational regulation of the spindle assembly checkpoint protein BubR1. Cell </w:t>
      </w:r>
      <w:proofErr w:type="spellStart"/>
      <w:r w:rsidRPr="000B7475">
        <w:rPr>
          <w:rFonts w:asciiTheme="minorHAnsi" w:hAnsiTheme="minorHAnsi" w:cstheme="majorHAnsi"/>
          <w:color w:val="1E293B"/>
          <w:sz w:val="20"/>
        </w:rPr>
        <w:t>Biosci</w:t>
      </w:r>
      <w:proofErr w:type="spellEnd"/>
      <w:r w:rsidRPr="000B7475">
        <w:rPr>
          <w:rFonts w:asciiTheme="minorHAnsi" w:hAnsiTheme="minorHAnsi" w:cstheme="majorHAnsi"/>
          <w:color w:val="1E293B"/>
          <w:sz w:val="20"/>
        </w:rPr>
        <w:t xml:space="preserve">. 2021;11(1):76. </w:t>
      </w:r>
      <w:hyperlink r:id="rId124">
        <w:r w:rsidRPr="000B7475">
          <w:rPr>
            <w:rFonts w:asciiTheme="minorHAnsi" w:hAnsiTheme="minorHAnsi" w:cstheme="majorHAnsi"/>
            <w:color w:val="1D4ED8"/>
            <w:sz w:val="20"/>
            <w:szCs w:val="20"/>
            <w:u w:val="single"/>
          </w:rPr>
          <w:t>PMID: 33892776</w:t>
        </w:r>
      </w:hyperlink>
      <w:r w:rsidRPr="000B7475">
        <w:rPr>
          <w:rFonts w:asciiTheme="minorHAnsi" w:hAnsiTheme="minorHAnsi" w:cstheme="majorHAnsi"/>
          <w:color w:val="1E293B"/>
          <w:sz w:val="20"/>
        </w:rPr>
        <w:t>.</w:t>
      </w:r>
    </w:p>
    <w:p w14:paraId="189DEA6F"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114. </w:t>
      </w:r>
      <w:r w:rsidRPr="000B7475">
        <w:rPr>
          <w:rFonts w:asciiTheme="minorHAnsi" w:hAnsiTheme="minorHAnsi" w:cstheme="majorHAnsi"/>
          <w:color w:val="1E293B"/>
          <w:sz w:val="20"/>
        </w:rPr>
        <w:t>Ito KK, Watanabe K, Kitagawa D. Cep57 and Cep57L1 maintain centriole engagement in interphase to ensure centriole duplication cycle. J Cell Biol. 2021;220(3</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202005153. doi:10.1083/jcb.202005153. </w:t>
      </w:r>
      <w:hyperlink r:id="rId125">
        <w:r w:rsidRPr="000B7475">
          <w:rPr>
            <w:rFonts w:asciiTheme="minorHAnsi" w:hAnsiTheme="minorHAnsi" w:cstheme="majorHAnsi"/>
            <w:color w:val="1D4ED8"/>
            <w:sz w:val="20"/>
            <w:szCs w:val="20"/>
            <w:u w:val="single"/>
          </w:rPr>
          <w:t>PMID: 33492359</w:t>
        </w:r>
      </w:hyperlink>
      <w:r w:rsidRPr="000B7475">
        <w:rPr>
          <w:rFonts w:asciiTheme="minorHAnsi" w:hAnsiTheme="minorHAnsi" w:cstheme="majorHAnsi"/>
          <w:color w:val="1E293B"/>
          <w:sz w:val="20"/>
        </w:rPr>
        <w:t>.</w:t>
      </w:r>
    </w:p>
    <w:p w14:paraId="7D376C2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115. </w:t>
      </w:r>
      <w:r w:rsidRPr="000B7475">
        <w:rPr>
          <w:rFonts w:asciiTheme="minorHAnsi" w:hAnsiTheme="minorHAnsi" w:cstheme="majorHAnsi"/>
          <w:color w:val="1E293B"/>
          <w:sz w:val="20"/>
        </w:rPr>
        <w:t>Santos-</w:t>
      </w:r>
      <w:proofErr w:type="spellStart"/>
      <w:r w:rsidRPr="000B7475">
        <w:rPr>
          <w:rFonts w:asciiTheme="minorHAnsi" w:hAnsiTheme="minorHAnsi" w:cstheme="majorHAnsi"/>
          <w:color w:val="1E293B"/>
          <w:sz w:val="20"/>
        </w:rPr>
        <w:t>Simarro</w:t>
      </w:r>
      <w:proofErr w:type="spellEnd"/>
      <w:r w:rsidRPr="000B7475">
        <w:rPr>
          <w:rFonts w:asciiTheme="minorHAnsi" w:hAnsiTheme="minorHAnsi" w:cstheme="majorHAnsi"/>
          <w:color w:val="1E293B"/>
          <w:sz w:val="20"/>
        </w:rPr>
        <w:t xml:space="preserve"> F, Pacio M, Cueto-González AM, et al. Mosaic Variegated Aneuploidy syndrome 2 caused by biallelic variants in CEP57, two new cases and review of the phenotype. </w:t>
      </w:r>
      <w:proofErr w:type="spellStart"/>
      <w:r w:rsidRPr="000B7475">
        <w:rPr>
          <w:rFonts w:asciiTheme="minorHAnsi" w:hAnsiTheme="minorHAnsi" w:cstheme="majorHAnsi"/>
          <w:color w:val="1E293B"/>
          <w:sz w:val="20"/>
        </w:rPr>
        <w:t>Eur</w:t>
      </w:r>
      <w:proofErr w:type="spellEnd"/>
      <w:r w:rsidRPr="000B7475">
        <w:rPr>
          <w:rFonts w:asciiTheme="minorHAnsi" w:hAnsiTheme="minorHAnsi" w:cstheme="majorHAnsi"/>
          <w:color w:val="1E293B"/>
          <w:sz w:val="20"/>
        </w:rPr>
        <w:t xml:space="preserve"> J Med Genet. 2021;64(11):104336. </w:t>
      </w:r>
      <w:hyperlink r:id="rId126">
        <w:r w:rsidRPr="000B7475">
          <w:rPr>
            <w:rFonts w:asciiTheme="minorHAnsi" w:hAnsiTheme="minorHAnsi" w:cstheme="majorHAnsi"/>
            <w:color w:val="1D4ED8"/>
            <w:sz w:val="20"/>
            <w:szCs w:val="20"/>
            <w:u w:val="single"/>
          </w:rPr>
          <w:t>PMID: 34500087</w:t>
        </w:r>
      </w:hyperlink>
      <w:r w:rsidRPr="000B7475">
        <w:rPr>
          <w:rFonts w:asciiTheme="minorHAnsi" w:hAnsiTheme="minorHAnsi" w:cstheme="majorHAnsi"/>
          <w:color w:val="1E293B"/>
          <w:sz w:val="20"/>
        </w:rPr>
        <w:t>.</w:t>
      </w:r>
    </w:p>
    <w:p w14:paraId="523E01F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116. </w:t>
      </w:r>
      <w:r w:rsidRPr="000B7475">
        <w:rPr>
          <w:rFonts w:asciiTheme="minorHAnsi" w:hAnsiTheme="minorHAnsi" w:cstheme="majorHAnsi"/>
          <w:color w:val="1E293B"/>
          <w:sz w:val="20"/>
        </w:rPr>
        <w:t xml:space="preserve">Carvalhal S, Bader I, </w:t>
      </w:r>
      <w:proofErr w:type="spellStart"/>
      <w:r w:rsidRPr="000B7475">
        <w:rPr>
          <w:rFonts w:asciiTheme="minorHAnsi" w:hAnsiTheme="minorHAnsi" w:cstheme="majorHAnsi"/>
          <w:color w:val="1E293B"/>
          <w:sz w:val="20"/>
        </w:rPr>
        <w:t>Rooimans</w:t>
      </w:r>
      <w:proofErr w:type="spellEnd"/>
      <w:r w:rsidRPr="000B7475">
        <w:rPr>
          <w:rFonts w:asciiTheme="minorHAnsi" w:hAnsiTheme="minorHAnsi" w:cstheme="majorHAnsi"/>
          <w:color w:val="1E293B"/>
          <w:sz w:val="20"/>
        </w:rPr>
        <w:t xml:space="preserve"> MA, et al. Biallelic BUB1 mutations cause microcephaly, developmental delay, and variable effects on cohesion and chromosome segregation. Sci Adv. 2022;8(3</w:t>
      </w:r>
      <w:proofErr w:type="gramStart"/>
      <w:r w:rsidRPr="000B7475">
        <w:rPr>
          <w:rFonts w:asciiTheme="minorHAnsi" w:hAnsiTheme="minorHAnsi" w:cstheme="majorHAnsi"/>
          <w:color w:val="1E293B"/>
          <w:sz w:val="20"/>
        </w:rPr>
        <w:t>):eabk</w:t>
      </w:r>
      <w:proofErr w:type="gramEnd"/>
      <w:r w:rsidRPr="000B7475">
        <w:rPr>
          <w:rFonts w:asciiTheme="minorHAnsi" w:hAnsiTheme="minorHAnsi" w:cstheme="majorHAnsi"/>
          <w:color w:val="1E293B"/>
          <w:sz w:val="20"/>
        </w:rPr>
        <w:t xml:space="preserve">0114. </w:t>
      </w:r>
      <w:hyperlink r:id="rId127">
        <w:r w:rsidRPr="000B7475">
          <w:rPr>
            <w:rFonts w:asciiTheme="minorHAnsi" w:hAnsiTheme="minorHAnsi" w:cstheme="majorHAnsi"/>
            <w:color w:val="1D4ED8"/>
            <w:sz w:val="20"/>
            <w:szCs w:val="20"/>
            <w:u w:val="single"/>
          </w:rPr>
          <w:t>PMID: 35044816</w:t>
        </w:r>
      </w:hyperlink>
      <w:r w:rsidRPr="000B7475">
        <w:rPr>
          <w:rFonts w:asciiTheme="minorHAnsi" w:hAnsiTheme="minorHAnsi" w:cstheme="majorHAnsi"/>
          <w:color w:val="1E293B"/>
          <w:sz w:val="20"/>
        </w:rPr>
        <w:t>.</w:t>
      </w:r>
    </w:p>
    <w:p w14:paraId="2FDE583E"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117. </w:t>
      </w:r>
      <w:r w:rsidRPr="000B7475">
        <w:rPr>
          <w:rFonts w:asciiTheme="minorHAnsi" w:hAnsiTheme="minorHAnsi" w:cstheme="majorHAnsi"/>
          <w:color w:val="1E293B"/>
          <w:sz w:val="20"/>
        </w:rPr>
        <w:t>Feng B, Chang G, Zhang Q, et al. A novel CEP57 variant associated with mosaic variegated aneuploidy syndrome in a Chinese female presenting with short stature, microcephaly, brachydactyly, and small teeth. Mol Genet Genomic Med. 2022;10(6</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1951. </w:t>
      </w:r>
      <w:hyperlink r:id="rId128">
        <w:r w:rsidRPr="000B7475">
          <w:rPr>
            <w:rFonts w:asciiTheme="minorHAnsi" w:hAnsiTheme="minorHAnsi" w:cstheme="majorHAnsi"/>
            <w:color w:val="1D4ED8"/>
            <w:sz w:val="20"/>
            <w:szCs w:val="20"/>
            <w:u w:val="single"/>
          </w:rPr>
          <w:t>PMID: 35434947</w:t>
        </w:r>
      </w:hyperlink>
      <w:r w:rsidRPr="000B7475">
        <w:rPr>
          <w:rFonts w:asciiTheme="minorHAnsi" w:hAnsiTheme="minorHAnsi" w:cstheme="majorHAnsi"/>
          <w:color w:val="1E293B"/>
          <w:sz w:val="20"/>
        </w:rPr>
        <w:t>.</w:t>
      </w:r>
    </w:p>
    <w:p w14:paraId="7FEC117F"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118. </w:t>
      </w:r>
      <w:r w:rsidRPr="000B7475">
        <w:rPr>
          <w:rFonts w:asciiTheme="minorHAnsi" w:hAnsiTheme="minorHAnsi" w:cstheme="majorHAnsi"/>
          <w:color w:val="1E293B"/>
          <w:sz w:val="20"/>
        </w:rPr>
        <w:t xml:space="preserve">Hübner CT, Amin AK, Dey D, et al. Mosaic Variegated Aneuploidy Syndrome and Noonan Syndrome in the Same Family. Mol </w:t>
      </w:r>
      <w:proofErr w:type="spellStart"/>
      <w:r w:rsidRPr="000B7475">
        <w:rPr>
          <w:rFonts w:asciiTheme="minorHAnsi" w:hAnsiTheme="minorHAnsi" w:cstheme="majorHAnsi"/>
          <w:color w:val="1E293B"/>
          <w:sz w:val="20"/>
        </w:rPr>
        <w:t>Syndromol</w:t>
      </w:r>
      <w:proofErr w:type="spellEnd"/>
      <w:r w:rsidRPr="000B7475">
        <w:rPr>
          <w:rFonts w:asciiTheme="minorHAnsi" w:hAnsiTheme="minorHAnsi" w:cstheme="majorHAnsi"/>
          <w:color w:val="1E293B"/>
          <w:sz w:val="20"/>
        </w:rPr>
        <w:t xml:space="preserve">. 2022;13(5):402-408. </w:t>
      </w:r>
      <w:hyperlink r:id="rId129">
        <w:r w:rsidRPr="000B7475">
          <w:rPr>
            <w:rFonts w:asciiTheme="minorHAnsi" w:hAnsiTheme="minorHAnsi" w:cstheme="majorHAnsi"/>
            <w:color w:val="1D4ED8"/>
            <w:sz w:val="20"/>
            <w:szCs w:val="20"/>
            <w:u w:val="single"/>
          </w:rPr>
          <w:t>PMID: 36588761</w:t>
        </w:r>
      </w:hyperlink>
      <w:r w:rsidRPr="000B7475">
        <w:rPr>
          <w:rFonts w:asciiTheme="minorHAnsi" w:hAnsiTheme="minorHAnsi" w:cstheme="majorHAnsi"/>
          <w:color w:val="1E293B"/>
          <w:sz w:val="20"/>
        </w:rPr>
        <w:t>.</w:t>
      </w:r>
    </w:p>
    <w:p w14:paraId="1E68203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119. </w:t>
      </w:r>
      <w:r w:rsidRPr="000B7475">
        <w:rPr>
          <w:rFonts w:asciiTheme="minorHAnsi" w:hAnsiTheme="minorHAnsi" w:cstheme="majorHAnsi"/>
          <w:color w:val="1E293B"/>
          <w:sz w:val="20"/>
        </w:rPr>
        <w:t xml:space="preserve">Pavone P, Pappalardo XG, Mustafa N, et al. Pathogenic correlation between mosaic variegated aneuploidy 1 (MVA1) and a novel BUB1B variant: a reappraisal of a severe syndrome. Neurol Sci. 2022;43(11):6529-6538. </w:t>
      </w:r>
      <w:hyperlink r:id="rId130">
        <w:r w:rsidRPr="000B7475">
          <w:rPr>
            <w:rFonts w:asciiTheme="minorHAnsi" w:hAnsiTheme="minorHAnsi" w:cstheme="majorHAnsi"/>
            <w:color w:val="1D4ED8"/>
            <w:sz w:val="20"/>
            <w:szCs w:val="20"/>
            <w:u w:val="single"/>
          </w:rPr>
          <w:t>PMID: 35804254</w:t>
        </w:r>
      </w:hyperlink>
      <w:r w:rsidRPr="000B7475">
        <w:rPr>
          <w:rFonts w:asciiTheme="minorHAnsi" w:hAnsiTheme="minorHAnsi" w:cstheme="majorHAnsi"/>
          <w:color w:val="1E293B"/>
          <w:sz w:val="20"/>
        </w:rPr>
        <w:t>.</w:t>
      </w:r>
    </w:p>
    <w:p w14:paraId="1BA880D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120. </w:t>
      </w:r>
      <w:proofErr w:type="spellStart"/>
      <w:r w:rsidRPr="000B7475">
        <w:rPr>
          <w:rFonts w:asciiTheme="minorHAnsi" w:hAnsiTheme="minorHAnsi" w:cstheme="majorHAnsi"/>
          <w:color w:val="1E293B"/>
          <w:sz w:val="20"/>
        </w:rPr>
        <w:t>Villarroya-Beltri</w:t>
      </w:r>
      <w:proofErr w:type="spellEnd"/>
      <w:r w:rsidRPr="000B7475">
        <w:rPr>
          <w:rFonts w:asciiTheme="minorHAnsi" w:hAnsiTheme="minorHAnsi" w:cstheme="majorHAnsi"/>
          <w:color w:val="1E293B"/>
          <w:sz w:val="20"/>
        </w:rPr>
        <w:t xml:space="preserve"> C, Osorio A, Torres-Ruiz R, et al. Biallelic germline mutations in MAD1L1 induce a syndrome of aneuploidy with high tumor susceptibility. Sci Adv. 2022;8(44</w:t>
      </w:r>
      <w:proofErr w:type="gramStart"/>
      <w:r w:rsidRPr="000B7475">
        <w:rPr>
          <w:rFonts w:asciiTheme="minorHAnsi" w:hAnsiTheme="minorHAnsi" w:cstheme="majorHAnsi"/>
          <w:color w:val="1E293B"/>
          <w:sz w:val="20"/>
        </w:rPr>
        <w:t>):eabq</w:t>
      </w:r>
      <w:proofErr w:type="gramEnd"/>
      <w:r w:rsidRPr="000B7475">
        <w:rPr>
          <w:rFonts w:asciiTheme="minorHAnsi" w:hAnsiTheme="minorHAnsi" w:cstheme="majorHAnsi"/>
          <w:color w:val="1E293B"/>
          <w:sz w:val="20"/>
        </w:rPr>
        <w:t xml:space="preserve">5914. </w:t>
      </w:r>
      <w:hyperlink r:id="rId131">
        <w:r w:rsidRPr="000B7475">
          <w:rPr>
            <w:rFonts w:asciiTheme="minorHAnsi" w:hAnsiTheme="minorHAnsi" w:cstheme="majorHAnsi"/>
            <w:color w:val="1D4ED8"/>
            <w:sz w:val="20"/>
            <w:szCs w:val="20"/>
            <w:u w:val="single"/>
          </w:rPr>
          <w:t>PMID: 36322655</w:t>
        </w:r>
      </w:hyperlink>
      <w:r w:rsidRPr="000B7475">
        <w:rPr>
          <w:rFonts w:asciiTheme="minorHAnsi" w:hAnsiTheme="minorHAnsi" w:cstheme="majorHAnsi"/>
          <w:color w:val="1E293B"/>
          <w:sz w:val="20"/>
        </w:rPr>
        <w:t>.</w:t>
      </w:r>
    </w:p>
    <w:p w14:paraId="2A62E3E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121. </w:t>
      </w:r>
      <w:proofErr w:type="spellStart"/>
      <w:r w:rsidRPr="000B7475">
        <w:rPr>
          <w:rFonts w:asciiTheme="minorHAnsi" w:hAnsiTheme="minorHAnsi" w:cstheme="majorHAnsi"/>
          <w:color w:val="1E293B"/>
          <w:sz w:val="20"/>
        </w:rPr>
        <w:t>Goutas</w:t>
      </w:r>
      <w:proofErr w:type="spellEnd"/>
      <w:r w:rsidRPr="000B7475">
        <w:rPr>
          <w:rFonts w:asciiTheme="minorHAnsi" w:hAnsiTheme="minorHAnsi" w:cstheme="majorHAnsi"/>
          <w:color w:val="1E293B"/>
          <w:sz w:val="20"/>
        </w:rPr>
        <w:t xml:space="preserve"> A, </w:t>
      </w:r>
      <w:proofErr w:type="spellStart"/>
      <w:r w:rsidRPr="000B7475">
        <w:rPr>
          <w:rFonts w:asciiTheme="minorHAnsi" w:hAnsiTheme="minorHAnsi" w:cstheme="majorHAnsi"/>
          <w:color w:val="1E293B"/>
          <w:sz w:val="20"/>
        </w:rPr>
        <w:t>Outskouni</w:t>
      </w:r>
      <w:proofErr w:type="spellEnd"/>
      <w:r w:rsidRPr="000B7475">
        <w:rPr>
          <w:rFonts w:asciiTheme="minorHAnsi" w:hAnsiTheme="minorHAnsi" w:cstheme="majorHAnsi"/>
          <w:color w:val="1E293B"/>
          <w:sz w:val="20"/>
        </w:rPr>
        <w:t xml:space="preserve"> Z, Papathanasiou I, et al. The establishment of mitotic errors-driven senescence depends on autophagy. Redox Biol. </w:t>
      </w:r>
      <w:proofErr w:type="gramStart"/>
      <w:r w:rsidRPr="000B7475">
        <w:rPr>
          <w:rFonts w:asciiTheme="minorHAnsi" w:hAnsiTheme="minorHAnsi" w:cstheme="majorHAnsi"/>
          <w:color w:val="1E293B"/>
          <w:sz w:val="20"/>
        </w:rPr>
        <w:t>2023;62:102701</w:t>
      </w:r>
      <w:proofErr w:type="gramEnd"/>
      <w:r w:rsidRPr="000B7475">
        <w:rPr>
          <w:rFonts w:asciiTheme="minorHAnsi" w:hAnsiTheme="minorHAnsi" w:cstheme="majorHAnsi"/>
          <w:color w:val="1E293B"/>
          <w:sz w:val="20"/>
        </w:rPr>
        <w:t xml:space="preserve">. </w:t>
      </w:r>
      <w:hyperlink r:id="rId132">
        <w:r w:rsidRPr="000B7475">
          <w:rPr>
            <w:rFonts w:asciiTheme="minorHAnsi" w:hAnsiTheme="minorHAnsi" w:cstheme="majorHAnsi"/>
            <w:color w:val="1D4ED8"/>
            <w:sz w:val="20"/>
            <w:szCs w:val="20"/>
            <w:u w:val="single"/>
          </w:rPr>
          <w:t>PMID: 37094517</w:t>
        </w:r>
      </w:hyperlink>
      <w:r w:rsidRPr="000B7475">
        <w:rPr>
          <w:rFonts w:asciiTheme="minorHAnsi" w:hAnsiTheme="minorHAnsi" w:cstheme="majorHAnsi"/>
          <w:color w:val="1E293B"/>
          <w:sz w:val="20"/>
        </w:rPr>
        <w:t>.</w:t>
      </w:r>
    </w:p>
    <w:p w14:paraId="2ECD4F0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122. </w:t>
      </w:r>
      <w:proofErr w:type="spellStart"/>
      <w:r w:rsidRPr="000B7475">
        <w:rPr>
          <w:rFonts w:asciiTheme="minorHAnsi" w:hAnsiTheme="minorHAnsi" w:cstheme="majorHAnsi"/>
          <w:color w:val="1E293B"/>
          <w:sz w:val="20"/>
        </w:rPr>
        <w:t>Langeh</w:t>
      </w:r>
      <w:proofErr w:type="spellEnd"/>
      <w:r w:rsidRPr="000B7475">
        <w:rPr>
          <w:rFonts w:asciiTheme="minorHAnsi" w:hAnsiTheme="minorHAnsi" w:cstheme="majorHAnsi"/>
          <w:color w:val="1E293B"/>
          <w:sz w:val="20"/>
        </w:rPr>
        <w:t xml:space="preserve"> N, Saluja S, </w:t>
      </w:r>
      <w:proofErr w:type="spellStart"/>
      <w:r w:rsidRPr="000B7475">
        <w:rPr>
          <w:rFonts w:asciiTheme="minorHAnsi" w:hAnsiTheme="minorHAnsi" w:cstheme="majorHAnsi"/>
          <w:color w:val="1E293B"/>
          <w:sz w:val="20"/>
        </w:rPr>
        <w:t>Ethayathulla</w:t>
      </w:r>
      <w:proofErr w:type="spellEnd"/>
      <w:r w:rsidRPr="000B7475">
        <w:rPr>
          <w:rFonts w:asciiTheme="minorHAnsi" w:hAnsiTheme="minorHAnsi" w:cstheme="majorHAnsi"/>
          <w:color w:val="1E293B"/>
          <w:sz w:val="20"/>
        </w:rPr>
        <w:t xml:space="preserve"> AS, et al. Mosaic variegated aneuploidy syndrome 2 with biallelic novel CEP57 splice site variation in Indian siblings: Expanding the clinical and molecular spectrum. Clin Genet. 2023;103(4):478-483. </w:t>
      </w:r>
      <w:hyperlink r:id="rId133">
        <w:r w:rsidRPr="000B7475">
          <w:rPr>
            <w:rFonts w:asciiTheme="minorHAnsi" w:hAnsiTheme="minorHAnsi" w:cstheme="majorHAnsi"/>
            <w:color w:val="1D4ED8"/>
            <w:sz w:val="20"/>
            <w:szCs w:val="20"/>
            <w:u w:val="single"/>
          </w:rPr>
          <w:t>PMID: 36635612</w:t>
        </w:r>
      </w:hyperlink>
      <w:r w:rsidRPr="000B7475">
        <w:rPr>
          <w:rFonts w:asciiTheme="minorHAnsi" w:hAnsiTheme="minorHAnsi" w:cstheme="majorHAnsi"/>
          <w:color w:val="1E293B"/>
          <w:sz w:val="20"/>
        </w:rPr>
        <w:t>.</w:t>
      </w:r>
    </w:p>
    <w:p w14:paraId="155CEDE0"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123. </w:t>
      </w:r>
      <w:r w:rsidRPr="000B7475">
        <w:rPr>
          <w:rFonts w:asciiTheme="minorHAnsi" w:hAnsiTheme="minorHAnsi" w:cstheme="majorHAnsi"/>
          <w:color w:val="1E293B"/>
          <w:sz w:val="20"/>
        </w:rPr>
        <w:t xml:space="preserve">Sterling NA, Terry BK, McDonnell JM, et al. P53 independent pathogenic mechanisms contribute to BubR1 microcephaly. Front Cell Dev Biol. </w:t>
      </w:r>
      <w:proofErr w:type="gramStart"/>
      <w:r w:rsidRPr="000B7475">
        <w:rPr>
          <w:rFonts w:asciiTheme="minorHAnsi" w:hAnsiTheme="minorHAnsi" w:cstheme="majorHAnsi"/>
          <w:color w:val="1E293B"/>
          <w:sz w:val="20"/>
        </w:rPr>
        <w:t>2023;11:1282182</w:t>
      </w:r>
      <w:proofErr w:type="gramEnd"/>
      <w:r w:rsidRPr="000B7475">
        <w:rPr>
          <w:rFonts w:asciiTheme="minorHAnsi" w:hAnsiTheme="minorHAnsi" w:cstheme="majorHAnsi"/>
          <w:color w:val="1E293B"/>
          <w:sz w:val="20"/>
        </w:rPr>
        <w:t xml:space="preserve">. </w:t>
      </w:r>
      <w:hyperlink r:id="rId134">
        <w:r w:rsidRPr="000B7475">
          <w:rPr>
            <w:rFonts w:asciiTheme="minorHAnsi" w:hAnsiTheme="minorHAnsi" w:cstheme="majorHAnsi"/>
            <w:color w:val="1D4ED8"/>
            <w:sz w:val="20"/>
            <w:szCs w:val="20"/>
            <w:u w:val="single"/>
          </w:rPr>
          <w:t>PMID: 37900274</w:t>
        </w:r>
      </w:hyperlink>
      <w:r w:rsidRPr="000B7475">
        <w:rPr>
          <w:rFonts w:asciiTheme="minorHAnsi" w:hAnsiTheme="minorHAnsi" w:cstheme="majorHAnsi"/>
          <w:color w:val="1E293B"/>
          <w:sz w:val="20"/>
        </w:rPr>
        <w:t>.</w:t>
      </w:r>
    </w:p>
    <w:p w14:paraId="291E5E4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124. </w:t>
      </w:r>
      <w:r w:rsidRPr="000B7475">
        <w:rPr>
          <w:rFonts w:asciiTheme="minorHAnsi" w:hAnsiTheme="minorHAnsi" w:cstheme="majorHAnsi"/>
          <w:color w:val="1E293B"/>
          <w:sz w:val="20"/>
        </w:rPr>
        <w:t xml:space="preserve">Esposito M, Sessa F, </w:t>
      </w:r>
      <w:proofErr w:type="spellStart"/>
      <w:r w:rsidRPr="000B7475">
        <w:rPr>
          <w:rFonts w:asciiTheme="minorHAnsi" w:hAnsiTheme="minorHAnsi" w:cstheme="majorHAnsi"/>
          <w:color w:val="1E293B"/>
          <w:sz w:val="20"/>
        </w:rPr>
        <w:t>Nannola</w:t>
      </w:r>
      <w:proofErr w:type="spellEnd"/>
      <w:r w:rsidRPr="000B7475">
        <w:rPr>
          <w:rFonts w:asciiTheme="minorHAnsi" w:hAnsiTheme="minorHAnsi" w:cstheme="majorHAnsi"/>
          <w:color w:val="1E293B"/>
          <w:sz w:val="20"/>
        </w:rPr>
        <w:t xml:space="preserve"> C, et al. Sudden unexpected postnatal collapse and BUB1B mutation: first forensic case report. Int J Legal Med. 2024;138(5):2049-2055. </w:t>
      </w:r>
      <w:hyperlink r:id="rId135">
        <w:r w:rsidRPr="000B7475">
          <w:rPr>
            <w:rFonts w:asciiTheme="minorHAnsi" w:hAnsiTheme="minorHAnsi" w:cstheme="majorHAnsi"/>
            <w:color w:val="1D4ED8"/>
            <w:sz w:val="20"/>
            <w:szCs w:val="20"/>
            <w:u w:val="single"/>
          </w:rPr>
          <w:t>PMID: 38664248</w:t>
        </w:r>
      </w:hyperlink>
      <w:r w:rsidRPr="000B7475">
        <w:rPr>
          <w:rFonts w:asciiTheme="minorHAnsi" w:hAnsiTheme="minorHAnsi" w:cstheme="majorHAnsi"/>
          <w:color w:val="1E293B"/>
          <w:sz w:val="20"/>
        </w:rPr>
        <w:t>.</w:t>
      </w:r>
    </w:p>
    <w:p w14:paraId="0D14851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lastRenderedPageBreak/>
        <w:t xml:space="preserve">125. </w:t>
      </w:r>
      <w:r w:rsidRPr="000B7475">
        <w:rPr>
          <w:rFonts w:asciiTheme="minorHAnsi" w:hAnsiTheme="minorHAnsi" w:cstheme="majorHAnsi"/>
          <w:color w:val="1E293B"/>
          <w:sz w:val="20"/>
        </w:rPr>
        <w:t xml:space="preserve">Ferreira A, Calado SM, Jorge X, et al. Generation and characterization of two isogenic induced pluripotent stem cell lines from a young female with microcephaly carrying a compound heterozygous mutation in BUB1 gene. Stem Cell Res. </w:t>
      </w:r>
      <w:proofErr w:type="gramStart"/>
      <w:r w:rsidRPr="000B7475">
        <w:rPr>
          <w:rFonts w:asciiTheme="minorHAnsi" w:hAnsiTheme="minorHAnsi" w:cstheme="majorHAnsi"/>
          <w:color w:val="1E293B"/>
          <w:sz w:val="20"/>
        </w:rPr>
        <w:t>2024;81:103594</w:t>
      </w:r>
      <w:proofErr w:type="gramEnd"/>
      <w:r w:rsidRPr="000B7475">
        <w:rPr>
          <w:rFonts w:asciiTheme="minorHAnsi" w:hAnsiTheme="minorHAnsi" w:cstheme="majorHAnsi"/>
          <w:color w:val="1E293B"/>
          <w:sz w:val="20"/>
        </w:rPr>
        <w:t xml:space="preserve">. </w:t>
      </w:r>
      <w:hyperlink r:id="rId136">
        <w:r w:rsidRPr="000B7475">
          <w:rPr>
            <w:rFonts w:asciiTheme="minorHAnsi" w:hAnsiTheme="minorHAnsi" w:cstheme="majorHAnsi"/>
            <w:color w:val="1D4ED8"/>
            <w:sz w:val="20"/>
            <w:szCs w:val="20"/>
            <w:u w:val="single"/>
          </w:rPr>
          <w:t>PMID: 39490209</w:t>
        </w:r>
      </w:hyperlink>
      <w:r w:rsidRPr="000B7475">
        <w:rPr>
          <w:rFonts w:asciiTheme="minorHAnsi" w:hAnsiTheme="minorHAnsi" w:cstheme="majorHAnsi"/>
          <w:color w:val="1E293B"/>
          <w:sz w:val="20"/>
        </w:rPr>
        <w:t>.</w:t>
      </w:r>
    </w:p>
    <w:p w14:paraId="6742AA6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126. </w:t>
      </w:r>
      <w:r w:rsidRPr="000B7475">
        <w:rPr>
          <w:rFonts w:asciiTheme="minorHAnsi" w:hAnsiTheme="minorHAnsi" w:cstheme="majorHAnsi"/>
          <w:color w:val="1E293B"/>
          <w:sz w:val="20"/>
        </w:rPr>
        <w:t xml:space="preserve">Guo J, He WB, Dai L, et al. Mosaic variegated aneuploidy syndrome with tetraploid, and predisposition to male infertility triggered by mutant CEP192. HGG Adv. 2024;5(1):100259. </w:t>
      </w:r>
      <w:hyperlink r:id="rId137">
        <w:r w:rsidRPr="000B7475">
          <w:rPr>
            <w:rFonts w:asciiTheme="minorHAnsi" w:hAnsiTheme="minorHAnsi" w:cstheme="majorHAnsi"/>
            <w:color w:val="1D4ED8"/>
            <w:sz w:val="20"/>
            <w:szCs w:val="20"/>
            <w:u w:val="single"/>
          </w:rPr>
          <w:t>PMID: 37981762</w:t>
        </w:r>
      </w:hyperlink>
      <w:r w:rsidRPr="000B7475">
        <w:rPr>
          <w:rFonts w:asciiTheme="minorHAnsi" w:hAnsiTheme="minorHAnsi" w:cstheme="majorHAnsi"/>
          <w:color w:val="1E293B"/>
          <w:sz w:val="20"/>
        </w:rPr>
        <w:t>.</w:t>
      </w:r>
    </w:p>
    <w:p w14:paraId="038F4214"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127. </w:t>
      </w:r>
      <w:r w:rsidRPr="000B7475">
        <w:rPr>
          <w:rFonts w:asciiTheme="minorHAnsi" w:hAnsiTheme="minorHAnsi" w:cstheme="majorHAnsi"/>
          <w:color w:val="1E293B"/>
          <w:sz w:val="20"/>
        </w:rPr>
        <w:t xml:space="preserve">Kawakami R, </w:t>
      </w:r>
      <w:proofErr w:type="spellStart"/>
      <w:r w:rsidRPr="000B7475">
        <w:rPr>
          <w:rFonts w:asciiTheme="minorHAnsi" w:hAnsiTheme="minorHAnsi" w:cstheme="majorHAnsi"/>
          <w:color w:val="1E293B"/>
          <w:sz w:val="20"/>
        </w:rPr>
        <w:t>Hiraide</w:t>
      </w:r>
      <w:proofErr w:type="spellEnd"/>
      <w:r w:rsidRPr="000B7475">
        <w:rPr>
          <w:rFonts w:asciiTheme="minorHAnsi" w:hAnsiTheme="minorHAnsi" w:cstheme="majorHAnsi"/>
          <w:color w:val="1E293B"/>
          <w:sz w:val="20"/>
        </w:rPr>
        <w:t xml:space="preserve"> T, Watanabe K, et al. RNA sequencing and target long-read sequencing reveal an intronic transposon insertion causing aberrant splicing. J Hum Genet. 2024;69(2):91-99. </w:t>
      </w:r>
      <w:hyperlink r:id="rId138">
        <w:r w:rsidRPr="000B7475">
          <w:rPr>
            <w:rFonts w:asciiTheme="minorHAnsi" w:hAnsiTheme="minorHAnsi" w:cstheme="majorHAnsi"/>
            <w:color w:val="1D4ED8"/>
            <w:sz w:val="20"/>
            <w:szCs w:val="20"/>
            <w:u w:val="single"/>
          </w:rPr>
          <w:t>PMID: 38102195</w:t>
        </w:r>
      </w:hyperlink>
      <w:r w:rsidRPr="000B7475">
        <w:rPr>
          <w:rFonts w:asciiTheme="minorHAnsi" w:hAnsiTheme="minorHAnsi" w:cstheme="majorHAnsi"/>
          <w:color w:val="1E293B"/>
          <w:sz w:val="20"/>
        </w:rPr>
        <w:t>.</w:t>
      </w:r>
    </w:p>
    <w:p w14:paraId="29E6AFE4"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128. </w:t>
      </w:r>
      <w:r w:rsidRPr="000B7475">
        <w:rPr>
          <w:rFonts w:asciiTheme="minorHAnsi" w:hAnsiTheme="minorHAnsi" w:cstheme="majorHAnsi"/>
          <w:color w:val="1E293B"/>
          <w:sz w:val="20"/>
        </w:rPr>
        <w:t>Kawamura S, Chiba K, Yamashita Y, et al. Premature Chromatid Separation Trait Found During the Diagnosis of Male Infertility: A Case Report. Cureus. 2024;16(4</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58558. </w:t>
      </w:r>
      <w:hyperlink r:id="rId139">
        <w:r w:rsidRPr="000B7475">
          <w:rPr>
            <w:rFonts w:asciiTheme="minorHAnsi" w:hAnsiTheme="minorHAnsi" w:cstheme="majorHAnsi"/>
            <w:color w:val="1D4ED8"/>
            <w:sz w:val="20"/>
            <w:szCs w:val="20"/>
            <w:u w:val="single"/>
          </w:rPr>
          <w:t>PMID: 38770464</w:t>
        </w:r>
      </w:hyperlink>
      <w:r w:rsidRPr="000B7475">
        <w:rPr>
          <w:rFonts w:asciiTheme="minorHAnsi" w:hAnsiTheme="minorHAnsi" w:cstheme="majorHAnsi"/>
          <w:color w:val="1E293B"/>
          <w:sz w:val="20"/>
        </w:rPr>
        <w:t>.</w:t>
      </w:r>
    </w:p>
    <w:p w14:paraId="11F68144"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129. </w:t>
      </w:r>
      <w:proofErr w:type="spellStart"/>
      <w:r w:rsidRPr="000B7475">
        <w:rPr>
          <w:rFonts w:asciiTheme="minorHAnsi" w:hAnsiTheme="minorHAnsi" w:cstheme="majorHAnsi"/>
          <w:color w:val="1E293B"/>
          <w:sz w:val="20"/>
        </w:rPr>
        <w:t>Malumbres</w:t>
      </w:r>
      <w:proofErr w:type="spellEnd"/>
      <w:r w:rsidRPr="000B7475">
        <w:rPr>
          <w:rFonts w:asciiTheme="minorHAnsi" w:hAnsiTheme="minorHAnsi" w:cstheme="majorHAnsi"/>
          <w:color w:val="1E293B"/>
          <w:sz w:val="20"/>
        </w:rPr>
        <w:t xml:space="preserve"> M, </w:t>
      </w:r>
      <w:proofErr w:type="spellStart"/>
      <w:r w:rsidRPr="000B7475">
        <w:rPr>
          <w:rFonts w:asciiTheme="minorHAnsi" w:hAnsiTheme="minorHAnsi" w:cstheme="majorHAnsi"/>
          <w:color w:val="1E293B"/>
          <w:sz w:val="20"/>
        </w:rPr>
        <w:t>Villarroya-Beltri</w:t>
      </w:r>
      <w:proofErr w:type="spellEnd"/>
      <w:r w:rsidRPr="000B7475">
        <w:rPr>
          <w:rFonts w:asciiTheme="minorHAnsi" w:hAnsiTheme="minorHAnsi" w:cstheme="majorHAnsi"/>
          <w:color w:val="1E293B"/>
          <w:sz w:val="20"/>
        </w:rPr>
        <w:t xml:space="preserve"> C. Mosaic variegated aneuploidy in development, ageing and cancer. Nat Rev Genet. 2024;25(12):864-878. </w:t>
      </w:r>
      <w:hyperlink r:id="rId140">
        <w:r w:rsidRPr="000B7475">
          <w:rPr>
            <w:rFonts w:asciiTheme="minorHAnsi" w:hAnsiTheme="minorHAnsi" w:cstheme="majorHAnsi"/>
            <w:color w:val="1D4ED8"/>
            <w:sz w:val="20"/>
            <w:szCs w:val="20"/>
            <w:u w:val="single"/>
          </w:rPr>
          <w:t>PMID: 39169218</w:t>
        </w:r>
      </w:hyperlink>
      <w:r w:rsidRPr="000B7475">
        <w:rPr>
          <w:rFonts w:asciiTheme="minorHAnsi" w:hAnsiTheme="minorHAnsi" w:cstheme="majorHAnsi"/>
          <w:color w:val="1E293B"/>
          <w:sz w:val="20"/>
        </w:rPr>
        <w:t>.</w:t>
      </w:r>
    </w:p>
    <w:p w14:paraId="38C9D37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130. </w:t>
      </w:r>
      <w:r w:rsidRPr="000B7475">
        <w:rPr>
          <w:rFonts w:asciiTheme="minorHAnsi" w:hAnsiTheme="minorHAnsi" w:cstheme="majorHAnsi"/>
          <w:color w:val="1E293B"/>
          <w:sz w:val="20"/>
        </w:rPr>
        <w:t xml:space="preserve">Mittal K, Cooper GW, Lee BP, et al. Targeting TRIP13 in favorable histology Wilms tumor with nuclear export inhibitors synergizes with doxorubicin. Commun Biol. 2024;7(1):426. </w:t>
      </w:r>
      <w:hyperlink r:id="rId141">
        <w:r w:rsidRPr="000B7475">
          <w:rPr>
            <w:rFonts w:asciiTheme="minorHAnsi" w:hAnsiTheme="minorHAnsi" w:cstheme="majorHAnsi"/>
            <w:color w:val="1D4ED8"/>
            <w:sz w:val="20"/>
            <w:szCs w:val="20"/>
            <w:u w:val="single"/>
          </w:rPr>
          <w:t>PMID: 38589567</w:t>
        </w:r>
      </w:hyperlink>
      <w:r w:rsidRPr="000B7475">
        <w:rPr>
          <w:rFonts w:asciiTheme="minorHAnsi" w:hAnsiTheme="minorHAnsi" w:cstheme="majorHAnsi"/>
          <w:color w:val="1E293B"/>
          <w:sz w:val="20"/>
        </w:rPr>
        <w:t>.</w:t>
      </w:r>
    </w:p>
    <w:p w14:paraId="31C233D4"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131. </w:t>
      </w:r>
      <w:r w:rsidRPr="000B7475">
        <w:rPr>
          <w:rFonts w:asciiTheme="minorHAnsi" w:hAnsiTheme="minorHAnsi" w:cstheme="majorHAnsi"/>
          <w:color w:val="1E293B"/>
          <w:sz w:val="20"/>
        </w:rPr>
        <w:t xml:space="preserve">Nakano Y, Kuiper RP, Nichols KE, et al. Update on Recommendations for Cancer Screening and Surveillance in Children with Genomic Instability Disorders. Clin Cancer Res. 2024;30(22):5009-5020. </w:t>
      </w:r>
      <w:hyperlink r:id="rId142">
        <w:r w:rsidRPr="000B7475">
          <w:rPr>
            <w:rFonts w:asciiTheme="minorHAnsi" w:hAnsiTheme="minorHAnsi" w:cstheme="majorHAnsi"/>
            <w:color w:val="1D4ED8"/>
            <w:sz w:val="20"/>
            <w:szCs w:val="20"/>
            <w:u w:val="single"/>
          </w:rPr>
          <w:t>PMID: 39264246</w:t>
        </w:r>
      </w:hyperlink>
      <w:r w:rsidRPr="000B7475">
        <w:rPr>
          <w:rFonts w:asciiTheme="minorHAnsi" w:hAnsiTheme="minorHAnsi" w:cstheme="majorHAnsi"/>
          <w:color w:val="1E293B"/>
          <w:sz w:val="20"/>
        </w:rPr>
        <w:t>.</w:t>
      </w:r>
    </w:p>
    <w:p w14:paraId="024B1D5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132. </w:t>
      </w:r>
      <w:proofErr w:type="spellStart"/>
      <w:r w:rsidRPr="000B7475">
        <w:rPr>
          <w:rFonts w:asciiTheme="minorHAnsi" w:hAnsiTheme="minorHAnsi" w:cstheme="majorHAnsi"/>
          <w:color w:val="1E293B"/>
          <w:sz w:val="20"/>
        </w:rPr>
        <w:t>Sukla</w:t>
      </w:r>
      <w:proofErr w:type="spellEnd"/>
      <w:r w:rsidRPr="000B7475">
        <w:rPr>
          <w:rFonts w:asciiTheme="minorHAnsi" w:hAnsiTheme="minorHAnsi" w:cstheme="majorHAnsi"/>
          <w:color w:val="1E293B"/>
          <w:sz w:val="20"/>
        </w:rPr>
        <w:t xml:space="preserve"> S, </w:t>
      </w:r>
      <w:proofErr w:type="spellStart"/>
      <w:r w:rsidRPr="000B7475">
        <w:rPr>
          <w:rFonts w:asciiTheme="minorHAnsi" w:hAnsiTheme="minorHAnsi" w:cstheme="majorHAnsi"/>
          <w:color w:val="1E293B"/>
          <w:sz w:val="20"/>
        </w:rPr>
        <w:t>Dhakshinamoorthy</w:t>
      </w:r>
      <w:proofErr w:type="spellEnd"/>
      <w:r w:rsidRPr="000B7475">
        <w:rPr>
          <w:rFonts w:asciiTheme="minorHAnsi" w:hAnsiTheme="minorHAnsi" w:cstheme="majorHAnsi"/>
          <w:color w:val="1E293B"/>
          <w:sz w:val="20"/>
        </w:rPr>
        <w:t xml:space="preserve"> DR, Ramesh AV, et al. Crystal structure of human Cep57 C-terminal domain reveals the presence of leucine zipper and the potential microtubule binding region. Proteins. 2024;92(9):1085-1095. </w:t>
      </w:r>
      <w:hyperlink r:id="rId143">
        <w:r w:rsidRPr="000B7475">
          <w:rPr>
            <w:rFonts w:asciiTheme="minorHAnsi" w:hAnsiTheme="minorHAnsi" w:cstheme="majorHAnsi"/>
            <w:color w:val="1D4ED8"/>
            <w:sz w:val="20"/>
            <w:szCs w:val="20"/>
            <w:u w:val="single"/>
          </w:rPr>
          <w:t>PMID: 38699879</w:t>
        </w:r>
      </w:hyperlink>
      <w:r w:rsidRPr="000B7475">
        <w:rPr>
          <w:rFonts w:asciiTheme="minorHAnsi" w:hAnsiTheme="minorHAnsi" w:cstheme="majorHAnsi"/>
          <w:color w:val="1E293B"/>
          <w:sz w:val="20"/>
        </w:rPr>
        <w:t>.</w:t>
      </w:r>
    </w:p>
    <w:p w14:paraId="16B062F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133. </w:t>
      </w:r>
      <w:r w:rsidRPr="000B7475">
        <w:rPr>
          <w:rFonts w:asciiTheme="minorHAnsi" w:hAnsiTheme="minorHAnsi" w:cstheme="majorHAnsi"/>
          <w:color w:val="1E293B"/>
          <w:sz w:val="20"/>
        </w:rPr>
        <w:t>Yeh HW, Chen PP, Yeh TC, et al. Cep57 regulates human centrosomes through multivalent interactions. Proc Natl Acad Sci U S A. 2024;121(25</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2305260121. </w:t>
      </w:r>
      <w:hyperlink r:id="rId144">
        <w:r w:rsidRPr="000B7475">
          <w:rPr>
            <w:rFonts w:asciiTheme="minorHAnsi" w:hAnsiTheme="minorHAnsi" w:cstheme="majorHAnsi"/>
            <w:color w:val="1D4ED8"/>
            <w:sz w:val="20"/>
            <w:szCs w:val="20"/>
            <w:u w:val="single"/>
          </w:rPr>
          <w:t>PMID: 38857398</w:t>
        </w:r>
      </w:hyperlink>
      <w:r w:rsidRPr="000B7475">
        <w:rPr>
          <w:rFonts w:asciiTheme="minorHAnsi" w:hAnsiTheme="minorHAnsi" w:cstheme="majorHAnsi"/>
          <w:color w:val="1E293B"/>
          <w:sz w:val="20"/>
        </w:rPr>
        <w:t>.</w:t>
      </w:r>
    </w:p>
    <w:p w14:paraId="07D1CD4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134. </w:t>
      </w:r>
      <w:proofErr w:type="spellStart"/>
      <w:r w:rsidRPr="000B7475">
        <w:rPr>
          <w:rFonts w:asciiTheme="minorHAnsi" w:hAnsiTheme="minorHAnsi" w:cstheme="majorHAnsi"/>
          <w:color w:val="1E293B"/>
          <w:sz w:val="20"/>
        </w:rPr>
        <w:t>Cmentowski</w:t>
      </w:r>
      <w:proofErr w:type="spellEnd"/>
      <w:r w:rsidRPr="000B7475">
        <w:rPr>
          <w:rFonts w:asciiTheme="minorHAnsi" w:hAnsiTheme="minorHAnsi" w:cstheme="majorHAnsi"/>
          <w:color w:val="1E293B"/>
          <w:sz w:val="20"/>
        </w:rPr>
        <w:t xml:space="preserve"> V, Musacchio A. The BUB1 and BUBR1 paralogs scaffold the kinetochore fibrous corona. Sci Adv. 2025;11(37</w:t>
      </w:r>
      <w:proofErr w:type="gramStart"/>
      <w:r w:rsidRPr="000B7475">
        <w:rPr>
          <w:rFonts w:asciiTheme="minorHAnsi" w:hAnsiTheme="minorHAnsi" w:cstheme="majorHAnsi"/>
          <w:color w:val="1E293B"/>
          <w:sz w:val="20"/>
        </w:rPr>
        <w:t>):eady</w:t>
      </w:r>
      <w:proofErr w:type="gramEnd"/>
      <w:r w:rsidRPr="000B7475">
        <w:rPr>
          <w:rFonts w:asciiTheme="minorHAnsi" w:hAnsiTheme="minorHAnsi" w:cstheme="majorHAnsi"/>
          <w:color w:val="1E293B"/>
          <w:sz w:val="20"/>
        </w:rPr>
        <w:t>6890. doi:10.1126/</w:t>
      </w:r>
      <w:proofErr w:type="gramStart"/>
      <w:r w:rsidRPr="000B7475">
        <w:rPr>
          <w:rFonts w:asciiTheme="minorHAnsi" w:hAnsiTheme="minorHAnsi" w:cstheme="majorHAnsi"/>
          <w:color w:val="1E293B"/>
          <w:sz w:val="20"/>
        </w:rPr>
        <w:t>sciadv.ady</w:t>
      </w:r>
      <w:proofErr w:type="gramEnd"/>
      <w:r w:rsidRPr="000B7475">
        <w:rPr>
          <w:rFonts w:asciiTheme="minorHAnsi" w:hAnsiTheme="minorHAnsi" w:cstheme="majorHAnsi"/>
          <w:color w:val="1E293B"/>
          <w:sz w:val="20"/>
        </w:rPr>
        <w:t xml:space="preserve">6890. </w:t>
      </w:r>
      <w:hyperlink r:id="rId145">
        <w:r w:rsidRPr="000B7475">
          <w:rPr>
            <w:rFonts w:asciiTheme="minorHAnsi" w:hAnsiTheme="minorHAnsi" w:cstheme="majorHAnsi"/>
            <w:color w:val="1D4ED8"/>
            <w:sz w:val="20"/>
            <w:szCs w:val="20"/>
            <w:u w:val="single"/>
          </w:rPr>
          <w:t>PMID: 40938979</w:t>
        </w:r>
      </w:hyperlink>
      <w:r w:rsidRPr="000B7475">
        <w:rPr>
          <w:rFonts w:asciiTheme="minorHAnsi" w:hAnsiTheme="minorHAnsi" w:cstheme="majorHAnsi"/>
          <w:color w:val="1E293B"/>
          <w:sz w:val="20"/>
        </w:rPr>
        <w:t>.</w:t>
      </w:r>
    </w:p>
    <w:p w14:paraId="16BD70C5"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135. </w:t>
      </w:r>
      <w:r w:rsidRPr="000B7475">
        <w:rPr>
          <w:rFonts w:asciiTheme="minorHAnsi" w:hAnsiTheme="minorHAnsi" w:cstheme="majorHAnsi"/>
          <w:color w:val="1E293B"/>
          <w:sz w:val="20"/>
        </w:rPr>
        <w:t xml:space="preserve">Frattini A, </w:t>
      </w:r>
      <w:proofErr w:type="spellStart"/>
      <w:r w:rsidRPr="000B7475">
        <w:rPr>
          <w:rFonts w:asciiTheme="minorHAnsi" w:hAnsiTheme="minorHAnsi" w:cstheme="majorHAnsi"/>
          <w:color w:val="1E293B"/>
          <w:sz w:val="20"/>
        </w:rPr>
        <w:t>Micheloni</w:t>
      </w:r>
      <w:proofErr w:type="spellEnd"/>
      <w:r w:rsidRPr="000B7475">
        <w:rPr>
          <w:rFonts w:asciiTheme="minorHAnsi" w:hAnsiTheme="minorHAnsi" w:cstheme="majorHAnsi"/>
          <w:color w:val="1E293B"/>
          <w:sz w:val="20"/>
        </w:rPr>
        <w:t xml:space="preserve"> G, </w:t>
      </w:r>
      <w:proofErr w:type="spellStart"/>
      <w:r w:rsidRPr="000B7475">
        <w:rPr>
          <w:rFonts w:asciiTheme="minorHAnsi" w:hAnsiTheme="minorHAnsi" w:cstheme="majorHAnsi"/>
          <w:color w:val="1E293B"/>
          <w:sz w:val="20"/>
        </w:rPr>
        <w:t>Musio</w:t>
      </w:r>
      <w:proofErr w:type="spellEnd"/>
      <w:r w:rsidRPr="000B7475">
        <w:rPr>
          <w:rFonts w:asciiTheme="minorHAnsi" w:hAnsiTheme="minorHAnsi" w:cstheme="majorHAnsi"/>
          <w:color w:val="1E293B"/>
          <w:sz w:val="20"/>
        </w:rPr>
        <w:t xml:space="preserve"> A, et al. A Distinctive Type of Mosaic Variegated Aneuploidy: Case Report and Review of the Literature. Am J Med Genet A. 2025;197(2</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63901. </w:t>
      </w:r>
      <w:hyperlink r:id="rId146">
        <w:r w:rsidRPr="000B7475">
          <w:rPr>
            <w:rFonts w:asciiTheme="minorHAnsi" w:hAnsiTheme="minorHAnsi" w:cstheme="majorHAnsi"/>
            <w:color w:val="1D4ED8"/>
            <w:sz w:val="20"/>
            <w:szCs w:val="20"/>
            <w:u w:val="single"/>
          </w:rPr>
          <w:t>PMID: 39392177</w:t>
        </w:r>
      </w:hyperlink>
      <w:r w:rsidRPr="000B7475">
        <w:rPr>
          <w:rFonts w:asciiTheme="minorHAnsi" w:hAnsiTheme="minorHAnsi" w:cstheme="majorHAnsi"/>
          <w:color w:val="1E293B"/>
          <w:sz w:val="20"/>
        </w:rPr>
        <w:t>.</w:t>
      </w:r>
    </w:p>
    <w:p w14:paraId="7C9BE3B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136. </w:t>
      </w:r>
      <w:r w:rsidRPr="000B7475">
        <w:rPr>
          <w:rFonts w:asciiTheme="minorHAnsi" w:hAnsiTheme="minorHAnsi" w:cstheme="majorHAnsi"/>
          <w:color w:val="1E293B"/>
          <w:sz w:val="20"/>
        </w:rPr>
        <w:t>Hu L, Wainman A, Andreeva A, et al. The conserved Spd-2/CEP192 domain adopts a unique protein fold to promote centrosome scaffold assembly. Sci Adv. 2025;11(12</w:t>
      </w:r>
      <w:proofErr w:type="gramStart"/>
      <w:r w:rsidRPr="000B7475">
        <w:rPr>
          <w:rFonts w:asciiTheme="minorHAnsi" w:hAnsiTheme="minorHAnsi" w:cstheme="majorHAnsi"/>
          <w:color w:val="1E293B"/>
          <w:sz w:val="20"/>
        </w:rPr>
        <w:t>):eadr</w:t>
      </w:r>
      <w:proofErr w:type="gramEnd"/>
      <w:r w:rsidRPr="000B7475">
        <w:rPr>
          <w:rFonts w:asciiTheme="minorHAnsi" w:hAnsiTheme="minorHAnsi" w:cstheme="majorHAnsi"/>
          <w:color w:val="1E293B"/>
          <w:sz w:val="20"/>
        </w:rPr>
        <w:t xml:space="preserve">5744. </w:t>
      </w:r>
      <w:hyperlink r:id="rId147">
        <w:r w:rsidRPr="000B7475">
          <w:rPr>
            <w:rFonts w:asciiTheme="minorHAnsi" w:hAnsiTheme="minorHAnsi" w:cstheme="majorHAnsi"/>
            <w:color w:val="1D4ED8"/>
            <w:sz w:val="20"/>
            <w:szCs w:val="20"/>
            <w:u w:val="single"/>
          </w:rPr>
          <w:t>PMID: 40106572</w:t>
        </w:r>
      </w:hyperlink>
      <w:r w:rsidRPr="000B7475">
        <w:rPr>
          <w:rFonts w:asciiTheme="minorHAnsi" w:hAnsiTheme="minorHAnsi" w:cstheme="majorHAnsi"/>
          <w:color w:val="1E293B"/>
          <w:sz w:val="20"/>
        </w:rPr>
        <w:t>.</w:t>
      </w:r>
    </w:p>
    <w:p w14:paraId="037C05D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137. </w:t>
      </w:r>
      <w:proofErr w:type="spellStart"/>
      <w:r w:rsidRPr="000B7475">
        <w:rPr>
          <w:rFonts w:asciiTheme="minorHAnsi" w:hAnsiTheme="minorHAnsi" w:cstheme="majorHAnsi"/>
          <w:color w:val="1E293B"/>
          <w:sz w:val="20"/>
        </w:rPr>
        <w:t>Miličić</w:t>
      </w:r>
      <w:proofErr w:type="spellEnd"/>
      <w:r w:rsidRPr="000B7475">
        <w:rPr>
          <w:rFonts w:asciiTheme="minorHAnsi" w:hAnsiTheme="minorHAnsi" w:cstheme="majorHAnsi"/>
          <w:color w:val="1E293B"/>
          <w:sz w:val="20"/>
        </w:rPr>
        <w:t xml:space="preserve"> B, </w:t>
      </w:r>
      <w:proofErr w:type="spellStart"/>
      <w:r w:rsidRPr="000B7475">
        <w:rPr>
          <w:rFonts w:asciiTheme="minorHAnsi" w:hAnsiTheme="minorHAnsi" w:cstheme="majorHAnsi"/>
          <w:color w:val="1E293B"/>
          <w:sz w:val="20"/>
        </w:rPr>
        <w:t>Pešorda</w:t>
      </w:r>
      <w:proofErr w:type="spellEnd"/>
      <w:r w:rsidRPr="000B7475">
        <w:rPr>
          <w:rFonts w:asciiTheme="minorHAnsi" w:hAnsiTheme="minorHAnsi" w:cstheme="majorHAnsi"/>
          <w:color w:val="1E293B"/>
          <w:sz w:val="20"/>
        </w:rPr>
        <w:t xml:space="preserve"> M, Vukojević K, Saraga M, Arapović A, </w:t>
      </w:r>
      <w:proofErr w:type="spellStart"/>
      <w:r w:rsidRPr="000B7475">
        <w:rPr>
          <w:rFonts w:asciiTheme="minorHAnsi" w:hAnsiTheme="minorHAnsi" w:cstheme="majorHAnsi"/>
          <w:color w:val="1E293B"/>
          <w:sz w:val="20"/>
        </w:rPr>
        <w:t>Todorić</w:t>
      </w:r>
      <w:proofErr w:type="spellEnd"/>
      <w:r w:rsidRPr="000B7475">
        <w:rPr>
          <w:rFonts w:asciiTheme="minorHAnsi" w:hAnsiTheme="minorHAnsi" w:cstheme="majorHAnsi"/>
          <w:color w:val="1E293B"/>
          <w:sz w:val="20"/>
        </w:rPr>
        <w:t xml:space="preserve"> J, et al. WT1 Gene Pathogenic Variants: Clinical Challenges and Treatment Strategies in Pediatric Nephrology—One Center Practice. Int J Mol Sci. 2025;26(8):3642. doi:10.3390/ijms26083642. </w:t>
      </w:r>
      <w:hyperlink r:id="rId148">
        <w:r w:rsidRPr="000B7475">
          <w:rPr>
            <w:rFonts w:asciiTheme="minorHAnsi" w:hAnsiTheme="minorHAnsi" w:cstheme="majorHAnsi"/>
            <w:color w:val="1D4ED8"/>
            <w:sz w:val="20"/>
            <w:szCs w:val="20"/>
            <w:u w:val="single"/>
          </w:rPr>
          <w:t>PMID: 40332152</w:t>
        </w:r>
      </w:hyperlink>
      <w:r w:rsidRPr="000B7475">
        <w:rPr>
          <w:rFonts w:asciiTheme="minorHAnsi" w:hAnsiTheme="minorHAnsi" w:cstheme="majorHAnsi"/>
          <w:color w:val="1E293B"/>
          <w:sz w:val="20"/>
        </w:rPr>
        <w:t>.</w:t>
      </w:r>
    </w:p>
    <w:p w14:paraId="47F9475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138. </w:t>
      </w:r>
      <w:r w:rsidRPr="000B7475">
        <w:rPr>
          <w:rFonts w:asciiTheme="minorHAnsi" w:hAnsiTheme="minorHAnsi" w:cstheme="majorHAnsi"/>
          <w:color w:val="1E293B"/>
          <w:sz w:val="20"/>
        </w:rPr>
        <w:t xml:space="preserve">Milán M. Chromosomal instability in development and disease: Beyond cancer evolution. Curr </w:t>
      </w:r>
      <w:proofErr w:type="spellStart"/>
      <w:r w:rsidRPr="000B7475">
        <w:rPr>
          <w:rFonts w:asciiTheme="minorHAnsi" w:hAnsiTheme="minorHAnsi" w:cstheme="majorHAnsi"/>
          <w:color w:val="1E293B"/>
          <w:sz w:val="20"/>
        </w:rPr>
        <w:t>Opin</w:t>
      </w:r>
      <w:proofErr w:type="spellEnd"/>
      <w:r w:rsidRPr="000B7475">
        <w:rPr>
          <w:rFonts w:asciiTheme="minorHAnsi" w:hAnsiTheme="minorHAnsi" w:cstheme="majorHAnsi"/>
          <w:color w:val="1E293B"/>
          <w:sz w:val="20"/>
        </w:rPr>
        <w:t xml:space="preserve"> Cell Biol. </w:t>
      </w:r>
      <w:proofErr w:type="gramStart"/>
      <w:r w:rsidRPr="000B7475">
        <w:rPr>
          <w:rFonts w:asciiTheme="minorHAnsi" w:hAnsiTheme="minorHAnsi" w:cstheme="majorHAnsi"/>
          <w:color w:val="1E293B"/>
          <w:sz w:val="20"/>
        </w:rPr>
        <w:t>2025;95:102546</w:t>
      </w:r>
      <w:proofErr w:type="gramEnd"/>
      <w:r w:rsidRPr="000B7475">
        <w:rPr>
          <w:rFonts w:asciiTheme="minorHAnsi" w:hAnsiTheme="minorHAnsi" w:cstheme="majorHAnsi"/>
          <w:color w:val="1E293B"/>
          <w:sz w:val="20"/>
        </w:rPr>
        <w:t xml:space="preserve">. </w:t>
      </w:r>
      <w:hyperlink r:id="rId149">
        <w:r w:rsidRPr="000B7475">
          <w:rPr>
            <w:rFonts w:asciiTheme="minorHAnsi" w:hAnsiTheme="minorHAnsi" w:cstheme="majorHAnsi"/>
            <w:color w:val="1D4ED8"/>
            <w:sz w:val="20"/>
            <w:szCs w:val="20"/>
            <w:u w:val="single"/>
          </w:rPr>
          <w:t>PMID: 40441073</w:t>
        </w:r>
      </w:hyperlink>
      <w:r w:rsidRPr="000B7475">
        <w:rPr>
          <w:rFonts w:asciiTheme="minorHAnsi" w:hAnsiTheme="minorHAnsi" w:cstheme="majorHAnsi"/>
          <w:color w:val="1E293B"/>
          <w:sz w:val="20"/>
        </w:rPr>
        <w:t>.</w:t>
      </w:r>
    </w:p>
    <w:p w14:paraId="4133024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139. </w:t>
      </w:r>
      <w:r w:rsidRPr="000B7475">
        <w:rPr>
          <w:rFonts w:asciiTheme="minorHAnsi" w:hAnsiTheme="minorHAnsi" w:cstheme="majorHAnsi"/>
          <w:color w:val="1E293B"/>
          <w:sz w:val="20"/>
        </w:rPr>
        <w:t xml:space="preserve">Pun R, Thapa A, Takafuji SR, et al. BubR1 Controls Heart Development by Promoting Expression of </w:t>
      </w:r>
      <w:proofErr w:type="spellStart"/>
      <w:r w:rsidRPr="000B7475">
        <w:rPr>
          <w:rFonts w:asciiTheme="minorHAnsi" w:hAnsiTheme="minorHAnsi" w:cstheme="majorHAnsi"/>
          <w:color w:val="1E293B"/>
          <w:sz w:val="20"/>
        </w:rPr>
        <w:t>Cardiogenesis</w:t>
      </w:r>
      <w:proofErr w:type="spellEnd"/>
      <w:r w:rsidRPr="000B7475">
        <w:rPr>
          <w:rFonts w:asciiTheme="minorHAnsi" w:hAnsiTheme="minorHAnsi" w:cstheme="majorHAnsi"/>
          <w:color w:val="1E293B"/>
          <w:sz w:val="20"/>
        </w:rPr>
        <w:t xml:space="preserve"> Regulators. J Am Heart Assoc. 2025;14(6</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038286. </w:t>
      </w:r>
      <w:hyperlink r:id="rId150">
        <w:r w:rsidRPr="000B7475">
          <w:rPr>
            <w:rFonts w:asciiTheme="minorHAnsi" w:hAnsiTheme="minorHAnsi" w:cstheme="majorHAnsi"/>
            <w:color w:val="1D4ED8"/>
            <w:sz w:val="20"/>
            <w:szCs w:val="20"/>
            <w:u w:val="single"/>
          </w:rPr>
          <w:t>PMID: 40055864</w:t>
        </w:r>
      </w:hyperlink>
      <w:r w:rsidRPr="000B7475">
        <w:rPr>
          <w:rFonts w:asciiTheme="minorHAnsi" w:hAnsiTheme="minorHAnsi" w:cstheme="majorHAnsi"/>
          <w:color w:val="1E293B"/>
          <w:sz w:val="20"/>
        </w:rPr>
        <w:t>.</w:t>
      </w:r>
    </w:p>
    <w:p w14:paraId="5CEBAC5E"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140. </w:t>
      </w:r>
      <w:r w:rsidRPr="000B7475">
        <w:rPr>
          <w:rFonts w:asciiTheme="minorHAnsi" w:hAnsiTheme="minorHAnsi" w:cstheme="majorHAnsi"/>
          <w:color w:val="1E293B"/>
          <w:sz w:val="20"/>
        </w:rPr>
        <w:t xml:space="preserve">Qu J, Zhu W, Wang J, et al. [Genetic analysis of two fetuses with Mosaic variegated aneuploidy syndrome caused by compound heterozygous variants in BUB1B and its upstream regulatory elements and a literature Review]. Zhonghua Yi Xue Yi Chuan Xue Za Zhi. 2025;42(4):421-427. </w:t>
      </w:r>
      <w:hyperlink r:id="rId151">
        <w:r w:rsidRPr="000B7475">
          <w:rPr>
            <w:rFonts w:asciiTheme="minorHAnsi" w:hAnsiTheme="minorHAnsi" w:cstheme="majorHAnsi"/>
            <w:color w:val="1D4ED8"/>
            <w:sz w:val="20"/>
            <w:szCs w:val="20"/>
            <w:u w:val="single"/>
          </w:rPr>
          <w:t>PMID: 40555658</w:t>
        </w:r>
      </w:hyperlink>
      <w:r w:rsidRPr="000B7475">
        <w:rPr>
          <w:rFonts w:asciiTheme="minorHAnsi" w:hAnsiTheme="minorHAnsi" w:cstheme="majorHAnsi"/>
          <w:color w:val="1E293B"/>
          <w:sz w:val="20"/>
        </w:rPr>
        <w:t>.</w:t>
      </w:r>
    </w:p>
    <w:p w14:paraId="58408A0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141. </w:t>
      </w:r>
      <w:proofErr w:type="spellStart"/>
      <w:r w:rsidRPr="000B7475">
        <w:rPr>
          <w:rFonts w:asciiTheme="minorHAnsi" w:hAnsiTheme="minorHAnsi" w:cstheme="majorHAnsi"/>
          <w:color w:val="1E293B"/>
          <w:sz w:val="20"/>
        </w:rPr>
        <w:t>Waknitz</w:t>
      </w:r>
      <w:proofErr w:type="spellEnd"/>
      <w:r w:rsidRPr="000B7475">
        <w:rPr>
          <w:rFonts w:asciiTheme="minorHAnsi" w:hAnsiTheme="minorHAnsi" w:cstheme="majorHAnsi"/>
          <w:color w:val="1E293B"/>
          <w:sz w:val="20"/>
        </w:rPr>
        <w:t xml:space="preserve"> M, Kim MH, Baker DJ, van Deursen JM. BubR1 insufficiency drives transcriptomic alterations and cellular senescence in mitotic instability. Aging Cell. 2025;24(7</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14482. </w:t>
      </w:r>
      <w:hyperlink r:id="rId152">
        <w:r w:rsidRPr="000B7475">
          <w:rPr>
            <w:rFonts w:asciiTheme="minorHAnsi" w:hAnsiTheme="minorHAnsi" w:cstheme="majorHAnsi"/>
            <w:color w:val="1D4ED8"/>
            <w:sz w:val="20"/>
            <w:szCs w:val="20"/>
            <w:u w:val="single"/>
          </w:rPr>
          <w:t>PMID: 40607964</w:t>
        </w:r>
      </w:hyperlink>
      <w:r w:rsidRPr="000B7475">
        <w:rPr>
          <w:rFonts w:asciiTheme="minorHAnsi" w:hAnsiTheme="minorHAnsi" w:cstheme="majorHAnsi"/>
          <w:color w:val="1E293B"/>
          <w:sz w:val="20"/>
        </w:rPr>
        <w:t>.</w:t>
      </w:r>
    </w:p>
    <w:p w14:paraId="3EFC46B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142. </w:t>
      </w:r>
      <w:r w:rsidRPr="000B7475">
        <w:rPr>
          <w:rFonts w:asciiTheme="minorHAnsi" w:hAnsiTheme="minorHAnsi" w:cstheme="majorHAnsi"/>
          <w:color w:val="1E293B"/>
          <w:sz w:val="20"/>
        </w:rPr>
        <w:t>Yang Y, Li N, Liu C, et al. Recessive SMC5 Variants in a Family with Near-</w:t>
      </w:r>
      <w:proofErr w:type="spellStart"/>
      <w:r w:rsidRPr="000B7475">
        <w:rPr>
          <w:rFonts w:asciiTheme="minorHAnsi" w:hAnsiTheme="minorHAnsi" w:cstheme="majorHAnsi"/>
          <w:color w:val="1E293B"/>
          <w:sz w:val="20"/>
        </w:rPr>
        <w:t>Tetraploidy</w:t>
      </w:r>
      <w:proofErr w:type="spellEnd"/>
      <w:r w:rsidRPr="000B7475">
        <w:rPr>
          <w:rFonts w:asciiTheme="minorHAnsi" w:hAnsiTheme="minorHAnsi" w:cstheme="majorHAnsi"/>
          <w:color w:val="1E293B"/>
          <w:sz w:val="20"/>
        </w:rPr>
        <w:t xml:space="preserve">/Mosaic Variegated Aneuploidy. Diagnostics (Basel). 2025;15(23):3022. </w:t>
      </w:r>
      <w:hyperlink r:id="rId153">
        <w:r w:rsidRPr="000B7475">
          <w:rPr>
            <w:rFonts w:asciiTheme="minorHAnsi" w:hAnsiTheme="minorHAnsi" w:cstheme="majorHAnsi"/>
            <w:color w:val="1D4ED8"/>
            <w:sz w:val="20"/>
            <w:szCs w:val="20"/>
            <w:u w:val="single"/>
          </w:rPr>
          <w:t>PMID: 41374403</w:t>
        </w:r>
      </w:hyperlink>
      <w:r w:rsidRPr="000B7475">
        <w:rPr>
          <w:rFonts w:asciiTheme="minorHAnsi" w:hAnsiTheme="minorHAnsi" w:cstheme="majorHAnsi"/>
          <w:color w:val="1E293B"/>
          <w:sz w:val="20"/>
        </w:rPr>
        <w:t>.</w:t>
      </w:r>
    </w:p>
    <w:p w14:paraId="6F31FDAC"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143. </w:t>
      </w:r>
      <w:r w:rsidRPr="000B7475">
        <w:rPr>
          <w:rFonts w:asciiTheme="minorHAnsi" w:hAnsiTheme="minorHAnsi" w:cstheme="majorHAnsi"/>
          <w:color w:val="1E293B"/>
          <w:sz w:val="20"/>
        </w:rPr>
        <w:t xml:space="preserve">González-Blanco A, Acuña-Higaki A, Boettger D, et al. </w:t>
      </w:r>
      <w:proofErr w:type="spellStart"/>
      <w:r w:rsidRPr="000B7475">
        <w:rPr>
          <w:rFonts w:asciiTheme="minorHAnsi" w:hAnsiTheme="minorHAnsi" w:cstheme="majorHAnsi"/>
          <w:color w:val="1E293B"/>
          <w:sz w:val="20"/>
        </w:rPr>
        <w:t>Proteostasis</w:t>
      </w:r>
      <w:proofErr w:type="spellEnd"/>
      <w:r w:rsidRPr="000B7475">
        <w:rPr>
          <w:rFonts w:asciiTheme="minorHAnsi" w:hAnsiTheme="minorHAnsi" w:cstheme="majorHAnsi"/>
          <w:color w:val="1E293B"/>
          <w:sz w:val="20"/>
        </w:rPr>
        <w:t xml:space="preserve"> failure and mitochondrial dysfunction contribute to chromosomal instability-induced microcephaly. Nat Commun. 2026;17(1):3829. </w:t>
      </w:r>
      <w:hyperlink r:id="rId154">
        <w:r w:rsidRPr="000B7475">
          <w:rPr>
            <w:rFonts w:asciiTheme="minorHAnsi" w:hAnsiTheme="minorHAnsi" w:cstheme="majorHAnsi"/>
            <w:color w:val="1D4ED8"/>
            <w:sz w:val="20"/>
            <w:szCs w:val="20"/>
            <w:u w:val="single"/>
          </w:rPr>
          <w:t>PMID: 41820377</w:t>
        </w:r>
      </w:hyperlink>
      <w:r w:rsidRPr="000B7475">
        <w:rPr>
          <w:rFonts w:asciiTheme="minorHAnsi" w:hAnsiTheme="minorHAnsi" w:cstheme="majorHAnsi"/>
          <w:color w:val="1E293B"/>
          <w:sz w:val="20"/>
        </w:rPr>
        <w:t>.</w:t>
      </w:r>
    </w:p>
    <w:p w14:paraId="6BDDA0D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144. </w:t>
      </w:r>
      <w:proofErr w:type="spellStart"/>
      <w:r w:rsidRPr="000B7475">
        <w:rPr>
          <w:rFonts w:asciiTheme="minorHAnsi" w:hAnsiTheme="minorHAnsi" w:cstheme="majorHAnsi"/>
          <w:color w:val="1E293B"/>
          <w:sz w:val="20"/>
        </w:rPr>
        <w:t>Hakonen</w:t>
      </w:r>
      <w:proofErr w:type="spellEnd"/>
      <w:r w:rsidRPr="000B7475">
        <w:rPr>
          <w:rFonts w:asciiTheme="minorHAnsi" w:hAnsiTheme="minorHAnsi" w:cstheme="majorHAnsi"/>
          <w:color w:val="1E293B"/>
          <w:sz w:val="20"/>
        </w:rPr>
        <w:t xml:space="preserve"> AH, Karlberg S, Kiiski K, et al. Mosaic variegated aneuploidy as a novel feature in patients with Mulibrey nanism and TRIM37 variants. J Med Genet. 2026;63(5):308-315. </w:t>
      </w:r>
      <w:hyperlink r:id="rId155">
        <w:r w:rsidRPr="000B7475">
          <w:rPr>
            <w:rFonts w:asciiTheme="minorHAnsi" w:hAnsiTheme="minorHAnsi" w:cstheme="majorHAnsi"/>
            <w:color w:val="1D4ED8"/>
            <w:sz w:val="20"/>
            <w:szCs w:val="20"/>
            <w:u w:val="single"/>
          </w:rPr>
          <w:t>PMID: 41702694</w:t>
        </w:r>
      </w:hyperlink>
      <w:r w:rsidRPr="000B7475">
        <w:rPr>
          <w:rFonts w:asciiTheme="minorHAnsi" w:hAnsiTheme="minorHAnsi" w:cstheme="majorHAnsi"/>
          <w:color w:val="1E293B"/>
          <w:sz w:val="20"/>
        </w:rPr>
        <w:t>.</w:t>
      </w:r>
    </w:p>
    <w:p w14:paraId="30709E4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145. </w:t>
      </w:r>
      <w:proofErr w:type="spellStart"/>
      <w:r w:rsidRPr="000B7475">
        <w:rPr>
          <w:rFonts w:asciiTheme="minorHAnsi" w:hAnsiTheme="minorHAnsi" w:cstheme="majorHAnsi"/>
          <w:color w:val="1E293B"/>
          <w:sz w:val="20"/>
        </w:rPr>
        <w:t>Vempuluru</w:t>
      </w:r>
      <w:proofErr w:type="spellEnd"/>
      <w:r w:rsidRPr="000B7475">
        <w:rPr>
          <w:rFonts w:asciiTheme="minorHAnsi" w:hAnsiTheme="minorHAnsi" w:cstheme="majorHAnsi"/>
          <w:color w:val="1E293B"/>
          <w:sz w:val="20"/>
        </w:rPr>
        <w:t xml:space="preserve"> VS, Sanjeev Patne G, </w:t>
      </w:r>
      <w:proofErr w:type="spellStart"/>
      <w:r w:rsidRPr="000B7475">
        <w:rPr>
          <w:rFonts w:asciiTheme="minorHAnsi" w:hAnsiTheme="minorHAnsi" w:cstheme="majorHAnsi"/>
          <w:color w:val="1E293B"/>
          <w:sz w:val="20"/>
        </w:rPr>
        <w:t>Chattannavar</w:t>
      </w:r>
      <w:proofErr w:type="spellEnd"/>
      <w:r w:rsidRPr="000B7475">
        <w:rPr>
          <w:rFonts w:asciiTheme="minorHAnsi" w:hAnsiTheme="minorHAnsi" w:cstheme="majorHAnsi"/>
          <w:color w:val="1E293B"/>
          <w:sz w:val="20"/>
        </w:rPr>
        <w:t xml:space="preserve"> G, et al. Sequential presentation of Wilms' tumor and orbital rhabdomyosarcoma in a child with mosaic variegated aneuploidy syndrome 3. Orbit. 2026;45(4):412-416. </w:t>
      </w:r>
      <w:hyperlink r:id="rId156">
        <w:r w:rsidRPr="000B7475">
          <w:rPr>
            <w:rFonts w:asciiTheme="minorHAnsi" w:hAnsiTheme="minorHAnsi" w:cstheme="majorHAnsi"/>
            <w:color w:val="1D4ED8"/>
            <w:sz w:val="20"/>
            <w:szCs w:val="20"/>
            <w:u w:val="single"/>
          </w:rPr>
          <w:t>PMID: 42595739</w:t>
        </w:r>
      </w:hyperlink>
      <w:r w:rsidRPr="000B7475">
        <w:rPr>
          <w:rFonts w:asciiTheme="minorHAnsi" w:hAnsiTheme="minorHAnsi" w:cstheme="majorHAnsi"/>
          <w:color w:val="1E293B"/>
          <w:sz w:val="20"/>
        </w:rPr>
        <w:t>.</w:t>
      </w:r>
    </w:p>
    <w:p w14:paraId="6B7567A7"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lastRenderedPageBreak/>
        <w:t xml:space="preserve">146. </w:t>
      </w:r>
      <w:proofErr w:type="spellStart"/>
      <w:r w:rsidRPr="000B7475">
        <w:rPr>
          <w:rFonts w:asciiTheme="minorHAnsi" w:hAnsiTheme="minorHAnsi" w:cstheme="majorHAnsi"/>
          <w:color w:val="1E293B"/>
          <w:sz w:val="20"/>
        </w:rPr>
        <w:t>Viudes</w:t>
      </w:r>
      <w:proofErr w:type="spellEnd"/>
      <w:r w:rsidRPr="000B7475">
        <w:rPr>
          <w:rFonts w:asciiTheme="minorHAnsi" w:hAnsiTheme="minorHAnsi" w:cstheme="majorHAnsi"/>
          <w:color w:val="1E293B"/>
          <w:sz w:val="20"/>
        </w:rPr>
        <w:t xml:space="preserve"> CP, </w:t>
      </w:r>
      <w:proofErr w:type="spellStart"/>
      <w:r w:rsidRPr="000B7475">
        <w:rPr>
          <w:rFonts w:asciiTheme="minorHAnsi" w:hAnsiTheme="minorHAnsi" w:cstheme="majorHAnsi"/>
          <w:color w:val="1E293B"/>
          <w:sz w:val="20"/>
        </w:rPr>
        <w:t>Mansó</w:t>
      </w:r>
      <w:proofErr w:type="spellEnd"/>
      <w:r w:rsidRPr="000B7475">
        <w:rPr>
          <w:rFonts w:asciiTheme="minorHAnsi" w:hAnsiTheme="minorHAnsi" w:cstheme="majorHAnsi"/>
          <w:color w:val="1E293B"/>
          <w:sz w:val="20"/>
        </w:rPr>
        <w:t xml:space="preserve"> </w:t>
      </w:r>
      <w:proofErr w:type="spellStart"/>
      <w:r w:rsidRPr="000B7475">
        <w:rPr>
          <w:rFonts w:asciiTheme="minorHAnsi" w:hAnsiTheme="minorHAnsi" w:cstheme="majorHAnsi"/>
          <w:color w:val="1E293B"/>
          <w:sz w:val="20"/>
        </w:rPr>
        <w:t>Borrás</w:t>
      </w:r>
      <w:proofErr w:type="spellEnd"/>
      <w:r w:rsidRPr="000B7475">
        <w:rPr>
          <w:rFonts w:asciiTheme="minorHAnsi" w:hAnsiTheme="minorHAnsi" w:cstheme="majorHAnsi"/>
          <w:color w:val="1E293B"/>
          <w:sz w:val="20"/>
        </w:rPr>
        <w:t xml:space="preserve"> M, Enrique Madrid S, et al. A novel CEP57 gene mutation in mosaic variegated aneuploidy syndrome 2: case report. J Pediatr Endocrinol Metab. 2026;39(4):381-387. </w:t>
      </w:r>
      <w:hyperlink r:id="rId157">
        <w:r w:rsidRPr="000B7475">
          <w:rPr>
            <w:rFonts w:asciiTheme="minorHAnsi" w:hAnsiTheme="minorHAnsi" w:cstheme="majorHAnsi"/>
            <w:color w:val="1D4ED8"/>
            <w:sz w:val="20"/>
            <w:szCs w:val="20"/>
            <w:u w:val="single"/>
          </w:rPr>
          <w:t>PMID: 41700350</w:t>
        </w:r>
      </w:hyperlink>
      <w:r w:rsidRPr="000B7475">
        <w:rPr>
          <w:rFonts w:asciiTheme="minorHAnsi" w:hAnsiTheme="minorHAnsi" w:cstheme="majorHAnsi"/>
          <w:color w:val="1E293B"/>
          <w:sz w:val="20"/>
        </w:rPr>
        <w:t>.</w:t>
      </w:r>
    </w:p>
    <w:p w14:paraId="12166BA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147. </w:t>
      </w:r>
      <w:r w:rsidRPr="000B7475">
        <w:rPr>
          <w:rFonts w:asciiTheme="minorHAnsi" w:hAnsiTheme="minorHAnsi" w:cstheme="majorHAnsi"/>
          <w:color w:val="1E293B"/>
          <w:sz w:val="20"/>
        </w:rPr>
        <w:t xml:space="preserve">Zeng Q, Tao J, Peng G, et al. CDCA8 regulates ATP5F1A protein stability and malignant phenotypes in </w:t>
      </w:r>
      <w:proofErr w:type="spellStart"/>
      <w:r w:rsidRPr="000B7475">
        <w:rPr>
          <w:rFonts w:asciiTheme="minorHAnsi" w:hAnsiTheme="minorHAnsi" w:cstheme="majorHAnsi"/>
          <w:color w:val="1E293B"/>
          <w:sz w:val="20"/>
        </w:rPr>
        <w:t>wilms</w:t>
      </w:r>
      <w:proofErr w:type="spellEnd"/>
      <w:r w:rsidRPr="000B7475">
        <w:rPr>
          <w:rFonts w:asciiTheme="minorHAnsi" w:hAnsiTheme="minorHAnsi" w:cstheme="majorHAnsi"/>
          <w:color w:val="1E293B"/>
          <w:sz w:val="20"/>
        </w:rPr>
        <w:t xml:space="preserve"> tumor cells: Prognostic implications and mechanistic insights. </w:t>
      </w:r>
      <w:proofErr w:type="spellStart"/>
      <w:r w:rsidRPr="000B7475">
        <w:rPr>
          <w:rFonts w:asciiTheme="minorHAnsi" w:hAnsiTheme="minorHAnsi" w:cstheme="majorHAnsi"/>
          <w:color w:val="1E293B"/>
          <w:sz w:val="20"/>
        </w:rPr>
        <w:t>PLoS</w:t>
      </w:r>
      <w:proofErr w:type="spellEnd"/>
      <w:r w:rsidRPr="000B7475">
        <w:rPr>
          <w:rFonts w:asciiTheme="minorHAnsi" w:hAnsiTheme="minorHAnsi" w:cstheme="majorHAnsi"/>
          <w:color w:val="1E293B"/>
          <w:sz w:val="20"/>
        </w:rPr>
        <w:t xml:space="preserve"> One. 2026;21(7</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0353696. </w:t>
      </w:r>
      <w:hyperlink r:id="rId158">
        <w:r w:rsidRPr="000B7475">
          <w:rPr>
            <w:rFonts w:asciiTheme="minorHAnsi" w:hAnsiTheme="minorHAnsi" w:cstheme="majorHAnsi"/>
            <w:color w:val="1D4ED8"/>
            <w:sz w:val="20"/>
            <w:szCs w:val="20"/>
            <w:u w:val="single"/>
          </w:rPr>
          <w:t>PMID: 42479720</w:t>
        </w:r>
      </w:hyperlink>
      <w:r w:rsidRPr="000B7475">
        <w:rPr>
          <w:rFonts w:asciiTheme="minorHAnsi" w:hAnsiTheme="minorHAnsi" w:cstheme="majorHAnsi"/>
          <w:color w:val="1E293B"/>
          <w:sz w:val="20"/>
        </w:rPr>
        <w:t>.</w:t>
      </w:r>
    </w:p>
    <w:p w14:paraId="012CB46C"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148. </w:t>
      </w:r>
      <w:proofErr w:type="spellStart"/>
      <w:r w:rsidRPr="000B7475">
        <w:rPr>
          <w:rFonts w:asciiTheme="minorHAnsi" w:hAnsiTheme="minorHAnsi" w:cstheme="majorHAnsi"/>
          <w:color w:val="1E293B"/>
          <w:sz w:val="20"/>
        </w:rPr>
        <w:t>DerSimonian</w:t>
      </w:r>
      <w:proofErr w:type="spellEnd"/>
      <w:r w:rsidRPr="000B7475">
        <w:rPr>
          <w:rFonts w:asciiTheme="minorHAnsi" w:hAnsiTheme="minorHAnsi" w:cstheme="majorHAnsi"/>
          <w:color w:val="1E293B"/>
          <w:sz w:val="20"/>
        </w:rPr>
        <w:t xml:space="preserve"> R, Laird N. Meta-analysis in clinical trials. Control Clin Trials. 1986;7(3):177-188. doi:10.1016/0197-2456(86)90046-2. </w:t>
      </w:r>
      <w:hyperlink r:id="rId159">
        <w:r w:rsidRPr="000B7475">
          <w:rPr>
            <w:rFonts w:asciiTheme="minorHAnsi" w:hAnsiTheme="minorHAnsi" w:cstheme="majorHAnsi"/>
            <w:color w:val="1D4ED8"/>
            <w:sz w:val="20"/>
            <w:szCs w:val="20"/>
            <w:u w:val="single"/>
          </w:rPr>
          <w:t>PMID: 3802833</w:t>
        </w:r>
      </w:hyperlink>
      <w:r w:rsidRPr="000B7475">
        <w:rPr>
          <w:rFonts w:asciiTheme="minorHAnsi" w:hAnsiTheme="minorHAnsi" w:cstheme="majorHAnsi"/>
          <w:color w:val="1E293B"/>
          <w:sz w:val="20"/>
        </w:rPr>
        <w:t>.</w:t>
      </w:r>
    </w:p>
    <w:p w14:paraId="2B12430A"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149. </w:t>
      </w:r>
      <w:proofErr w:type="spellStart"/>
      <w:r w:rsidRPr="000B7475">
        <w:rPr>
          <w:rFonts w:asciiTheme="minorHAnsi" w:hAnsiTheme="minorHAnsi" w:cstheme="majorHAnsi"/>
          <w:color w:val="1E293B"/>
          <w:sz w:val="20"/>
        </w:rPr>
        <w:t>Viechtbauer</w:t>
      </w:r>
      <w:proofErr w:type="spellEnd"/>
      <w:r w:rsidRPr="000B7475">
        <w:rPr>
          <w:rFonts w:asciiTheme="minorHAnsi" w:hAnsiTheme="minorHAnsi" w:cstheme="majorHAnsi"/>
          <w:color w:val="1E293B"/>
          <w:sz w:val="20"/>
        </w:rPr>
        <w:t xml:space="preserve"> W. Conducting meta-analyses in R with the </w:t>
      </w:r>
      <w:proofErr w:type="spellStart"/>
      <w:r w:rsidRPr="000B7475">
        <w:rPr>
          <w:rFonts w:asciiTheme="minorHAnsi" w:hAnsiTheme="minorHAnsi" w:cstheme="majorHAnsi"/>
          <w:color w:val="1E293B"/>
          <w:sz w:val="20"/>
        </w:rPr>
        <w:t>metafor</w:t>
      </w:r>
      <w:proofErr w:type="spellEnd"/>
      <w:r w:rsidRPr="000B7475">
        <w:rPr>
          <w:rFonts w:asciiTheme="minorHAnsi" w:hAnsiTheme="minorHAnsi" w:cstheme="majorHAnsi"/>
          <w:color w:val="1E293B"/>
          <w:sz w:val="20"/>
        </w:rPr>
        <w:t xml:space="preserve"> package. J Stat </w:t>
      </w:r>
      <w:proofErr w:type="spellStart"/>
      <w:r w:rsidRPr="000B7475">
        <w:rPr>
          <w:rFonts w:asciiTheme="minorHAnsi" w:hAnsiTheme="minorHAnsi" w:cstheme="majorHAnsi"/>
          <w:color w:val="1E293B"/>
          <w:sz w:val="20"/>
        </w:rPr>
        <w:t>Softw</w:t>
      </w:r>
      <w:proofErr w:type="spellEnd"/>
      <w:r w:rsidRPr="000B7475">
        <w:rPr>
          <w:rFonts w:asciiTheme="minorHAnsi" w:hAnsiTheme="minorHAnsi" w:cstheme="majorHAnsi"/>
          <w:color w:val="1E293B"/>
          <w:sz w:val="20"/>
        </w:rPr>
        <w:t xml:space="preserve">. 2010;36(3):1-48. </w:t>
      </w:r>
      <w:hyperlink r:id="rId160">
        <w:r w:rsidRPr="000B7475">
          <w:rPr>
            <w:rFonts w:asciiTheme="minorHAnsi" w:hAnsiTheme="minorHAnsi" w:cstheme="majorHAnsi"/>
            <w:color w:val="1D4ED8"/>
            <w:sz w:val="20"/>
            <w:szCs w:val="20"/>
            <w:u w:val="single"/>
          </w:rPr>
          <w:t>DOI: 10.18637/</w:t>
        </w:r>
        <w:proofErr w:type="gramStart"/>
        <w:r w:rsidRPr="000B7475">
          <w:rPr>
            <w:rFonts w:asciiTheme="minorHAnsi" w:hAnsiTheme="minorHAnsi" w:cstheme="majorHAnsi"/>
            <w:color w:val="1D4ED8"/>
            <w:sz w:val="20"/>
            <w:szCs w:val="20"/>
            <w:u w:val="single"/>
          </w:rPr>
          <w:t>jss.v036.i</w:t>
        </w:r>
        <w:proofErr w:type="gramEnd"/>
        <w:r w:rsidRPr="000B7475">
          <w:rPr>
            <w:rFonts w:asciiTheme="minorHAnsi" w:hAnsiTheme="minorHAnsi" w:cstheme="majorHAnsi"/>
            <w:color w:val="1D4ED8"/>
            <w:sz w:val="20"/>
            <w:szCs w:val="20"/>
            <w:u w:val="single"/>
          </w:rPr>
          <w:t>03</w:t>
        </w:r>
      </w:hyperlink>
      <w:r w:rsidRPr="000B7475">
        <w:rPr>
          <w:rFonts w:asciiTheme="minorHAnsi" w:hAnsiTheme="minorHAnsi" w:cstheme="majorHAnsi"/>
          <w:color w:val="1E293B"/>
          <w:sz w:val="20"/>
        </w:rPr>
        <w:t>.</w:t>
      </w:r>
    </w:p>
    <w:p w14:paraId="76A2AC20"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150. </w:t>
      </w:r>
      <w:r w:rsidRPr="000B7475">
        <w:rPr>
          <w:rFonts w:asciiTheme="minorHAnsi" w:hAnsiTheme="minorHAnsi" w:cstheme="majorHAnsi"/>
          <w:color w:val="1E293B"/>
          <w:sz w:val="20"/>
        </w:rPr>
        <w:t xml:space="preserve">Wilson EB. Probable inference, the law of succession, and statistical inference. J Am Stat Assoc. 1927;22(158):209-212. </w:t>
      </w:r>
      <w:hyperlink r:id="rId161">
        <w:r w:rsidRPr="000B7475">
          <w:rPr>
            <w:rFonts w:asciiTheme="minorHAnsi" w:hAnsiTheme="minorHAnsi" w:cstheme="majorHAnsi"/>
            <w:color w:val="1D4ED8"/>
            <w:sz w:val="20"/>
            <w:szCs w:val="20"/>
            <w:u w:val="single"/>
          </w:rPr>
          <w:t>DOI: 10.1080/01621459.1927.10502953</w:t>
        </w:r>
      </w:hyperlink>
      <w:r w:rsidRPr="000B7475">
        <w:rPr>
          <w:rFonts w:asciiTheme="minorHAnsi" w:hAnsiTheme="minorHAnsi" w:cstheme="majorHAnsi"/>
          <w:color w:val="1E293B"/>
          <w:sz w:val="20"/>
        </w:rPr>
        <w:t>.</w:t>
      </w:r>
    </w:p>
    <w:p w14:paraId="59B236A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151. </w:t>
      </w:r>
      <w:r w:rsidRPr="000B7475">
        <w:rPr>
          <w:rFonts w:asciiTheme="minorHAnsi" w:hAnsiTheme="minorHAnsi" w:cstheme="majorHAnsi"/>
          <w:color w:val="1E293B"/>
          <w:sz w:val="20"/>
        </w:rPr>
        <w:t xml:space="preserve">Rare Disease Hackathon 2026 Consortium. International Pediatric Rare Disease Hackathon: Accelerating Genomic Diagnoses and Computational Therapeutics (Rare Disease, Real Kid: The 2026 MVA Hackathon, Synapse ID: syn76251147). Seattle, WA: Sage Bionetworks; 2026. </w:t>
      </w:r>
      <w:hyperlink r:id="rId162">
        <w:r w:rsidRPr="000B7475">
          <w:rPr>
            <w:rFonts w:asciiTheme="minorHAnsi" w:hAnsiTheme="minorHAnsi" w:cstheme="majorHAnsi"/>
            <w:color w:val="1D4ED8"/>
            <w:sz w:val="20"/>
            <w:szCs w:val="20"/>
            <w:u w:val="single"/>
          </w:rPr>
          <w:t>https://sagebio-rare-disease-real-kid-mva-hackathon-2026.hf.space/</w:t>
        </w:r>
      </w:hyperlink>
      <w:r w:rsidRPr="000B7475">
        <w:rPr>
          <w:rFonts w:asciiTheme="minorHAnsi" w:hAnsiTheme="minorHAnsi" w:cstheme="majorHAnsi"/>
          <w:color w:val="1E293B"/>
          <w:sz w:val="20"/>
        </w:rPr>
        <w:t>.</w:t>
      </w:r>
    </w:p>
    <w:p w14:paraId="24E6AF6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152. </w:t>
      </w:r>
      <w:r w:rsidRPr="000B7475">
        <w:rPr>
          <w:rFonts w:asciiTheme="minorHAnsi" w:hAnsiTheme="minorHAnsi" w:cstheme="majorHAnsi"/>
          <w:color w:val="1E293B"/>
          <w:sz w:val="20"/>
        </w:rPr>
        <w:t xml:space="preserve">Köhler S, Gargano MA, </w:t>
      </w:r>
      <w:proofErr w:type="spellStart"/>
      <w:r w:rsidRPr="000B7475">
        <w:rPr>
          <w:rFonts w:asciiTheme="minorHAnsi" w:hAnsiTheme="minorHAnsi" w:cstheme="majorHAnsi"/>
          <w:color w:val="1E293B"/>
          <w:sz w:val="20"/>
        </w:rPr>
        <w:t>Matentzoglu</w:t>
      </w:r>
      <w:proofErr w:type="spellEnd"/>
      <w:r w:rsidRPr="000B7475">
        <w:rPr>
          <w:rFonts w:asciiTheme="minorHAnsi" w:hAnsiTheme="minorHAnsi" w:cstheme="majorHAnsi"/>
          <w:color w:val="1E293B"/>
          <w:sz w:val="20"/>
        </w:rPr>
        <w:t xml:space="preserve"> N, Coleman B, Addo-Lartey EB, Anagnostopoulos AV, et al. The Human Phenotype Ontology in 2024: phenotypes around the world. Nucleic Acids Res. 2024;52(D1</w:t>
      </w:r>
      <w:proofErr w:type="gramStart"/>
      <w:r w:rsidRPr="000B7475">
        <w:rPr>
          <w:rFonts w:asciiTheme="minorHAnsi" w:hAnsiTheme="minorHAnsi" w:cstheme="majorHAnsi"/>
          <w:color w:val="1E293B"/>
          <w:sz w:val="20"/>
        </w:rPr>
        <w:t>):D</w:t>
      </w:r>
      <w:proofErr w:type="gramEnd"/>
      <w:r w:rsidRPr="000B7475">
        <w:rPr>
          <w:rFonts w:asciiTheme="minorHAnsi" w:hAnsiTheme="minorHAnsi" w:cstheme="majorHAnsi"/>
          <w:color w:val="1E293B"/>
          <w:sz w:val="20"/>
        </w:rPr>
        <w:t>1333-D1346. doi:10.1093/</w:t>
      </w:r>
      <w:proofErr w:type="spellStart"/>
      <w:r w:rsidRPr="000B7475">
        <w:rPr>
          <w:rFonts w:asciiTheme="minorHAnsi" w:hAnsiTheme="minorHAnsi" w:cstheme="majorHAnsi"/>
          <w:color w:val="1E293B"/>
          <w:sz w:val="20"/>
        </w:rPr>
        <w:t>nar</w:t>
      </w:r>
      <w:proofErr w:type="spellEnd"/>
      <w:r w:rsidRPr="000B7475">
        <w:rPr>
          <w:rFonts w:asciiTheme="minorHAnsi" w:hAnsiTheme="minorHAnsi" w:cstheme="majorHAnsi"/>
          <w:color w:val="1E293B"/>
          <w:sz w:val="20"/>
        </w:rPr>
        <w:t xml:space="preserve">/gkad1005. </w:t>
      </w:r>
      <w:hyperlink r:id="rId163">
        <w:r w:rsidRPr="000B7475">
          <w:rPr>
            <w:rFonts w:asciiTheme="minorHAnsi" w:hAnsiTheme="minorHAnsi" w:cstheme="majorHAnsi"/>
            <w:color w:val="1D4ED8"/>
            <w:sz w:val="20"/>
            <w:szCs w:val="20"/>
            <w:u w:val="single"/>
          </w:rPr>
          <w:t>PMID: 37953324</w:t>
        </w:r>
      </w:hyperlink>
      <w:r w:rsidRPr="000B7475">
        <w:rPr>
          <w:rFonts w:asciiTheme="minorHAnsi" w:hAnsiTheme="minorHAnsi" w:cstheme="majorHAnsi"/>
          <w:color w:val="1E293B"/>
          <w:sz w:val="20"/>
        </w:rPr>
        <w:t>.</w:t>
      </w:r>
    </w:p>
    <w:p w14:paraId="40E3F85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153. </w:t>
      </w:r>
      <w:r w:rsidRPr="000B7475">
        <w:rPr>
          <w:rFonts w:asciiTheme="minorHAnsi" w:hAnsiTheme="minorHAnsi" w:cstheme="majorHAnsi"/>
          <w:color w:val="1E293B"/>
          <w:sz w:val="20"/>
        </w:rPr>
        <w:t xml:space="preserve">Smedley D, Jacobsen JO, Jäger M, Köhler S, Holtgrewe M, Schubach M, et al. Next-generation diagnostics and disease-gene discovery with the </w:t>
      </w:r>
      <w:proofErr w:type="spellStart"/>
      <w:r w:rsidRPr="000B7475">
        <w:rPr>
          <w:rFonts w:asciiTheme="minorHAnsi" w:hAnsiTheme="minorHAnsi" w:cstheme="majorHAnsi"/>
          <w:color w:val="1E293B"/>
          <w:sz w:val="20"/>
        </w:rPr>
        <w:t>Exomiser</w:t>
      </w:r>
      <w:proofErr w:type="spellEnd"/>
      <w:r w:rsidRPr="000B7475">
        <w:rPr>
          <w:rFonts w:asciiTheme="minorHAnsi" w:hAnsiTheme="minorHAnsi" w:cstheme="majorHAnsi"/>
          <w:color w:val="1E293B"/>
          <w:sz w:val="20"/>
        </w:rPr>
        <w:t xml:space="preserve">. Nat </w:t>
      </w:r>
      <w:proofErr w:type="spellStart"/>
      <w:r w:rsidRPr="000B7475">
        <w:rPr>
          <w:rFonts w:asciiTheme="minorHAnsi" w:hAnsiTheme="minorHAnsi" w:cstheme="majorHAnsi"/>
          <w:color w:val="1E293B"/>
          <w:sz w:val="20"/>
        </w:rPr>
        <w:t>Protoc</w:t>
      </w:r>
      <w:proofErr w:type="spellEnd"/>
      <w:r w:rsidRPr="000B7475">
        <w:rPr>
          <w:rFonts w:asciiTheme="minorHAnsi" w:hAnsiTheme="minorHAnsi" w:cstheme="majorHAnsi"/>
          <w:color w:val="1E293B"/>
          <w:sz w:val="20"/>
        </w:rPr>
        <w:t xml:space="preserve">. 2015;10(12):2004-2015. doi:10.1038/nprot.2015.124. </w:t>
      </w:r>
      <w:hyperlink r:id="rId164">
        <w:r w:rsidRPr="000B7475">
          <w:rPr>
            <w:rFonts w:asciiTheme="minorHAnsi" w:hAnsiTheme="minorHAnsi" w:cstheme="majorHAnsi"/>
            <w:color w:val="1D4ED8"/>
            <w:sz w:val="20"/>
            <w:szCs w:val="20"/>
            <w:u w:val="single"/>
          </w:rPr>
          <w:t>PMID: 26562621</w:t>
        </w:r>
      </w:hyperlink>
      <w:r w:rsidRPr="000B7475">
        <w:rPr>
          <w:rFonts w:asciiTheme="minorHAnsi" w:hAnsiTheme="minorHAnsi" w:cstheme="majorHAnsi"/>
          <w:color w:val="1E293B"/>
          <w:sz w:val="20"/>
        </w:rPr>
        <w:t>.</w:t>
      </w:r>
    </w:p>
    <w:p w14:paraId="04BB912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154. </w:t>
      </w:r>
      <w:r w:rsidRPr="000B7475">
        <w:rPr>
          <w:rFonts w:asciiTheme="minorHAnsi" w:hAnsiTheme="minorHAnsi" w:cstheme="majorHAnsi"/>
          <w:color w:val="1E293B"/>
          <w:sz w:val="20"/>
        </w:rPr>
        <w:t xml:space="preserve">Google DeepMind. Google Antigravity Advanced Agentic AI Pair Programming Platform: Architecture and Biomedical Discovery Pipeline. Mountain View, CA / London, UK: Google DeepMind Technical Report; 2026. </w:t>
      </w:r>
      <w:hyperlink r:id="rId165">
        <w:r w:rsidRPr="000B7475">
          <w:rPr>
            <w:rFonts w:asciiTheme="minorHAnsi" w:hAnsiTheme="minorHAnsi" w:cstheme="majorHAnsi"/>
            <w:color w:val="1D4ED8"/>
            <w:sz w:val="20"/>
            <w:szCs w:val="20"/>
            <w:u w:val="single"/>
          </w:rPr>
          <w:t>URL: https://antigravity.google/</w:t>
        </w:r>
      </w:hyperlink>
      <w:r w:rsidRPr="000B7475">
        <w:rPr>
          <w:rFonts w:asciiTheme="minorHAnsi" w:hAnsiTheme="minorHAnsi" w:cstheme="majorHAnsi"/>
          <w:color w:val="1E293B"/>
          <w:sz w:val="20"/>
        </w:rPr>
        <w:t>.</w:t>
      </w:r>
    </w:p>
    <w:p w14:paraId="2ABC53B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155. </w:t>
      </w:r>
      <w:r w:rsidRPr="000B7475">
        <w:rPr>
          <w:rFonts w:asciiTheme="minorHAnsi" w:hAnsiTheme="minorHAnsi" w:cstheme="majorHAnsi"/>
          <w:color w:val="1E293B"/>
          <w:sz w:val="20"/>
        </w:rPr>
        <w:t xml:space="preserve">Chen S, Zhou Y, Chen Y, Gu J. </w:t>
      </w:r>
      <w:proofErr w:type="spellStart"/>
      <w:r w:rsidRPr="000B7475">
        <w:rPr>
          <w:rFonts w:asciiTheme="minorHAnsi" w:hAnsiTheme="minorHAnsi" w:cstheme="majorHAnsi"/>
          <w:color w:val="1E293B"/>
          <w:sz w:val="20"/>
        </w:rPr>
        <w:t>fastp</w:t>
      </w:r>
      <w:proofErr w:type="spellEnd"/>
      <w:r w:rsidRPr="000B7475">
        <w:rPr>
          <w:rFonts w:asciiTheme="minorHAnsi" w:hAnsiTheme="minorHAnsi" w:cstheme="majorHAnsi"/>
          <w:color w:val="1E293B"/>
          <w:sz w:val="20"/>
        </w:rPr>
        <w:t>: an ultra-fast all-in-one FASTQ preprocessor. Bioinformatics. 2018;34(17</w:t>
      </w:r>
      <w:proofErr w:type="gramStart"/>
      <w:r w:rsidRPr="000B7475">
        <w:rPr>
          <w:rFonts w:asciiTheme="minorHAnsi" w:hAnsiTheme="minorHAnsi" w:cstheme="majorHAnsi"/>
          <w:color w:val="1E293B"/>
          <w:sz w:val="20"/>
        </w:rPr>
        <w:t>):i</w:t>
      </w:r>
      <w:proofErr w:type="gramEnd"/>
      <w:r w:rsidRPr="000B7475">
        <w:rPr>
          <w:rFonts w:asciiTheme="minorHAnsi" w:hAnsiTheme="minorHAnsi" w:cstheme="majorHAnsi"/>
          <w:color w:val="1E293B"/>
          <w:sz w:val="20"/>
        </w:rPr>
        <w:t xml:space="preserve">884-i890. doi:10.1093/bioinformatics/bty560. </w:t>
      </w:r>
      <w:hyperlink r:id="rId166">
        <w:r w:rsidRPr="000B7475">
          <w:rPr>
            <w:rFonts w:asciiTheme="minorHAnsi" w:hAnsiTheme="minorHAnsi" w:cstheme="majorHAnsi"/>
            <w:color w:val="1D4ED8"/>
            <w:sz w:val="20"/>
            <w:szCs w:val="20"/>
            <w:u w:val="single"/>
          </w:rPr>
          <w:t>PMID: 30423086</w:t>
        </w:r>
      </w:hyperlink>
      <w:r w:rsidRPr="000B7475">
        <w:rPr>
          <w:rFonts w:asciiTheme="minorHAnsi" w:hAnsiTheme="minorHAnsi" w:cstheme="majorHAnsi"/>
          <w:color w:val="1E293B"/>
          <w:sz w:val="20"/>
        </w:rPr>
        <w:t>.</w:t>
      </w:r>
    </w:p>
    <w:p w14:paraId="15E394EE"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156. </w:t>
      </w:r>
      <w:r w:rsidRPr="000B7475">
        <w:rPr>
          <w:rFonts w:asciiTheme="minorHAnsi" w:hAnsiTheme="minorHAnsi" w:cstheme="majorHAnsi"/>
          <w:color w:val="1E293B"/>
          <w:sz w:val="20"/>
        </w:rPr>
        <w:t xml:space="preserve">Solomon DA, Kim T, Diaz-Martinez LA, Fair J, </w:t>
      </w:r>
      <w:proofErr w:type="spellStart"/>
      <w:r w:rsidRPr="000B7475">
        <w:rPr>
          <w:rFonts w:asciiTheme="minorHAnsi" w:hAnsiTheme="minorHAnsi" w:cstheme="majorHAnsi"/>
          <w:color w:val="1E293B"/>
          <w:sz w:val="20"/>
        </w:rPr>
        <w:t>Elkahloun</w:t>
      </w:r>
      <w:proofErr w:type="spellEnd"/>
      <w:r w:rsidRPr="000B7475">
        <w:rPr>
          <w:rFonts w:asciiTheme="minorHAnsi" w:hAnsiTheme="minorHAnsi" w:cstheme="majorHAnsi"/>
          <w:color w:val="1E293B"/>
          <w:sz w:val="20"/>
        </w:rPr>
        <w:t xml:space="preserve"> AG, Harris BT, et al. Mutational inactivation of STAG2 causes aneuploidy in human cancer. Science. 2011;333(6045):1039-1043. doi:10.1126/science.1203619. </w:t>
      </w:r>
      <w:hyperlink r:id="rId167">
        <w:r w:rsidRPr="000B7475">
          <w:rPr>
            <w:rFonts w:asciiTheme="minorHAnsi" w:hAnsiTheme="minorHAnsi" w:cstheme="majorHAnsi"/>
            <w:color w:val="1D4ED8"/>
            <w:sz w:val="20"/>
            <w:szCs w:val="20"/>
            <w:u w:val="single"/>
          </w:rPr>
          <w:t>PMID: 21852505</w:t>
        </w:r>
      </w:hyperlink>
      <w:r w:rsidRPr="000B7475">
        <w:rPr>
          <w:rFonts w:asciiTheme="minorHAnsi" w:hAnsiTheme="minorHAnsi" w:cstheme="majorHAnsi"/>
          <w:color w:val="1E293B"/>
          <w:sz w:val="20"/>
        </w:rPr>
        <w:t>.</w:t>
      </w:r>
    </w:p>
    <w:p w14:paraId="56D529F4"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157. </w:t>
      </w:r>
      <w:proofErr w:type="spellStart"/>
      <w:r w:rsidRPr="000B7475">
        <w:rPr>
          <w:rFonts w:asciiTheme="minorHAnsi" w:hAnsiTheme="minorHAnsi" w:cstheme="majorHAnsi"/>
          <w:color w:val="1E293B"/>
          <w:sz w:val="20"/>
        </w:rPr>
        <w:t>Mullegama</w:t>
      </w:r>
      <w:proofErr w:type="spellEnd"/>
      <w:r w:rsidRPr="000B7475">
        <w:rPr>
          <w:rFonts w:asciiTheme="minorHAnsi" w:hAnsiTheme="minorHAnsi" w:cstheme="majorHAnsi"/>
          <w:color w:val="1E293B"/>
          <w:sz w:val="20"/>
        </w:rPr>
        <w:t xml:space="preserve"> SV, Klein SD, </w:t>
      </w:r>
      <w:proofErr w:type="spellStart"/>
      <w:r w:rsidRPr="000B7475">
        <w:rPr>
          <w:rFonts w:asciiTheme="minorHAnsi" w:hAnsiTheme="minorHAnsi" w:cstheme="majorHAnsi"/>
          <w:color w:val="1E293B"/>
          <w:sz w:val="20"/>
        </w:rPr>
        <w:t>Mulatinho</w:t>
      </w:r>
      <w:proofErr w:type="spellEnd"/>
      <w:r w:rsidRPr="000B7475">
        <w:rPr>
          <w:rFonts w:asciiTheme="minorHAnsi" w:hAnsiTheme="minorHAnsi" w:cstheme="majorHAnsi"/>
          <w:color w:val="1E293B"/>
          <w:sz w:val="20"/>
        </w:rPr>
        <w:t xml:space="preserve"> MV, Senaratne TN, Singh K, Nguyen DC, et al. De novo loss-of-function variants in STAG2 are associated with developmental delay, microcephaly, and congenital anomalies. Am J Med Genet A. 2017;173(5):1319-1327. doi:10.1002/ajmg.a.38207. </w:t>
      </w:r>
      <w:hyperlink r:id="rId168">
        <w:r w:rsidRPr="000B7475">
          <w:rPr>
            <w:rFonts w:asciiTheme="minorHAnsi" w:hAnsiTheme="minorHAnsi" w:cstheme="majorHAnsi"/>
            <w:color w:val="1D4ED8"/>
            <w:sz w:val="20"/>
            <w:szCs w:val="20"/>
            <w:u w:val="single"/>
          </w:rPr>
          <w:t>PMID: 28296084</w:t>
        </w:r>
      </w:hyperlink>
      <w:r w:rsidRPr="000B7475">
        <w:rPr>
          <w:rFonts w:asciiTheme="minorHAnsi" w:hAnsiTheme="minorHAnsi" w:cstheme="majorHAnsi"/>
          <w:color w:val="1E293B"/>
          <w:sz w:val="20"/>
        </w:rPr>
        <w:t>.</w:t>
      </w:r>
    </w:p>
    <w:p w14:paraId="4AB75805"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158. </w:t>
      </w:r>
      <w:proofErr w:type="spellStart"/>
      <w:r w:rsidRPr="000B7475">
        <w:rPr>
          <w:rFonts w:asciiTheme="minorHAnsi" w:hAnsiTheme="minorHAnsi" w:cstheme="majorHAnsi"/>
          <w:color w:val="1E293B"/>
          <w:sz w:val="20"/>
        </w:rPr>
        <w:t>Vasimuddin</w:t>
      </w:r>
      <w:proofErr w:type="spellEnd"/>
      <w:r w:rsidRPr="000B7475">
        <w:rPr>
          <w:rFonts w:asciiTheme="minorHAnsi" w:hAnsiTheme="minorHAnsi" w:cstheme="majorHAnsi"/>
          <w:color w:val="1E293B"/>
          <w:sz w:val="20"/>
        </w:rPr>
        <w:t xml:space="preserve"> M, Misra S, Li H, Aluru S. Efficient Architecture-Aware Acceleration of BWA-MEM for Multicore Systems. IEEE Int Parallel </w:t>
      </w:r>
      <w:proofErr w:type="spellStart"/>
      <w:r w:rsidRPr="000B7475">
        <w:rPr>
          <w:rFonts w:asciiTheme="minorHAnsi" w:hAnsiTheme="minorHAnsi" w:cstheme="majorHAnsi"/>
          <w:color w:val="1E293B"/>
          <w:sz w:val="20"/>
        </w:rPr>
        <w:t>Distrib</w:t>
      </w:r>
      <w:proofErr w:type="spellEnd"/>
      <w:r w:rsidRPr="000B7475">
        <w:rPr>
          <w:rFonts w:asciiTheme="minorHAnsi" w:hAnsiTheme="minorHAnsi" w:cstheme="majorHAnsi"/>
          <w:color w:val="1E293B"/>
          <w:sz w:val="20"/>
        </w:rPr>
        <w:t xml:space="preserve"> Process Symp (IPDPS). 2019:314-324. </w:t>
      </w:r>
      <w:hyperlink r:id="rId169">
        <w:r w:rsidRPr="000B7475">
          <w:rPr>
            <w:rFonts w:asciiTheme="minorHAnsi" w:hAnsiTheme="minorHAnsi" w:cstheme="majorHAnsi"/>
            <w:color w:val="1D4ED8"/>
            <w:sz w:val="20"/>
            <w:szCs w:val="20"/>
            <w:u w:val="single"/>
          </w:rPr>
          <w:t>DOI: 10.1109/IPDPS.2019.00041</w:t>
        </w:r>
      </w:hyperlink>
      <w:r w:rsidRPr="000B7475">
        <w:rPr>
          <w:rFonts w:asciiTheme="minorHAnsi" w:hAnsiTheme="minorHAnsi" w:cstheme="majorHAnsi"/>
          <w:color w:val="1E293B"/>
          <w:sz w:val="20"/>
        </w:rPr>
        <w:t>.</w:t>
      </w:r>
    </w:p>
    <w:p w14:paraId="76B8A49C"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159. </w:t>
      </w:r>
      <w:r w:rsidRPr="000B7475">
        <w:rPr>
          <w:rFonts w:asciiTheme="minorHAnsi" w:hAnsiTheme="minorHAnsi" w:cstheme="majorHAnsi"/>
          <w:color w:val="1E293B"/>
          <w:sz w:val="20"/>
        </w:rPr>
        <w:t xml:space="preserve">McKenna A, Hanna M, Banks E, </w:t>
      </w:r>
      <w:proofErr w:type="spellStart"/>
      <w:r w:rsidRPr="000B7475">
        <w:rPr>
          <w:rFonts w:asciiTheme="minorHAnsi" w:hAnsiTheme="minorHAnsi" w:cstheme="majorHAnsi"/>
          <w:color w:val="1E293B"/>
          <w:sz w:val="20"/>
        </w:rPr>
        <w:t>Sivachenko</w:t>
      </w:r>
      <w:proofErr w:type="spellEnd"/>
      <w:r w:rsidRPr="000B7475">
        <w:rPr>
          <w:rFonts w:asciiTheme="minorHAnsi" w:hAnsiTheme="minorHAnsi" w:cstheme="majorHAnsi"/>
          <w:color w:val="1E293B"/>
          <w:sz w:val="20"/>
        </w:rPr>
        <w:t xml:space="preserve"> A, </w:t>
      </w:r>
      <w:proofErr w:type="spellStart"/>
      <w:r w:rsidRPr="000B7475">
        <w:rPr>
          <w:rFonts w:asciiTheme="minorHAnsi" w:hAnsiTheme="minorHAnsi" w:cstheme="majorHAnsi"/>
          <w:color w:val="1E293B"/>
          <w:sz w:val="20"/>
        </w:rPr>
        <w:t>Cibulskis</w:t>
      </w:r>
      <w:proofErr w:type="spellEnd"/>
      <w:r w:rsidRPr="000B7475">
        <w:rPr>
          <w:rFonts w:asciiTheme="minorHAnsi" w:hAnsiTheme="minorHAnsi" w:cstheme="majorHAnsi"/>
          <w:color w:val="1E293B"/>
          <w:sz w:val="20"/>
        </w:rPr>
        <w:t xml:space="preserve"> K, Kernytsky A, et al. The Genome Analysis Toolkit: a MapReduce framework for analyzing next-generation DNA sequencing data. Genome Res. 2010;20(9):1297-1303. doi:10.1101/gr.107524.110. </w:t>
      </w:r>
      <w:hyperlink r:id="rId170">
        <w:r w:rsidRPr="000B7475">
          <w:rPr>
            <w:rFonts w:asciiTheme="minorHAnsi" w:hAnsiTheme="minorHAnsi" w:cstheme="majorHAnsi"/>
            <w:color w:val="1D4ED8"/>
            <w:sz w:val="20"/>
            <w:szCs w:val="20"/>
            <w:u w:val="single"/>
          </w:rPr>
          <w:t>PMID: 20644199</w:t>
        </w:r>
      </w:hyperlink>
      <w:r w:rsidRPr="000B7475">
        <w:rPr>
          <w:rFonts w:asciiTheme="minorHAnsi" w:hAnsiTheme="minorHAnsi" w:cstheme="majorHAnsi"/>
          <w:color w:val="1E293B"/>
          <w:sz w:val="20"/>
        </w:rPr>
        <w:t>.</w:t>
      </w:r>
    </w:p>
    <w:p w14:paraId="248FEAFC"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160. </w:t>
      </w:r>
      <w:r w:rsidRPr="000B7475">
        <w:rPr>
          <w:rFonts w:asciiTheme="minorHAnsi" w:hAnsiTheme="minorHAnsi" w:cstheme="majorHAnsi"/>
          <w:color w:val="1E293B"/>
          <w:sz w:val="20"/>
        </w:rPr>
        <w:t xml:space="preserve">Poplin R, Chang PC, Alexander D, Schwartz S, Colthurst T, Ku A, et al. A universal SNP and small-indel variant caller using deep neural networks. Nat </w:t>
      </w:r>
      <w:proofErr w:type="spellStart"/>
      <w:r w:rsidRPr="000B7475">
        <w:rPr>
          <w:rFonts w:asciiTheme="minorHAnsi" w:hAnsiTheme="minorHAnsi" w:cstheme="majorHAnsi"/>
          <w:color w:val="1E293B"/>
          <w:sz w:val="20"/>
        </w:rPr>
        <w:t>Biotechnol</w:t>
      </w:r>
      <w:proofErr w:type="spellEnd"/>
      <w:r w:rsidRPr="000B7475">
        <w:rPr>
          <w:rFonts w:asciiTheme="minorHAnsi" w:hAnsiTheme="minorHAnsi" w:cstheme="majorHAnsi"/>
          <w:color w:val="1E293B"/>
          <w:sz w:val="20"/>
        </w:rPr>
        <w:t xml:space="preserve">. 2018;36(10):983-987. doi:10.1038/nbt.4235. </w:t>
      </w:r>
      <w:hyperlink r:id="rId171">
        <w:r w:rsidRPr="000B7475">
          <w:rPr>
            <w:rFonts w:asciiTheme="minorHAnsi" w:hAnsiTheme="minorHAnsi" w:cstheme="majorHAnsi"/>
            <w:color w:val="1D4ED8"/>
            <w:sz w:val="20"/>
            <w:szCs w:val="20"/>
            <w:u w:val="single"/>
          </w:rPr>
          <w:t>PMID: 30247488</w:t>
        </w:r>
      </w:hyperlink>
      <w:r w:rsidRPr="000B7475">
        <w:rPr>
          <w:rFonts w:asciiTheme="minorHAnsi" w:hAnsiTheme="minorHAnsi" w:cstheme="majorHAnsi"/>
          <w:color w:val="1E293B"/>
          <w:sz w:val="20"/>
        </w:rPr>
        <w:t>.</w:t>
      </w:r>
    </w:p>
    <w:p w14:paraId="4036983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161. </w:t>
      </w:r>
      <w:r w:rsidRPr="000B7475">
        <w:rPr>
          <w:rFonts w:asciiTheme="minorHAnsi" w:hAnsiTheme="minorHAnsi" w:cstheme="majorHAnsi"/>
          <w:color w:val="1E293B"/>
          <w:sz w:val="20"/>
        </w:rPr>
        <w:t xml:space="preserve">Avsec Ž, Agarwal V, Visentin D, </w:t>
      </w:r>
      <w:proofErr w:type="spellStart"/>
      <w:r w:rsidRPr="000B7475">
        <w:rPr>
          <w:rFonts w:asciiTheme="minorHAnsi" w:hAnsiTheme="minorHAnsi" w:cstheme="majorHAnsi"/>
          <w:color w:val="1E293B"/>
          <w:sz w:val="20"/>
        </w:rPr>
        <w:t>Ledsam</w:t>
      </w:r>
      <w:proofErr w:type="spellEnd"/>
      <w:r w:rsidRPr="000B7475">
        <w:rPr>
          <w:rFonts w:asciiTheme="minorHAnsi" w:hAnsiTheme="minorHAnsi" w:cstheme="majorHAnsi"/>
          <w:color w:val="1E293B"/>
          <w:sz w:val="20"/>
        </w:rPr>
        <w:t xml:space="preserve"> JR, Grabska-</w:t>
      </w:r>
      <w:proofErr w:type="spellStart"/>
      <w:r w:rsidRPr="000B7475">
        <w:rPr>
          <w:rFonts w:asciiTheme="minorHAnsi" w:hAnsiTheme="minorHAnsi" w:cstheme="majorHAnsi"/>
          <w:color w:val="1E293B"/>
          <w:sz w:val="20"/>
        </w:rPr>
        <w:t>Barwinska</w:t>
      </w:r>
      <w:proofErr w:type="spellEnd"/>
      <w:r w:rsidRPr="000B7475">
        <w:rPr>
          <w:rFonts w:asciiTheme="minorHAnsi" w:hAnsiTheme="minorHAnsi" w:cstheme="majorHAnsi"/>
          <w:color w:val="1E293B"/>
          <w:sz w:val="20"/>
        </w:rPr>
        <w:t xml:space="preserve"> A, Taylor KR, et al. Effective gene expression prediction from sequence by integrating long-range interactions. Nat Methods. 2021;18(10):1196-1203. doi:10.1038/s41592-021-01252-x. </w:t>
      </w:r>
      <w:hyperlink r:id="rId172">
        <w:r w:rsidRPr="000B7475">
          <w:rPr>
            <w:rFonts w:asciiTheme="minorHAnsi" w:hAnsiTheme="minorHAnsi" w:cstheme="majorHAnsi"/>
            <w:color w:val="1D4ED8"/>
            <w:sz w:val="20"/>
            <w:szCs w:val="20"/>
            <w:u w:val="single"/>
          </w:rPr>
          <w:t>PMID: 34608324</w:t>
        </w:r>
      </w:hyperlink>
      <w:r w:rsidRPr="000B7475">
        <w:rPr>
          <w:rFonts w:asciiTheme="minorHAnsi" w:hAnsiTheme="minorHAnsi" w:cstheme="majorHAnsi"/>
          <w:color w:val="1E293B"/>
          <w:sz w:val="20"/>
        </w:rPr>
        <w:t>.</w:t>
      </w:r>
    </w:p>
    <w:p w14:paraId="0979770E"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162. </w:t>
      </w:r>
      <w:r w:rsidRPr="000B7475">
        <w:rPr>
          <w:rFonts w:asciiTheme="minorHAnsi" w:hAnsiTheme="minorHAnsi" w:cstheme="majorHAnsi"/>
          <w:color w:val="1E293B"/>
          <w:sz w:val="20"/>
        </w:rPr>
        <w:t xml:space="preserve">Cheng J, </w:t>
      </w:r>
      <w:proofErr w:type="spellStart"/>
      <w:r w:rsidRPr="000B7475">
        <w:rPr>
          <w:rFonts w:asciiTheme="minorHAnsi" w:hAnsiTheme="minorHAnsi" w:cstheme="majorHAnsi"/>
          <w:color w:val="1E293B"/>
          <w:sz w:val="20"/>
        </w:rPr>
        <w:t>Novati</w:t>
      </w:r>
      <w:proofErr w:type="spellEnd"/>
      <w:r w:rsidRPr="000B7475">
        <w:rPr>
          <w:rFonts w:asciiTheme="minorHAnsi" w:hAnsiTheme="minorHAnsi" w:cstheme="majorHAnsi"/>
          <w:color w:val="1E293B"/>
          <w:sz w:val="20"/>
        </w:rPr>
        <w:t xml:space="preserve"> G, Pan J, Bycroft C, </w:t>
      </w:r>
      <w:proofErr w:type="spellStart"/>
      <w:r w:rsidRPr="000B7475">
        <w:rPr>
          <w:rFonts w:asciiTheme="minorHAnsi" w:hAnsiTheme="minorHAnsi" w:cstheme="majorHAnsi"/>
          <w:color w:val="1E293B"/>
          <w:sz w:val="20"/>
        </w:rPr>
        <w:t>Žemgulytė</w:t>
      </w:r>
      <w:proofErr w:type="spellEnd"/>
      <w:r w:rsidRPr="000B7475">
        <w:rPr>
          <w:rFonts w:asciiTheme="minorHAnsi" w:hAnsiTheme="minorHAnsi" w:cstheme="majorHAnsi"/>
          <w:color w:val="1E293B"/>
          <w:sz w:val="20"/>
        </w:rPr>
        <w:t xml:space="preserve"> A, Applebaum T, et al. Accurate proteome-wide missense variant effect prediction with </w:t>
      </w:r>
      <w:proofErr w:type="spellStart"/>
      <w:r w:rsidRPr="000B7475">
        <w:rPr>
          <w:rFonts w:asciiTheme="minorHAnsi" w:hAnsiTheme="minorHAnsi" w:cstheme="majorHAnsi"/>
          <w:color w:val="1E293B"/>
          <w:sz w:val="20"/>
        </w:rPr>
        <w:t>AlphaMissense</w:t>
      </w:r>
      <w:proofErr w:type="spellEnd"/>
      <w:r w:rsidRPr="000B7475">
        <w:rPr>
          <w:rFonts w:asciiTheme="minorHAnsi" w:hAnsiTheme="minorHAnsi" w:cstheme="majorHAnsi"/>
          <w:color w:val="1E293B"/>
          <w:sz w:val="20"/>
        </w:rPr>
        <w:t>. Science. 2023;381(6664</w:t>
      </w:r>
      <w:proofErr w:type="gramStart"/>
      <w:r w:rsidRPr="000B7475">
        <w:rPr>
          <w:rFonts w:asciiTheme="minorHAnsi" w:hAnsiTheme="minorHAnsi" w:cstheme="majorHAnsi"/>
          <w:color w:val="1E293B"/>
          <w:sz w:val="20"/>
        </w:rPr>
        <w:t>):eadg</w:t>
      </w:r>
      <w:proofErr w:type="gramEnd"/>
      <w:r w:rsidRPr="000B7475">
        <w:rPr>
          <w:rFonts w:asciiTheme="minorHAnsi" w:hAnsiTheme="minorHAnsi" w:cstheme="majorHAnsi"/>
          <w:color w:val="1E293B"/>
          <w:sz w:val="20"/>
        </w:rPr>
        <w:t>7492. doi:10.1126/</w:t>
      </w:r>
      <w:proofErr w:type="gramStart"/>
      <w:r w:rsidRPr="000B7475">
        <w:rPr>
          <w:rFonts w:asciiTheme="minorHAnsi" w:hAnsiTheme="minorHAnsi" w:cstheme="majorHAnsi"/>
          <w:color w:val="1E293B"/>
          <w:sz w:val="20"/>
        </w:rPr>
        <w:t>science.adg</w:t>
      </w:r>
      <w:proofErr w:type="gramEnd"/>
      <w:r w:rsidRPr="000B7475">
        <w:rPr>
          <w:rFonts w:asciiTheme="minorHAnsi" w:hAnsiTheme="minorHAnsi" w:cstheme="majorHAnsi"/>
          <w:color w:val="1E293B"/>
          <w:sz w:val="20"/>
        </w:rPr>
        <w:t xml:space="preserve">7492. </w:t>
      </w:r>
      <w:hyperlink r:id="rId173">
        <w:r w:rsidRPr="000B7475">
          <w:rPr>
            <w:rFonts w:asciiTheme="minorHAnsi" w:hAnsiTheme="minorHAnsi" w:cstheme="majorHAnsi"/>
            <w:color w:val="1D4ED8"/>
            <w:sz w:val="20"/>
            <w:szCs w:val="20"/>
            <w:u w:val="single"/>
          </w:rPr>
          <w:t>PMID: 37733863</w:t>
        </w:r>
      </w:hyperlink>
      <w:r w:rsidRPr="000B7475">
        <w:rPr>
          <w:rFonts w:asciiTheme="minorHAnsi" w:hAnsiTheme="minorHAnsi" w:cstheme="majorHAnsi"/>
          <w:color w:val="1E293B"/>
          <w:sz w:val="20"/>
        </w:rPr>
        <w:t>.</w:t>
      </w:r>
    </w:p>
    <w:p w14:paraId="13D9131B"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163. </w:t>
      </w:r>
      <w:r w:rsidRPr="000B7475">
        <w:rPr>
          <w:rFonts w:asciiTheme="minorHAnsi" w:hAnsiTheme="minorHAnsi" w:cstheme="majorHAnsi"/>
          <w:color w:val="1E293B"/>
          <w:sz w:val="20"/>
        </w:rPr>
        <w:t xml:space="preserve">Jumper J, Evans R, Pritzel A, Green T, </w:t>
      </w:r>
      <w:proofErr w:type="spellStart"/>
      <w:r w:rsidRPr="000B7475">
        <w:rPr>
          <w:rFonts w:asciiTheme="minorHAnsi" w:hAnsiTheme="minorHAnsi" w:cstheme="majorHAnsi"/>
          <w:color w:val="1E293B"/>
          <w:sz w:val="20"/>
        </w:rPr>
        <w:t>Figurnov</w:t>
      </w:r>
      <w:proofErr w:type="spellEnd"/>
      <w:r w:rsidRPr="000B7475">
        <w:rPr>
          <w:rFonts w:asciiTheme="minorHAnsi" w:hAnsiTheme="minorHAnsi" w:cstheme="majorHAnsi"/>
          <w:color w:val="1E293B"/>
          <w:sz w:val="20"/>
        </w:rPr>
        <w:t xml:space="preserve"> M, </w:t>
      </w:r>
      <w:proofErr w:type="spellStart"/>
      <w:r w:rsidRPr="000B7475">
        <w:rPr>
          <w:rFonts w:asciiTheme="minorHAnsi" w:hAnsiTheme="minorHAnsi" w:cstheme="majorHAnsi"/>
          <w:color w:val="1E293B"/>
          <w:sz w:val="20"/>
        </w:rPr>
        <w:t>Ronneberger</w:t>
      </w:r>
      <w:proofErr w:type="spellEnd"/>
      <w:r w:rsidRPr="000B7475">
        <w:rPr>
          <w:rFonts w:asciiTheme="minorHAnsi" w:hAnsiTheme="minorHAnsi" w:cstheme="majorHAnsi"/>
          <w:color w:val="1E293B"/>
          <w:sz w:val="20"/>
        </w:rPr>
        <w:t xml:space="preserve"> O, et al. Highly accurate protein structure prediction with AlphaFold. Nature. 2021;596(7873):583-589. doi:10.1038/s41586-021-03819-2. </w:t>
      </w:r>
      <w:hyperlink r:id="rId174">
        <w:r w:rsidRPr="000B7475">
          <w:rPr>
            <w:rFonts w:asciiTheme="minorHAnsi" w:hAnsiTheme="minorHAnsi" w:cstheme="majorHAnsi"/>
            <w:color w:val="1D4ED8"/>
            <w:sz w:val="20"/>
            <w:szCs w:val="20"/>
            <w:u w:val="single"/>
          </w:rPr>
          <w:t>PMID: 34265844</w:t>
        </w:r>
      </w:hyperlink>
      <w:r w:rsidRPr="000B7475">
        <w:rPr>
          <w:rFonts w:asciiTheme="minorHAnsi" w:hAnsiTheme="minorHAnsi" w:cstheme="majorHAnsi"/>
          <w:color w:val="1E293B"/>
          <w:sz w:val="20"/>
        </w:rPr>
        <w:t>.</w:t>
      </w:r>
    </w:p>
    <w:p w14:paraId="09BE9D12"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lastRenderedPageBreak/>
        <w:t xml:space="preserve">164. </w:t>
      </w:r>
      <w:r w:rsidRPr="000B7475">
        <w:rPr>
          <w:rFonts w:asciiTheme="minorHAnsi" w:hAnsiTheme="minorHAnsi" w:cstheme="majorHAnsi"/>
          <w:color w:val="1E293B"/>
          <w:sz w:val="20"/>
        </w:rPr>
        <w:t xml:space="preserve">Abramson J, Adler J, Dunger J, Evans R, Green T, Pritzel A, et al. Accurate structure prediction of biomolecular interactions with AlphaFold 3. Nature. 2024;630(8016):493-500. doi:10.1038/s41586-024-07487-w. </w:t>
      </w:r>
      <w:hyperlink r:id="rId175">
        <w:r w:rsidRPr="000B7475">
          <w:rPr>
            <w:rFonts w:asciiTheme="minorHAnsi" w:hAnsiTheme="minorHAnsi" w:cstheme="majorHAnsi"/>
            <w:color w:val="1D4ED8"/>
            <w:sz w:val="20"/>
            <w:szCs w:val="20"/>
            <w:u w:val="single"/>
          </w:rPr>
          <w:t>PMID: 38718835</w:t>
        </w:r>
      </w:hyperlink>
      <w:r w:rsidRPr="000B7475">
        <w:rPr>
          <w:rFonts w:asciiTheme="minorHAnsi" w:hAnsiTheme="minorHAnsi" w:cstheme="majorHAnsi"/>
          <w:color w:val="1E293B"/>
          <w:sz w:val="20"/>
        </w:rPr>
        <w:t>.</w:t>
      </w:r>
    </w:p>
    <w:p w14:paraId="709C8019"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165. </w:t>
      </w:r>
      <w:r w:rsidRPr="000B7475">
        <w:rPr>
          <w:rFonts w:asciiTheme="minorHAnsi" w:hAnsiTheme="minorHAnsi" w:cstheme="majorHAnsi"/>
          <w:color w:val="1E293B"/>
          <w:sz w:val="20"/>
        </w:rPr>
        <w:t xml:space="preserve">Meng EC, Goddard TD, Pettersen EF, Couch GS, Pearson ZJ, Morris JH, et al. UCSF </w:t>
      </w:r>
      <w:proofErr w:type="spellStart"/>
      <w:r w:rsidRPr="000B7475">
        <w:rPr>
          <w:rFonts w:asciiTheme="minorHAnsi" w:hAnsiTheme="minorHAnsi" w:cstheme="majorHAnsi"/>
          <w:color w:val="1E293B"/>
          <w:sz w:val="20"/>
        </w:rPr>
        <w:t>ChimeraX</w:t>
      </w:r>
      <w:proofErr w:type="spellEnd"/>
      <w:r w:rsidRPr="000B7475">
        <w:rPr>
          <w:rFonts w:asciiTheme="minorHAnsi" w:hAnsiTheme="minorHAnsi" w:cstheme="majorHAnsi"/>
          <w:color w:val="1E293B"/>
          <w:sz w:val="20"/>
        </w:rPr>
        <w:t>: Tools for structure building and analysis. Protein Sci. 2023;32(11</w:t>
      </w:r>
      <w:proofErr w:type="gramStart"/>
      <w:r w:rsidRPr="000B7475">
        <w:rPr>
          <w:rFonts w:asciiTheme="minorHAnsi" w:hAnsiTheme="minorHAnsi" w:cstheme="majorHAnsi"/>
          <w:color w:val="1E293B"/>
          <w:sz w:val="20"/>
        </w:rPr>
        <w:t>):e</w:t>
      </w:r>
      <w:proofErr w:type="gramEnd"/>
      <w:r w:rsidRPr="000B7475">
        <w:rPr>
          <w:rFonts w:asciiTheme="minorHAnsi" w:hAnsiTheme="minorHAnsi" w:cstheme="majorHAnsi"/>
          <w:color w:val="1E293B"/>
          <w:sz w:val="20"/>
        </w:rPr>
        <w:t xml:space="preserve">4792. doi:10.1002/pro.4792. </w:t>
      </w:r>
      <w:hyperlink r:id="rId176">
        <w:r w:rsidRPr="000B7475">
          <w:rPr>
            <w:rFonts w:asciiTheme="minorHAnsi" w:hAnsiTheme="minorHAnsi" w:cstheme="majorHAnsi"/>
            <w:color w:val="1D4ED8"/>
            <w:sz w:val="20"/>
            <w:szCs w:val="20"/>
            <w:u w:val="single"/>
          </w:rPr>
          <w:t>PMID: 37774136</w:t>
        </w:r>
      </w:hyperlink>
      <w:r w:rsidRPr="000B7475">
        <w:rPr>
          <w:rFonts w:asciiTheme="minorHAnsi" w:hAnsiTheme="minorHAnsi" w:cstheme="majorHAnsi"/>
          <w:color w:val="1E293B"/>
          <w:sz w:val="20"/>
        </w:rPr>
        <w:t>.</w:t>
      </w:r>
    </w:p>
    <w:p w14:paraId="3EEB20A4"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166. </w:t>
      </w:r>
      <w:proofErr w:type="spellStart"/>
      <w:r w:rsidRPr="000B7475">
        <w:rPr>
          <w:rFonts w:asciiTheme="minorHAnsi" w:hAnsiTheme="minorHAnsi" w:cstheme="majorHAnsi"/>
          <w:color w:val="1E293B"/>
          <w:sz w:val="20"/>
        </w:rPr>
        <w:t>Brixi</w:t>
      </w:r>
      <w:proofErr w:type="spellEnd"/>
      <w:r w:rsidRPr="000B7475">
        <w:rPr>
          <w:rFonts w:asciiTheme="minorHAnsi" w:hAnsiTheme="minorHAnsi" w:cstheme="majorHAnsi"/>
          <w:color w:val="1E293B"/>
          <w:sz w:val="20"/>
        </w:rPr>
        <w:t xml:space="preserve"> G, Durrant MG, Ku J, Poli M, Brockman G, Chang D, et al (Arc Institute / Together AI). Genome modeling and design across all domains of life with Evo 2. bioRxiv. 2025;2025.02.18.638918. </w:t>
      </w:r>
      <w:hyperlink r:id="rId177">
        <w:r w:rsidRPr="000B7475">
          <w:rPr>
            <w:rFonts w:asciiTheme="minorHAnsi" w:hAnsiTheme="minorHAnsi" w:cstheme="majorHAnsi"/>
            <w:color w:val="1D4ED8"/>
            <w:sz w:val="20"/>
            <w:szCs w:val="20"/>
            <w:u w:val="single"/>
          </w:rPr>
          <w:t>DOI: 10.1101/2025.02.18.638918</w:t>
        </w:r>
      </w:hyperlink>
      <w:r w:rsidRPr="000B7475">
        <w:rPr>
          <w:rFonts w:asciiTheme="minorHAnsi" w:hAnsiTheme="minorHAnsi" w:cstheme="majorHAnsi"/>
          <w:color w:val="1E293B"/>
          <w:sz w:val="20"/>
        </w:rPr>
        <w:t>.</w:t>
      </w:r>
    </w:p>
    <w:p w14:paraId="5D4FFA3C"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167. </w:t>
      </w:r>
      <w:r w:rsidRPr="000B7475">
        <w:rPr>
          <w:rFonts w:asciiTheme="minorHAnsi" w:hAnsiTheme="minorHAnsi" w:cstheme="majorHAnsi"/>
          <w:color w:val="1E293B"/>
          <w:sz w:val="20"/>
        </w:rPr>
        <w:t xml:space="preserve">Karczewski KJ, </w:t>
      </w:r>
      <w:proofErr w:type="spellStart"/>
      <w:r w:rsidRPr="000B7475">
        <w:rPr>
          <w:rFonts w:asciiTheme="minorHAnsi" w:hAnsiTheme="minorHAnsi" w:cstheme="majorHAnsi"/>
          <w:color w:val="1E293B"/>
          <w:sz w:val="20"/>
        </w:rPr>
        <w:t>Francioli</w:t>
      </w:r>
      <w:proofErr w:type="spellEnd"/>
      <w:r w:rsidRPr="000B7475">
        <w:rPr>
          <w:rFonts w:asciiTheme="minorHAnsi" w:hAnsiTheme="minorHAnsi" w:cstheme="majorHAnsi"/>
          <w:color w:val="1E293B"/>
          <w:sz w:val="20"/>
        </w:rPr>
        <w:t xml:space="preserve"> LC, Tiao G, Cummings BB, Alföldi J, Wang Q, et al. The mutational constraint spectrum quantified from variation in 141,456 humans. Nature. 2020;581(7809):434-443. doi:10.1038/s41586-020-2308-7. </w:t>
      </w:r>
      <w:hyperlink r:id="rId178">
        <w:r w:rsidRPr="000B7475">
          <w:rPr>
            <w:rFonts w:asciiTheme="minorHAnsi" w:hAnsiTheme="minorHAnsi" w:cstheme="majorHAnsi"/>
            <w:color w:val="1D4ED8"/>
            <w:sz w:val="20"/>
            <w:szCs w:val="20"/>
            <w:u w:val="single"/>
          </w:rPr>
          <w:t>PMID: 32461654</w:t>
        </w:r>
      </w:hyperlink>
      <w:r w:rsidRPr="000B7475">
        <w:rPr>
          <w:rFonts w:asciiTheme="minorHAnsi" w:hAnsiTheme="minorHAnsi" w:cstheme="majorHAnsi"/>
          <w:color w:val="1E293B"/>
          <w:sz w:val="20"/>
        </w:rPr>
        <w:t>.</w:t>
      </w:r>
    </w:p>
    <w:p w14:paraId="603FB4A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168. </w:t>
      </w:r>
      <w:r w:rsidRPr="000B7475">
        <w:rPr>
          <w:rFonts w:asciiTheme="minorHAnsi" w:hAnsiTheme="minorHAnsi" w:cstheme="majorHAnsi"/>
          <w:color w:val="1E293B"/>
          <w:sz w:val="20"/>
        </w:rPr>
        <w:t xml:space="preserve">Landrum MJ, </w:t>
      </w:r>
      <w:proofErr w:type="spellStart"/>
      <w:r w:rsidRPr="000B7475">
        <w:rPr>
          <w:rFonts w:asciiTheme="minorHAnsi" w:hAnsiTheme="minorHAnsi" w:cstheme="majorHAnsi"/>
          <w:color w:val="1E293B"/>
          <w:sz w:val="20"/>
        </w:rPr>
        <w:t>Chitipiralla</w:t>
      </w:r>
      <w:proofErr w:type="spellEnd"/>
      <w:r w:rsidRPr="000B7475">
        <w:rPr>
          <w:rFonts w:asciiTheme="minorHAnsi" w:hAnsiTheme="minorHAnsi" w:cstheme="majorHAnsi"/>
          <w:color w:val="1E293B"/>
          <w:sz w:val="20"/>
        </w:rPr>
        <w:t xml:space="preserve"> S, Brown GR, Chen C, Gu B, Hart J, et al. </w:t>
      </w:r>
      <w:proofErr w:type="spellStart"/>
      <w:r w:rsidRPr="000B7475">
        <w:rPr>
          <w:rFonts w:asciiTheme="minorHAnsi" w:hAnsiTheme="minorHAnsi" w:cstheme="majorHAnsi"/>
          <w:color w:val="1E293B"/>
          <w:sz w:val="20"/>
        </w:rPr>
        <w:t>ClinVar</w:t>
      </w:r>
      <w:proofErr w:type="spellEnd"/>
      <w:r w:rsidRPr="000B7475">
        <w:rPr>
          <w:rFonts w:asciiTheme="minorHAnsi" w:hAnsiTheme="minorHAnsi" w:cstheme="majorHAnsi"/>
          <w:color w:val="1E293B"/>
          <w:sz w:val="20"/>
        </w:rPr>
        <w:t>: improvements to accessing data. Nucleic Acids Res. 2020;48(D1</w:t>
      </w:r>
      <w:proofErr w:type="gramStart"/>
      <w:r w:rsidRPr="000B7475">
        <w:rPr>
          <w:rFonts w:asciiTheme="minorHAnsi" w:hAnsiTheme="minorHAnsi" w:cstheme="majorHAnsi"/>
          <w:color w:val="1E293B"/>
          <w:sz w:val="20"/>
        </w:rPr>
        <w:t>):D</w:t>
      </w:r>
      <w:proofErr w:type="gramEnd"/>
      <w:r w:rsidRPr="000B7475">
        <w:rPr>
          <w:rFonts w:asciiTheme="minorHAnsi" w:hAnsiTheme="minorHAnsi" w:cstheme="majorHAnsi"/>
          <w:color w:val="1E293B"/>
          <w:sz w:val="20"/>
        </w:rPr>
        <w:t>835-D844. doi:10.1093/</w:t>
      </w:r>
      <w:proofErr w:type="spellStart"/>
      <w:r w:rsidRPr="000B7475">
        <w:rPr>
          <w:rFonts w:asciiTheme="minorHAnsi" w:hAnsiTheme="minorHAnsi" w:cstheme="majorHAnsi"/>
          <w:color w:val="1E293B"/>
          <w:sz w:val="20"/>
        </w:rPr>
        <w:t>nar</w:t>
      </w:r>
      <w:proofErr w:type="spellEnd"/>
      <w:r w:rsidRPr="000B7475">
        <w:rPr>
          <w:rFonts w:asciiTheme="minorHAnsi" w:hAnsiTheme="minorHAnsi" w:cstheme="majorHAnsi"/>
          <w:color w:val="1E293B"/>
          <w:sz w:val="20"/>
        </w:rPr>
        <w:t xml:space="preserve">/gkz972. </w:t>
      </w:r>
      <w:hyperlink r:id="rId179">
        <w:r w:rsidRPr="000B7475">
          <w:rPr>
            <w:rFonts w:asciiTheme="minorHAnsi" w:hAnsiTheme="minorHAnsi" w:cstheme="majorHAnsi"/>
            <w:color w:val="1D4ED8"/>
            <w:sz w:val="20"/>
            <w:szCs w:val="20"/>
            <w:u w:val="single"/>
          </w:rPr>
          <w:t>PMID: 31777943</w:t>
        </w:r>
      </w:hyperlink>
      <w:r w:rsidRPr="000B7475">
        <w:rPr>
          <w:rFonts w:asciiTheme="minorHAnsi" w:hAnsiTheme="minorHAnsi" w:cstheme="majorHAnsi"/>
          <w:color w:val="1E293B"/>
          <w:sz w:val="20"/>
        </w:rPr>
        <w:t>.</w:t>
      </w:r>
    </w:p>
    <w:p w14:paraId="070230E1"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169. </w:t>
      </w:r>
      <w:r w:rsidRPr="000B7475">
        <w:rPr>
          <w:rFonts w:asciiTheme="minorHAnsi" w:hAnsiTheme="minorHAnsi" w:cstheme="majorHAnsi"/>
          <w:color w:val="1E293B"/>
          <w:sz w:val="20"/>
        </w:rPr>
        <w:t xml:space="preserve">Richards S, Aziz N, Bale S, Bick D, Das S, </w:t>
      </w:r>
      <w:proofErr w:type="spellStart"/>
      <w:r w:rsidRPr="000B7475">
        <w:rPr>
          <w:rFonts w:asciiTheme="minorHAnsi" w:hAnsiTheme="minorHAnsi" w:cstheme="majorHAnsi"/>
          <w:color w:val="1E293B"/>
          <w:sz w:val="20"/>
        </w:rPr>
        <w:t>Gastier</w:t>
      </w:r>
      <w:proofErr w:type="spellEnd"/>
      <w:r w:rsidRPr="000B7475">
        <w:rPr>
          <w:rFonts w:asciiTheme="minorHAnsi" w:hAnsiTheme="minorHAnsi" w:cstheme="majorHAnsi"/>
          <w:color w:val="1E293B"/>
          <w:sz w:val="20"/>
        </w:rPr>
        <w:t xml:space="preserve">-Foster J, et al. Standards and guidelines for the interpretation of sequence variants: a joint consensus recommendation of the American College of Medical Genetics and Genomics and the Association for Molecular Pathology. Genet Med. 2015;17(5):405-424. doi:10.1038/gim.2015.30. </w:t>
      </w:r>
      <w:hyperlink r:id="rId180">
        <w:r w:rsidRPr="000B7475">
          <w:rPr>
            <w:rFonts w:asciiTheme="minorHAnsi" w:hAnsiTheme="minorHAnsi" w:cstheme="majorHAnsi"/>
            <w:color w:val="1D4ED8"/>
            <w:sz w:val="20"/>
            <w:szCs w:val="20"/>
            <w:u w:val="single"/>
          </w:rPr>
          <w:t>PMID: 25741868</w:t>
        </w:r>
      </w:hyperlink>
      <w:r w:rsidRPr="000B7475">
        <w:rPr>
          <w:rFonts w:asciiTheme="minorHAnsi" w:hAnsiTheme="minorHAnsi" w:cstheme="majorHAnsi"/>
          <w:color w:val="1E293B"/>
          <w:sz w:val="20"/>
        </w:rPr>
        <w:t>.</w:t>
      </w:r>
    </w:p>
    <w:p w14:paraId="7A19E2C7"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170. </w:t>
      </w:r>
      <w:r w:rsidRPr="000B7475">
        <w:rPr>
          <w:rFonts w:asciiTheme="minorHAnsi" w:hAnsiTheme="minorHAnsi" w:cstheme="majorHAnsi"/>
          <w:color w:val="1E293B"/>
          <w:sz w:val="20"/>
        </w:rPr>
        <w:t xml:space="preserve">Hastie ND. Wilms' </w:t>
      </w:r>
      <w:proofErr w:type="spellStart"/>
      <w:r w:rsidRPr="000B7475">
        <w:rPr>
          <w:rFonts w:asciiTheme="minorHAnsi" w:hAnsiTheme="minorHAnsi" w:cstheme="majorHAnsi"/>
          <w:color w:val="1E293B"/>
          <w:sz w:val="20"/>
        </w:rPr>
        <w:t>tumour</w:t>
      </w:r>
      <w:proofErr w:type="spellEnd"/>
      <w:r w:rsidRPr="000B7475">
        <w:rPr>
          <w:rFonts w:asciiTheme="minorHAnsi" w:hAnsiTheme="minorHAnsi" w:cstheme="majorHAnsi"/>
          <w:color w:val="1E293B"/>
          <w:sz w:val="20"/>
        </w:rPr>
        <w:t xml:space="preserve"> 1 (WT1) in development, homeostasis and disease. Development. 2017;144(16):2862-2872. doi:10.1242/dev.153163. </w:t>
      </w:r>
      <w:hyperlink r:id="rId181">
        <w:r w:rsidRPr="000B7475">
          <w:rPr>
            <w:rFonts w:asciiTheme="minorHAnsi" w:hAnsiTheme="minorHAnsi" w:cstheme="majorHAnsi"/>
            <w:color w:val="1D4ED8"/>
            <w:sz w:val="20"/>
            <w:szCs w:val="20"/>
            <w:u w:val="single"/>
          </w:rPr>
          <w:t>PMID: 28811308</w:t>
        </w:r>
      </w:hyperlink>
      <w:r w:rsidRPr="000B7475">
        <w:rPr>
          <w:rFonts w:asciiTheme="minorHAnsi" w:hAnsiTheme="minorHAnsi" w:cstheme="majorHAnsi"/>
          <w:color w:val="1E293B"/>
          <w:sz w:val="20"/>
        </w:rPr>
        <w:t>.</w:t>
      </w:r>
    </w:p>
    <w:p w14:paraId="4E1DF197"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171. </w:t>
      </w:r>
      <w:r w:rsidRPr="000B7475">
        <w:rPr>
          <w:rFonts w:asciiTheme="minorHAnsi" w:hAnsiTheme="minorHAnsi" w:cstheme="majorHAnsi"/>
          <w:color w:val="1E293B"/>
          <w:sz w:val="20"/>
        </w:rPr>
        <w:t>Pelletier J, Bruening W, Kashtan CE, Mauer SM, Manivel JC, Striegel JE, et al. Germline mutations in the Wilms' tumor suppressor gene are associated with abnormal urogenital development in Denys-</w:t>
      </w:r>
      <w:proofErr w:type="spellStart"/>
      <w:r w:rsidRPr="000B7475">
        <w:rPr>
          <w:rFonts w:asciiTheme="minorHAnsi" w:hAnsiTheme="minorHAnsi" w:cstheme="majorHAnsi"/>
          <w:color w:val="1E293B"/>
          <w:sz w:val="20"/>
        </w:rPr>
        <w:t>Drash</w:t>
      </w:r>
      <w:proofErr w:type="spellEnd"/>
      <w:r w:rsidRPr="000B7475">
        <w:rPr>
          <w:rFonts w:asciiTheme="minorHAnsi" w:hAnsiTheme="minorHAnsi" w:cstheme="majorHAnsi"/>
          <w:color w:val="1E293B"/>
          <w:sz w:val="20"/>
        </w:rPr>
        <w:t xml:space="preserve"> syndrome. Cell. 1991;67(2):437-447. doi:10.1016/0092-8674(91)90194-4. </w:t>
      </w:r>
      <w:hyperlink r:id="rId182">
        <w:r w:rsidRPr="000B7475">
          <w:rPr>
            <w:rFonts w:asciiTheme="minorHAnsi" w:hAnsiTheme="minorHAnsi" w:cstheme="majorHAnsi"/>
            <w:color w:val="1D4ED8"/>
            <w:sz w:val="20"/>
            <w:szCs w:val="20"/>
            <w:u w:val="single"/>
          </w:rPr>
          <w:t>PMID: 1655284</w:t>
        </w:r>
      </w:hyperlink>
      <w:r w:rsidRPr="000B7475">
        <w:rPr>
          <w:rFonts w:asciiTheme="minorHAnsi" w:hAnsiTheme="minorHAnsi" w:cstheme="majorHAnsi"/>
          <w:color w:val="1E293B"/>
          <w:sz w:val="20"/>
        </w:rPr>
        <w:t>.</w:t>
      </w:r>
    </w:p>
    <w:p w14:paraId="6DCA0D16"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172. </w:t>
      </w:r>
      <w:r w:rsidRPr="000B7475">
        <w:rPr>
          <w:rFonts w:asciiTheme="minorHAnsi" w:hAnsiTheme="minorHAnsi" w:cstheme="majorHAnsi"/>
          <w:color w:val="1E293B"/>
          <w:sz w:val="20"/>
        </w:rPr>
        <w:t xml:space="preserve">Moore AW, McInnes L, </w:t>
      </w:r>
      <w:proofErr w:type="spellStart"/>
      <w:r w:rsidRPr="000B7475">
        <w:rPr>
          <w:rFonts w:asciiTheme="minorHAnsi" w:hAnsiTheme="minorHAnsi" w:cstheme="majorHAnsi"/>
          <w:color w:val="1E293B"/>
          <w:sz w:val="20"/>
        </w:rPr>
        <w:t>Kreidberg</w:t>
      </w:r>
      <w:proofErr w:type="spellEnd"/>
      <w:r w:rsidRPr="000B7475">
        <w:rPr>
          <w:rFonts w:asciiTheme="minorHAnsi" w:hAnsiTheme="minorHAnsi" w:cstheme="majorHAnsi"/>
          <w:color w:val="1E293B"/>
          <w:sz w:val="20"/>
        </w:rPr>
        <w:t xml:space="preserve"> J, Hastie ND, </w:t>
      </w:r>
      <w:proofErr w:type="spellStart"/>
      <w:r w:rsidRPr="000B7475">
        <w:rPr>
          <w:rFonts w:asciiTheme="minorHAnsi" w:hAnsiTheme="minorHAnsi" w:cstheme="majorHAnsi"/>
          <w:color w:val="1E293B"/>
          <w:sz w:val="20"/>
        </w:rPr>
        <w:t>Schedl</w:t>
      </w:r>
      <w:proofErr w:type="spellEnd"/>
      <w:r w:rsidRPr="000B7475">
        <w:rPr>
          <w:rFonts w:asciiTheme="minorHAnsi" w:hAnsiTheme="minorHAnsi" w:cstheme="majorHAnsi"/>
          <w:color w:val="1E293B"/>
          <w:sz w:val="20"/>
        </w:rPr>
        <w:t xml:space="preserve"> A. YAC complementation shows a requirement for Wt1 in the development of epicardium, adrenal gland and throughout nephrogenesis. Development. 1999;126(9):1845-1857. doi:10.1242/dev.126.9.1845. </w:t>
      </w:r>
      <w:hyperlink r:id="rId183">
        <w:r w:rsidRPr="000B7475">
          <w:rPr>
            <w:rFonts w:asciiTheme="minorHAnsi" w:hAnsiTheme="minorHAnsi" w:cstheme="majorHAnsi"/>
            <w:color w:val="1D4ED8"/>
            <w:sz w:val="20"/>
            <w:szCs w:val="20"/>
            <w:u w:val="single"/>
          </w:rPr>
          <w:t>PMID: 10101119</w:t>
        </w:r>
      </w:hyperlink>
      <w:r w:rsidRPr="000B7475">
        <w:rPr>
          <w:rFonts w:asciiTheme="minorHAnsi" w:hAnsiTheme="minorHAnsi" w:cstheme="majorHAnsi"/>
          <w:color w:val="1E293B"/>
          <w:sz w:val="20"/>
        </w:rPr>
        <w:t>.</w:t>
      </w:r>
    </w:p>
    <w:p w14:paraId="7B650005"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173. </w:t>
      </w:r>
      <w:proofErr w:type="spellStart"/>
      <w:r w:rsidRPr="000B7475">
        <w:rPr>
          <w:rFonts w:asciiTheme="minorHAnsi" w:hAnsiTheme="minorHAnsi" w:cstheme="majorHAnsi"/>
          <w:color w:val="1E293B"/>
          <w:sz w:val="20"/>
        </w:rPr>
        <w:t>Hoenderop</w:t>
      </w:r>
      <w:proofErr w:type="spellEnd"/>
      <w:r w:rsidRPr="000B7475">
        <w:rPr>
          <w:rFonts w:asciiTheme="minorHAnsi" w:hAnsiTheme="minorHAnsi" w:cstheme="majorHAnsi"/>
          <w:color w:val="1E293B"/>
          <w:sz w:val="20"/>
        </w:rPr>
        <w:t xml:space="preserve"> JG, van Leeuwen JP, van der Eerden BC, Kersten FF, van der Kemp AW, </w:t>
      </w:r>
      <w:proofErr w:type="spellStart"/>
      <w:r w:rsidRPr="000B7475">
        <w:rPr>
          <w:rFonts w:asciiTheme="minorHAnsi" w:hAnsiTheme="minorHAnsi" w:cstheme="majorHAnsi"/>
          <w:color w:val="1E293B"/>
          <w:sz w:val="20"/>
        </w:rPr>
        <w:t>Mérillat</w:t>
      </w:r>
      <w:proofErr w:type="spellEnd"/>
      <w:r w:rsidRPr="000B7475">
        <w:rPr>
          <w:rFonts w:asciiTheme="minorHAnsi" w:hAnsiTheme="minorHAnsi" w:cstheme="majorHAnsi"/>
          <w:color w:val="1E293B"/>
          <w:sz w:val="20"/>
        </w:rPr>
        <w:t xml:space="preserve"> AM, et al. Renal Ca2+ wasting, hyperabsorption, and reduced bone thickness in mice lacking TRPV5. J Clin Invest. 2003;112(12):1906-1914. doi:10.1172/JCI19826. </w:t>
      </w:r>
      <w:hyperlink r:id="rId184">
        <w:r w:rsidRPr="000B7475">
          <w:rPr>
            <w:rFonts w:asciiTheme="minorHAnsi" w:hAnsiTheme="minorHAnsi" w:cstheme="majorHAnsi"/>
            <w:color w:val="1D4ED8"/>
            <w:sz w:val="20"/>
            <w:szCs w:val="20"/>
            <w:u w:val="single"/>
          </w:rPr>
          <w:t>PMID: 14679186</w:t>
        </w:r>
      </w:hyperlink>
      <w:r w:rsidRPr="000B7475">
        <w:rPr>
          <w:rFonts w:asciiTheme="minorHAnsi" w:hAnsiTheme="minorHAnsi" w:cstheme="majorHAnsi"/>
          <w:color w:val="1E293B"/>
          <w:sz w:val="20"/>
        </w:rPr>
        <w:t>.</w:t>
      </w:r>
    </w:p>
    <w:p w14:paraId="6CBEC9E8"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174. </w:t>
      </w:r>
      <w:r w:rsidRPr="000B7475">
        <w:rPr>
          <w:rFonts w:asciiTheme="minorHAnsi" w:hAnsiTheme="minorHAnsi" w:cstheme="majorHAnsi"/>
          <w:color w:val="1E293B"/>
          <w:sz w:val="20"/>
        </w:rPr>
        <w:t xml:space="preserve">Gefen AM, Sethna CB, Cil O, </w:t>
      </w:r>
      <w:proofErr w:type="spellStart"/>
      <w:r w:rsidRPr="000B7475">
        <w:rPr>
          <w:rFonts w:asciiTheme="minorHAnsi" w:hAnsiTheme="minorHAnsi" w:cstheme="majorHAnsi"/>
          <w:color w:val="1E293B"/>
          <w:sz w:val="20"/>
        </w:rPr>
        <w:t>Perwad</w:t>
      </w:r>
      <w:proofErr w:type="spellEnd"/>
      <w:r w:rsidRPr="000B7475">
        <w:rPr>
          <w:rFonts w:asciiTheme="minorHAnsi" w:hAnsiTheme="minorHAnsi" w:cstheme="majorHAnsi"/>
          <w:color w:val="1E293B"/>
          <w:sz w:val="20"/>
        </w:rPr>
        <w:t xml:space="preserve"> F, Schoettler M, Michael M, et al. Genetic testing in children with nephrolithiasis and nephrocalcinosis. </w:t>
      </w:r>
      <w:proofErr w:type="spellStart"/>
      <w:r w:rsidRPr="000B7475">
        <w:rPr>
          <w:rFonts w:asciiTheme="minorHAnsi" w:hAnsiTheme="minorHAnsi" w:cstheme="majorHAnsi"/>
          <w:color w:val="1E293B"/>
          <w:sz w:val="20"/>
        </w:rPr>
        <w:t>Pediatr</w:t>
      </w:r>
      <w:proofErr w:type="spellEnd"/>
      <w:r w:rsidRPr="000B7475">
        <w:rPr>
          <w:rFonts w:asciiTheme="minorHAnsi" w:hAnsiTheme="minorHAnsi" w:cstheme="majorHAnsi"/>
          <w:color w:val="1E293B"/>
          <w:sz w:val="20"/>
        </w:rPr>
        <w:t xml:space="preserve"> Nephrol. 2023;38(8):2615-2622. doi:10.1007/s00467-023-05879-0. </w:t>
      </w:r>
      <w:hyperlink r:id="rId185">
        <w:r w:rsidRPr="000B7475">
          <w:rPr>
            <w:rFonts w:asciiTheme="minorHAnsi" w:hAnsiTheme="minorHAnsi" w:cstheme="majorHAnsi"/>
            <w:color w:val="1D4ED8"/>
            <w:sz w:val="20"/>
            <w:szCs w:val="20"/>
            <w:u w:val="single"/>
          </w:rPr>
          <w:t>PMID: 36688940</w:t>
        </w:r>
      </w:hyperlink>
      <w:r w:rsidRPr="000B7475">
        <w:rPr>
          <w:rFonts w:asciiTheme="minorHAnsi" w:hAnsiTheme="minorHAnsi" w:cstheme="majorHAnsi"/>
          <w:color w:val="1E293B"/>
          <w:sz w:val="20"/>
        </w:rPr>
        <w:t>.</w:t>
      </w:r>
    </w:p>
    <w:p w14:paraId="6E54C07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175. </w:t>
      </w:r>
      <w:proofErr w:type="spellStart"/>
      <w:r w:rsidRPr="000B7475">
        <w:rPr>
          <w:rFonts w:asciiTheme="minorHAnsi" w:hAnsiTheme="minorHAnsi" w:cstheme="majorHAnsi"/>
          <w:color w:val="1E293B"/>
          <w:sz w:val="20"/>
        </w:rPr>
        <w:t>Szklarczyk</w:t>
      </w:r>
      <w:proofErr w:type="spellEnd"/>
      <w:r w:rsidRPr="000B7475">
        <w:rPr>
          <w:rFonts w:asciiTheme="minorHAnsi" w:hAnsiTheme="minorHAnsi" w:cstheme="majorHAnsi"/>
          <w:color w:val="1E293B"/>
          <w:sz w:val="20"/>
        </w:rPr>
        <w:t xml:space="preserve"> D, Kirsch R, </w:t>
      </w:r>
      <w:proofErr w:type="spellStart"/>
      <w:r w:rsidRPr="000B7475">
        <w:rPr>
          <w:rFonts w:asciiTheme="minorHAnsi" w:hAnsiTheme="minorHAnsi" w:cstheme="majorHAnsi"/>
          <w:color w:val="1E293B"/>
          <w:sz w:val="20"/>
        </w:rPr>
        <w:t>Koutrouli</w:t>
      </w:r>
      <w:proofErr w:type="spellEnd"/>
      <w:r w:rsidRPr="000B7475">
        <w:rPr>
          <w:rFonts w:asciiTheme="minorHAnsi" w:hAnsiTheme="minorHAnsi" w:cstheme="majorHAnsi"/>
          <w:color w:val="1E293B"/>
          <w:sz w:val="20"/>
        </w:rPr>
        <w:t xml:space="preserve"> M, </w:t>
      </w:r>
      <w:proofErr w:type="spellStart"/>
      <w:r w:rsidRPr="000B7475">
        <w:rPr>
          <w:rFonts w:asciiTheme="minorHAnsi" w:hAnsiTheme="minorHAnsi" w:cstheme="majorHAnsi"/>
          <w:color w:val="1E293B"/>
          <w:sz w:val="20"/>
        </w:rPr>
        <w:t>Nastou</w:t>
      </w:r>
      <w:proofErr w:type="spellEnd"/>
      <w:r w:rsidRPr="000B7475">
        <w:rPr>
          <w:rFonts w:asciiTheme="minorHAnsi" w:hAnsiTheme="minorHAnsi" w:cstheme="majorHAnsi"/>
          <w:color w:val="1E293B"/>
          <w:sz w:val="20"/>
        </w:rPr>
        <w:t xml:space="preserve"> K, </w:t>
      </w:r>
      <w:proofErr w:type="spellStart"/>
      <w:r w:rsidRPr="000B7475">
        <w:rPr>
          <w:rFonts w:asciiTheme="minorHAnsi" w:hAnsiTheme="minorHAnsi" w:cstheme="majorHAnsi"/>
          <w:color w:val="1E293B"/>
          <w:sz w:val="20"/>
        </w:rPr>
        <w:t>Mehryary</w:t>
      </w:r>
      <w:proofErr w:type="spellEnd"/>
      <w:r w:rsidRPr="000B7475">
        <w:rPr>
          <w:rFonts w:asciiTheme="minorHAnsi" w:hAnsiTheme="minorHAnsi" w:cstheme="majorHAnsi"/>
          <w:color w:val="1E293B"/>
          <w:sz w:val="20"/>
        </w:rPr>
        <w:t xml:space="preserve"> F, </w:t>
      </w:r>
      <w:proofErr w:type="spellStart"/>
      <w:r w:rsidRPr="000B7475">
        <w:rPr>
          <w:rFonts w:asciiTheme="minorHAnsi" w:hAnsiTheme="minorHAnsi" w:cstheme="majorHAnsi"/>
          <w:color w:val="1E293B"/>
          <w:sz w:val="20"/>
        </w:rPr>
        <w:t>Hachilif</w:t>
      </w:r>
      <w:proofErr w:type="spellEnd"/>
      <w:r w:rsidRPr="000B7475">
        <w:rPr>
          <w:rFonts w:asciiTheme="minorHAnsi" w:hAnsiTheme="minorHAnsi" w:cstheme="majorHAnsi"/>
          <w:color w:val="1E293B"/>
          <w:sz w:val="20"/>
        </w:rPr>
        <w:t xml:space="preserve"> R, et al. The STRING database in 2023: protein-protein association networks and functional enrichment analyses for any sequenced genome of interest. Nucleic Acids Res. 2023;51(D1</w:t>
      </w:r>
      <w:proofErr w:type="gramStart"/>
      <w:r w:rsidRPr="000B7475">
        <w:rPr>
          <w:rFonts w:asciiTheme="minorHAnsi" w:hAnsiTheme="minorHAnsi" w:cstheme="majorHAnsi"/>
          <w:color w:val="1E293B"/>
          <w:sz w:val="20"/>
        </w:rPr>
        <w:t>):D</w:t>
      </w:r>
      <w:proofErr w:type="gramEnd"/>
      <w:r w:rsidRPr="000B7475">
        <w:rPr>
          <w:rFonts w:asciiTheme="minorHAnsi" w:hAnsiTheme="minorHAnsi" w:cstheme="majorHAnsi"/>
          <w:color w:val="1E293B"/>
          <w:sz w:val="20"/>
        </w:rPr>
        <w:t>638-D646. doi:10.1093/</w:t>
      </w:r>
      <w:proofErr w:type="spellStart"/>
      <w:r w:rsidRPr="000B7475">
        <w:rPr>
          <w:rFonts w:asciiTheme="minorHAnsi" w:hAnsiTheme="minorHAnsi" w:cstheme="majorHAnsi"/>
          <w:color w:val="1E293B"/>
          <w:sz w:val="20"/>
        </w:rPr>
        <w:t>nar</w:t>
      </w:r>
      <w:proofErr w:type="spellEnd"/>
      <w:r w:rsidRPr="000B7475">
        <w:rPr>
          <w:rFonts w:asciiTheme="minorHAnsi" w:hAnsiTheme="minorHAnsi" w:cstheme="majorHAnsi"/>
          <w:color w:val="1E293B"/>
          <w:sz w:val="20"/>
        </w:rPr>
        <w:t xml:space="preserve">/gkac1000. </w:t>
      </w:r>
      <w:hyperlink r:id="rId186">
        <w:r w:rsidRPr="000B7475">
          <w:rPr>
            <w:rFonts w:asciiTheme="minorHAnsi" w:hAnsiTheme="minorHAnsi" w:cstheme="majorHAnsi"/>
            <w:color w:val="1D4ED8"/>
            <w:sz w:val="20"/>
            <w:szCs w:val="20"/>
            <w:u w:val="single"/>
          </w:rPr>
          <w:t>PMID: 36370105</w:t>
        </w:r>
      </w:hyperlink>
      <w:r w:rsidRPr="000B7475">
        <w:rPr>
          <w:rFonts w:asciiTheme="minorHAnsi" w:hAnsiTheme="minorHAnsi" w:cstheme="majorHAnsi"/>
          <w:color w:val="1E293B"/>
          <w:sz w:val="20"/>
        </w:rPr>
        <w:t>.</w:t>
      </w:r>
    </w:p>
    <w:p w14:paraId="44697B50"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176. </w:t>
      </w:r>
      <w:proofErr w:type="spellStart"/>
      <w:r w:rsidRPr="000B7475">
        <w:rPr>
          <w:rFonts w:asciiTheme="minorHAnsi" w:hAnsiTheme="minorHAnsi" w:cstheme="majorHAnsi"/>
          <w:color w:val="1E293B"/>
          <w:sz w:val="20"/>
        </w:rPr>
        <w:t>Uhlén</w:t>
      </w:r>
      <w:proofErr w:type="spellEnd"/>
      <w:r w:rsidRPr="000B7475">
        <w:rPr>
          <w:rFonts w:asciiTheme="minorHAnsi" w:hAnsiTheme="minorHAnsi" w:cstheme="majorHAnsi"/>
          <w:color w:val="1E293B"/>
          <w:sz w:val="20"/>
        </w:rPr>
        <w:t xml:space="preserve"> M, Fagerberg L, Hallström BM, Lindskog C, </w:t>
      </w:r>
      <w:proofErr w:type="spellStart"/>
      <w:r w:rsidRPr="000B7475">
        <w:rPr>
          <w:rFonts w:asciiTheme="minorHAnsi" w:hAnsiTheme="minorHAnsi" w:cstheme="majorHAnsi"/>
          <w:color w:val="1E293B"/>
          <w:sz w:val="20"/>
        </w:rPr>
        <w:t>Oksvold</w:t>
      </w:r>
      <w:proofErr w:type="spellEnd"/>
      <w:r w:rsidRPr="000B7475">
        <w:rPr>
          <w:rFonts w:asciiTheme="minorHAnsi" w:hAnsiTheme="minorHAnsi" w:cstheme="majorHAnsi"/>
          <w:color w:val="1E293B"/>
          <w:sz w:val="20"/>
        </w:rPr>
        <w:t xml:space="preserve"> P, </w:t>
      </w:r>
      <w:proofErr w:type="spellStart"/>
      <w:r w:rsidRPr="000B7475">
        <w:rPr>
          <w:rFonts w:asciiTheme="minorHAnsi" w:hAnsiTheme="minorHAnsi" w:cstheme="majorHAnsi"/>
          <w:color w:val="1E293B"/>
          <w:sz w:val="20"/>
        </w:rPr>
        <w:t>Mardinoglu</w:t>
      </w:r>
      <w:proofErr w:type="spellEnd"/>
      <w:r w:rsidRPr="000B7475">
        <w:rPr>
          <w:rFonts w:asciiTheme="minorHAnsi" w:hAnsiTheme="minorHAnsi" w:cstheme="majorHAnsi"/>
          <w:color w:val="1E293B"/>
          <w:sz w:val="20"/>
        </w:rPr>
        <w:t xml:space="preserve"> A, et al. Proteomics. Tissue-based map of the human proteome. Science. 2015;347(6220):1260419. doi:10.1126/science.1260419. </w:t>
      </w:r>
      <w:hyperlink r:id="rId187">
        <w:r w:rsidRPr="000B7475">
          <w:rPr>
            <w:rFonts w:asciiTheme="minorHAnsi" w:hAnsiTheme="minorHAnsi" w:cstheme="majorHAnsi"/>
            <w:color w:val="1D4ED8"/>
            <w:sz w:val="20"/>
            <w:szCs w:val="20"/>
            <w:u w:val="single"/>
          </w:rPr>
          <w:t>PMID: 25613900</w:t>
        </w:r>
      </w:hyperlink>
      <w:r w:rsidRPr="000B7475">
        <w:rPr>
          <w:rFonts w:asciiTheme="minorHAnsi" w:hAnsiTheme="minorHAnsi" w:cstheme="majorHAnsi"/>
          <w:color w:val="1E293B"/>
          <w:sz w:val="20"/>
        </w:rPr>
        <w:t>.</w:t>
      </w:r>
    </w:p>
    <w:p w14:paraId="1DAC884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177. </w:t>
      </w:r>
      <w:r w:rsidRPr="000B7475">
        <w:rPr>
          <w:rFonts w:asciiTheme="minorHAnsi" w:hAnsiTheme="minorHAnsi" w:cstheme="majorHAnsi"/>
          <w:color w:val="1E293B"/>
          <w:sz w:val="20"/>
        </w:rPr>
        <w:t xml:space="preserve">Weigert A, Hoppe B. Nephrolithiasis and Nephrocalcinosis in Childhood—Risk Factor-Related Current and Future Treatment Options. Front </w:t>
      </w:r>
      <w:proofErr w:type="spellStart"/>
      <w:r w:rsidRPr="000B7475">
        <w:rPr>
          <w:rFonts w:asciiTheme="minorHAnsi" w:hAnsiTheme="minorHAnsi" w:cstheme="majorHAnsi"/>
          <w:color w:val="1E293B"/>
          <w:sz w:val="20"/>
        </w:rPr>
        <w:t>Pediatr</w:t>
      </w:r>
      <w:proofErr w:type="spellEnd"/>
      <w:r w:rsidRPr="000B7475">
        <w:rPr>
          <w:rFonts w:asciiTheme="minorHAnsi" w:hAnsiTheme="minorHAnsi" w:cstheme="majorHAnsi"/>
          <w:color w:val="1E293B"/>
          <w:sz w:val="20"/>
        </w:rPr>
        <w:t xml:space="preserve">. </w:t>
      </w:r>
      <w:proofErr w:type="gramStart"/>
      <w:r w:rsidRPr="000B7475">
        <w:rPr>
          <w:rFonts w:asciiTheme="minorHAnsi" w:hAnsiTheme="minorHAnsi" w:cstheme="majorHAnsi"/>
          <w:color w:val="1E293B"/>
          <w:sz w:val="20"/>
        </w:rPr>
        <w:t>2018;6:98</w:t>
      </w:r>
      <w:proofErr w:type="gramEnd"/>
      <w:r w:rsidRPr="000B7475">
        <w:rPr>
          <w:rFonts w:asciiTheme="minorHAnsi" w:hAnsiTheme="minorHAnsi" w:cstheme="majorHAnsi"/>
          <w:color w:val="1E293B"/>
          <w:sz w:val="20"/>
        </w:rPr>
        <w:t xml:space="preserve">. doi:10.3389/fped.2018.00098. </w:t>
      </w:r>
      <w:hyperlink r:id="rId188">
        <w:r w:rsidRPr="000B7475">
          <w:rPr>
            <w:rFonts w:asciiTheme="minorHAnsi" w:hAnsiTheme="minorHAnsi" w:cstheme="majorHAnsi"/>
            <w:color w:val="1D4ED8"/>
            <w:sz w:val="20"/>
            <w:szCs w:val="20"/>
            <w:u w:val="single"/>
          </w:rPr>
          <w:t>PMID: 29707529</w:t>
        </w:r>
      </w:hyperlink>
      <w:r w:rsidRPr="000B7475">
        <w:rPr>
          <w:rFonts w:asciiTheme="minorHAnsi" w:hAnsiTheme="minorHAnsi" w:cstheme="majorHAnsi"/>
          <w:color w:val="1E293B"/>
          <w:sz w:val="20"/>
        </w:rPr>
        <w:t>.</w:t>
      </w:r>
    </w:p>
    <w:p w14:paraId="7EF5BC73"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178. </w:t>
      </w:r>
      <w:r w:rsidRPr="000B7475">
        <w:rPr>
          <w:rFonts w:asciiTheme="minorHAnsi" w:hAnsiTheme="minorHAnsi" w:cstheme="majorHAnsi"/>
          <w:color w:val="1E293B"/>
          <w:sz w:val="20"/>
        </w:rPr>
        <w:t xml:space="preserve">Groothoff JW, Metry E, </w:t>
      </w:r>
      <w:proofErr w:type="spellStart"/>
      <w:r w:rsidRPr="000B7475">
        <w:rPr>
          <w:rFonts w:asciiTheme="minorHAnsi" w:hAnsiTheme="minorHAnsi" w:cstheme="majorHAnsi"/>
          <w:color w:val="1E293B"/>
          <w:sz w:val="20"/>
        </w:rPr>
        <w:t>Deesker</w:t>
      </w:r>
      <w:proofErr w:type="spellEnd"/>
      <w:r w:rsidRPr="000B7475">
        <w:rPr>
          <w:rFonts w:asciiTheme="minorHAnsi" w:hAnsiTheme="minorHAnsi" w:cstheme="majorHAnsi"/>
          <w:color w:val="1E293B"/>
          <w:sz w:val="20"/>
        </w:rPr>
        <w:t xml:space="preserve"> L, </w:t>
      </w:r>
      <w:proofErr w:type="spellStart"/>
      <w:r w:rsidRPr="000B7475">
        <w:rPr>
          <w:rFonts w:asciiTheme="minorHAnsi" w:hAnsiTheme="minorHAnsi" w:cstheme="majorHAnsi"/>
          <w:color w:val="1E293B"/>
          <w:sz w:val="20"/>
        </w:rPr>
        <w:t>Garrelfs</w:t>
      </w:r>
      <w:proofErr w:type="spellEnd"/>
      <w:r w:rsidRPr="000B7475">
        <w:rPr>
          <w:rFonts w:asciiTheme="minorHAnsi" w:hAnsiTheme="minorHAnsi" w:cstheme="majorHAnsi"/>
          <w:color w:val="1E293B"/>
          <w:sz w:val="20"/>
        </w:rPr>
        <w:t xml:space="preserve"> SF, Acquaviva C, </w:t>
      </w:r>
      <w:proofErr w:type="spellStart"/>
      <w:r w:rsidRPr="000B7475">
        <w:rPr>
          <w:rFonts w:asciiTheme="minorHAnsi" w:hAnsiTheme="minorHAnsi" w:cstheme="majorHAnsi"/>
          <w:color w:val="1E293B"/>
          <w:sz w:val="20"/>
        </w:rPr>
        <w:t>Almardini</w:t>
      </w:r>
      <w:proofErr w:type="spellEnd"/>
      <w:r w:rsidRPr="000B7475">
        <w:rPr>
          <w:rFonts w:asciiTheme="minorHAnsi" w:hAnsiTheme="minorHAnsi" w:cstheme="majorHAnsi"/>
          <w:color w:val="1E293B"/>
          <w:sz w:val="20"/>
        </w:rPr>
        <w:t xml:space="preserve"> R, et al. Clinical practice recommendations for primary hyperoxaluria: an expert consensus statement from </w:t>
      </w:r>
      <w:proofErr w:type="spellStart"/>
      <w:r w:rsidRPr="000B7475">
        <w:rPr>
          <w:rFonts w:asciiTheme="minorHAnsi" w:hAnsiTheme="minorHAnsi" w:cstheme="majorHAnsi"/>
          <w:color w:val="1E293B"/>
          <w:sz w:val="20"/>
        </w:rPr>
        <w:t>ERKNet</w:t>
      </w:r>
      <w:proofErr w:type="spellEnd"/>
      <w:r w:rsidRPr="000B7475">
        <w:rPr>
          <w:rFonts w:asciiTheme="minorHAnsi" w:hAnsiTheme="minorHAnsi" w:cstheme="majorHAnsi"/>
          <w:color w:val="1E293B"/>
          <w:sz w:val="20"/>
        </w:rPr>
        <w:t xml:space="preserve"> and </w:t>
      </w:r>
      <w:proofErr w:type="spellStart"/>
      <w:r w:rsidRPr="000B7475">
        <w:rPr>
          <w:rFonts w:asciiTheme="minorHAnsi" w:hAnsiTheme="minorHAnsi" w:cstheme="majorHAnsi"/>
          <w:color w:val="1E293B"/>
          <w:sz w:val="20"/>
        </w:rPr>
        <w:t>OxalEurope</w:t>
      </w:r>
      <w:proofErr w:type="spellEnd"/>
      <w:r w:rsidRPr="000B7475">
        <w:rPr>
          <w:rFonts w:asciiTheme="minorHAnsi" w:hAnsiTheme="minorHAnsi" w:cstheme="majorHAnsi"/>
          <w:color w:val="1E293B"/>
          <w:sz w:val="20"/>
        </w:rPr>
        <w:t xml:space="preserve">. Nat Rev Nephrol. 2023;19(3):194-211. doi:10.1038/s41581-022-00661-1. </w:t>
      </w:r>
      <w:hyperlink r:id="rId189">
        <w:r w:rsidRPr="000B7475">
          <w:rPr>
            <w:rFonts w:asciiTheme="minorHAnsi" w:hAnsiTheme="minorHAnsi" w:cstheme="majorHAnsi"/>
            <w:color w:val="1D4ED8"/>
            <w:sz w:val="20"/>
            <w:szCs w:val="20"/>
            <w:u w:val="single"/>
          </w:rPr>
          <w:t>PMID: 36604599</w:t>
        </w:r>
      </w:hyperlink>
      <w:r w:rsidRPr="000B7475">
        <w:rPr>
          <w:rFonts w:asciiTheme="minorHAnsi" w:hAnsiTheme="minorHAnsi" w:cstheme="majorHAnsi"/>
          <w:color w:val="1E293B"/>
          <w:sz w:val="20"/>
        </w:rPr>
        <w:t>.</w:t>
      </w:r>
    </w:p>
    <w:p w14:paraId="344B76BF"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t xml:space="preserve">179. </w:t>
      </w:r>
      <w:proofErr w:type="spellStart"/>
      <w:r w:rsidRPr="000B7475">
        <w:rPr>
          <w:rFonts w:asciiTheme="minorHAnsi" w:hAnsiTheme="minorHAnsi" w:cstheme="majorHAnsi"/>
          <w:color w:val="1E293B"/>
          <w:sz w:val="20"/>
        </w:rPr>
        <w:t>Cochat</w:t>
      </w:r>
      <w:proofErr w:type="spellEnd"/>
      <w:r w:rsidRPr="000B7475">
        <w:rPr>
          <w:rFonts w:asciiTheme="minorHAnsi" w:hAnsiTheme="minorHAnsi" w:cstheme="majorHAnsi"/>
          <w:color w:val="1E293B"/>
          <w:sz w:val="20"/>
        </w:rPr>
        <w:t xml:space="preserve"> P, Hulton SA, Acquaviva C, </w:t>
      </w:r>
      <w:proofErr w:type="spellStart"/>
      <w:r w:rsidRPr="000B7475">
        <w:rPr>
          <w:rFonts w:asciiTheme="minorHAnsi" w:hAnsiTheme="minorHAnsi" w:cstheme="majorHAnsi"/>
          <w:color w:val="1E293B"/>
          <w:sz w:val="20"/>
        </w:rPr>
        <w:t>Danpure</w:t>
      </w:r>
      <w:proofErr w:type="spellEnd"/>
      <w:r w:rsidRPr="000B7475">
        <w:rPr>
          <w:rFonts w:asciiTheme="minorHAnsi" w:hAnsiTheme="minorHAnsi" w:cstheme="majorHAnsi"/>
          <w:color w:val="1E293B"/>
          <w:sz w:val="20"/>
        </w:rPr>
        <w:t xml:space="preserve"> CJ, Daudon M, De Marchi M, et al. Primary hyperoxaluria Type 1: indications for screening and guidance for diagnosis and treatment. Nephrol Dial Transplant. 2012;27(5):1729-1736. doi:10.1093/</w:t>
      </w:r>
      <w:proofErr w:type="spellStart"/>
      <w:r w:rsidRPr="000B7475">
        <w:rPr>
          <w:rFonts w:asciiTheme="minorHAnsi" w:hAnsiTheme="minorHAnsi" w:cstheme="majorHAnsi"/>
          <w:color w:val="1E293B"/>
          <w:sz w:val="20"/>
        </w:rPr>
        <w:t>ndt</w:t>
      </w:r>
      <w:proofErr w:type="spellEnd"/>
      <w:r w:rsidRPr="000B7475">
        <w:rPr>
          <w:rFonts w:asciiTheme="minorHAnsi" w:hAnsiTheme="minorHAnsi" w:cstheme="majorHAnsi"/>
          <w:color w:val="1E293B"/>
          <w:sz w:val="20"/>
        </w:rPr>
        <w:t xml:space="preserve">/gfs078. </w:t>
      </w:r>
      <w:hyperlink r:id="rId190">
        <w:r w:rsidRPr="000B7475">
          <w:rPr>
            <w:rFonts w:asciiTheme="minorHAnsi" w:hAnsiTheme="minorHAnsi" w:cstheme="majorHAnsi"/>
            <w:color w:val="1D4ED8"/>
            <w:sz w:val="20"/>
            <w:szCs w:val="20"/>
            <w:u w:val="single"/>
          </w:rPr>
          <w:t>PMID: 22547750</w:t>
        </w:r>
      </w:hyperlink>
      <w:r w:rsidRPr="000B7475">
        <w:rPr>
          <w:rFonts w:asciiTheme="minorHAnsi" w:hAnsiTheme="minorHAnsi" w:cstheme="majorHAnsi"/>
          <w:color w:val="1E293B"/>
          <w:sz w:val="20"/>
        </w:rPr>
        <w:t>.</w:t>
      </w:r>
    </w:p>
    <w:p w14:paraId="4E1757AD" w14:textId="77777777" w:rsidR="000B7475" w:rsidRPr="000B7475" w:rsidRDefault="000B7475" w:rsidP="000B7475">
      <w:pPr>
        <w:spacing w:before="12" w:after="40" w:line="252" w:lineRule="auto"/>
        <w:ind w:left="461" w:hanging="461"/>
        <w:rPr>
          <w:rFonts w:asciiTheme="minorHAnsi" w:hAnsiTheme="minorHAnsi" w:cstheme="majorHAnsi"/>
        </w:rPr>
      </w:pPr>
      <w:r w:rsidRPr="000B7475">
        <w:rPr>
          <w:rFonts w:asciiTheme="minorHAnsi" w:hAnsiTheme="minorHAnsi" w:cstheme="majorHAnsi"/>
          <w:b/>
          <w:color w:val="1E293B"/>
          <w:sz w:val="20"/>
        </w:rPr>
        <w:lastRenderedPageBreak/>
        <w:t xml:space="preserve">180. </w:t>
      </w:r>
      <w:proofErr w:type="spellStart"/>
      <w:r w:rsidRPr="000B7475">
        <w:rPr>
          <w:rFonts w:asciiTheme="minorHAnsi" w:hAnsiTheme="minorHAnsi" w:cstheme="majorHAnsi"/>
          <w:color w:val="1E293B"/>
          <w:sz w:val="20"/>
        </w:rPr>
        <w:t>Spreafico</w:t>
      </w:r>
      <w:proofErr w:type="spellEnd"/>
      <w:r w:rsidRPr="000B7475">
        <w:rPr>
          <w:rFonts w:asciiTheme="minorHAnsi" w:hAnsiTheme="minorHAnsi" w:cstheme="majorHAnsi"/>
          <w:color w:val="1E293B"/>
          <w:sz w:val="20"/>
        </w:rPr>
        <w:t xml:space="preserve"> F, Fernandez CV, Brok J, Nakata K, </w:t>
      </w:r>
      <w:proofErr w:type="spellStart"/>
      <w:r w:rsidRPr="000B7475">
        <w:rPr>
          <w:rFonts w:asciiTheme="minorHAnsi" w:hAnsiTheme="minorHAnsi" w:cstheme="majorHAnsi"/>
          <w:color w:val="1E293B"/>
          <w:sz w:val="20"/>
        </w:rPr>
        <w:t>Vujanic</w:t>
      </w:r>
      <w:proofErr w:type="spellEnd"/>
      <w:r w:rsidRPr="000B7475">
        <w:rPr>
          <w:rFonts w:asciiTheme="minorHAnsi" w:hAnsiTheme="minorHAnsi" w:cstheme="majorHAnsi"/>
          <w:color w:val="1E293B"/>
          <w:sz w:val="20"/>
        </w:rPr>
        <w:t xml:space="preserve"> G, Geller JI, et al. Wilms </w:t>
      </w:r>
      <w:proofErr w:type="spellStart"/>
      <w:r w:rsidRPr="000B7475">
        <w:rPr>
          <w:rFonts w:asciiTheme="minorHAnsi" w:hAnsiTheme="minorHAnsi" w:cstheme="majorHAnsi"/>
          <w:color w:val="1E293B"/>
          <w:sz w:val="20"/>
        </w:rPr>
        <w:t>tumour</w:t>
      </w:r>
      <w:proofErr w:type="spellEnd"/>
      <w:r w:rsidRPr="000B7475">
        <w:rPr>
          <w:rFonts w:asciiTheme="minorHAnsi" w:hAnsiTheme="minorHAnsi" w:cstheme="majorHAnsi"/>
          <w:color w:val="1E293B"/>
          <w:sz w:val="20"/>
        </w:rPr>
        <w:t xml:space="preserve">. Nat Rev Dis Primers. 2021;7(1):75. doi:10.1038/s41572-021-00308-8. </w:t>
      </w:r>
      <w:hyperlink r:id="rId191">
        <w:r w:rsidRPr="000B7475">
          <w:rPr>
            <w:rFonts w:asciiTheme="minorHAnsi" w:hAnsiTheme="minorHAnsi" w:cstheme="majorHAnsi"/>
            <w:color w:val="1D4ED8"/>
            <w:sz w:val="20"/>
            <w:szCs w:val="20"/>
            <w:u w:val="single"/>
          </w:rPr>
          <w:t>PMID: 34650095</w:t>
        </w:r>
      </w:hyperlink>
      <w:r w:rsidRPr="000B7475">
        <w:rPr>
          <w:rFonts w:asciiTheme="minorHAnsi" w:hAnsiTheme="minorHAnsi" w:cstheme="majorHAnsi"/>
          <w:color w:val="1E293B"/>
          <w:sz w:val="20"/>
        </w:rPr>
        <w:t>.</w:t>
      </w:r>
    </w:p>
    <w:p w14:paraId="2CE20705" w14:textId="1A0EAE76" w:rsidR="00AC1533" w:rsidRPr="000C71E1" w:rsidRDefault="00AC1533" w:rsidP="000B7475">
      <w:pPr>
        <w:spacing w:before="20" w:after="60" w:line="269" w:lineRule="auto"/>
        <w:ind w:left="461" w:hanging="461"/>
        <w:rPr>
          <w:rFonts w:asciiTheme="majorHAnsi" w:hAnsiTheme="majorHAnsi" w:cstheme="majorHAnsi"/>
        </w:rPr>
      </w:pPr>
    </w:p>
    <w:sectPr w:rsidR="00AC1533" w:rsidRPr="000C71E1" w:rsidSect="00034616">
      <w:headerReference w:type="default" r:id="rId192"/>
      <w:footerReference w:type="default" r:id="rId193"/>
      <w:pgSz w:w="12240" w:h="15840"/>
      <w:pgMar w:top="1368" w:right="1440" w:bottom="1368"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92253" w14:textId="77777777" w:rsidR="006741CA" w:rsidRDefault="006741CA">
      <w:pPr>
        <w:spacing w:after="0" w:line="240" w:lineRule="auto"/>
      </w:pPr>
      <w:r>
        <w:separator/>
      </w:r>
    </w:p>
  </w:endnote>
  <w:endnote w:type="continuationSeparator" w:id="0">
    <w:p w14:paraId="732D097B" w14:textId="77777777" w:rsidR="006741CA" w:rsidRDefault="00674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1E92" w14:textId="1D4D726B" w:rsidR="00E322EC" w:rsidRDefault="00000000">
    <w:pPr>
      <w:jc w:val="right"/>
    </w:pPr>
    <w:r>
      <w:rPr>
        <w:rFonts w:ascii="Calibri" w:hAnsi="Calibri"/>
        <w:color w:val="64748B"/>
        <w:sz w:val="19"/>
      </w:rPr>
      <w:t xml:space="preserve">  Page </w:t>
    </w:r>
    <w:r>
      <w:fldChar w:fldCharType="begin"/>
    </w:r>
    <w:r>
      <w:instrText>PAGE</w:instrText>
    </w:r>
    <w:r>
      <w:fldChar w:fldCharType="separate"/>
    </w:r>
    <w:r w:rsidR="00B65EB8">
      <w:rPr>
        <w:noProof/>
      </w:rPr>
      <w:t>1</w:t>
    </w:r>
    <w:r>
      <w:fldChar w:fldCharType="end"/>
    </w:r>
    <w:r>
      <w:rPr>
        <w:rFonts w:ascii="Calibri" w:hAnsi="Calibri"/>
        <w:color w:val="64748B"/>
        <w:sz w:val="19"/>
      </w:rPr>
      <w:t xml:space="preserve"> of </w:t>
    </w:r>
    <w:r>
      <w:fldChar w:fldCharType="begin"/>
    </w:r>
    <w:r>
      <w:instrText>NUMPAGES</w:instrText>
    </w:r>
    <w:r>
      <w:fldChar w:fldCharType="separate"/>
    </w:r>
    <w:r w:rsidR="00B65EB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9B529" w14:textId="77777777" w:rsidR="006741CA" w:rsidRDefault="006741CA">
      <w:pPr>
        <w:spacing w:after="0" w:line="240" w:lineRule="auto"/>
      </w:pPr>
      <w:r>
        <w:separator/>
      </w:r>
    </w:p>
  </w:footnote>
  <w:footnote w:type="continuationSeparator" w:id="0">
    <w:p w14:paraId="4CDD1A72" w14:textId="77777777" w:rsidR="006741CA" w:rsidRDefault="00674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CB47" w14:textId="77777777" w:rsidR="00E322EC" w:rsidRDefault="00000000">
    <w:pPr>
      <w:pBdr>
        <w:bottom w:val="single" w:sz="4" w:space="4" w:color="CBD5E1"/>
      </w:pBdr>
    </w:pPr>
    <w:r>
      <w:rPr>
        <w:rFonts w:ascii="Calibri" w:hAnsi="Calibri"/>
        <w:i/>
        <w:color w:val="64748B"/>
        <w:sz w:val="19"/>
      </w:rPr>
      <w:t>Ojeda DA, MD (2026)   |   Article 1: Clinical Genomics, Trimodal AI &amp; Global Meta-Analysis in MVA Syndrome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1994311">
    <w:abstractNumId w:val="8"/>
  </w:num>
  <w:num w:numId="2" w16cid:durableId="730815129">
    <w:abstractNumId w:val="6"/>
  </w:num>
  <w:num w:numId="3" w16cid:durableId="1407073917">
    <w:abstractNumId w:val="5"/>
  </w:num>
  <w:num w:numId="4" w16cid:durableId="2104377361">
    <w:abstractNumId w:val="4"/>
  </w:num>
  <w:num w:numId="5" w16cid:durableId="304090810">
    <w:abstractNumId w:val="7"/>
  </w:num>
  <w:num w:numId="6" w16cid:durableId="716858203">
    <w:abstractNumId w:val="3"/>
  </w:num>
  <w:num w:numId="7" w16cid:durableId="333147390">
    <w:abstractNumId w:val="2"/>
  </w:num>
  <w:num w:numId="8" w16cid:durableId="1875117989">
    <w:abstractNumId w:val="1"/>
  </w:num>
  <w:num w:numId="9" w16cid:durableId="1746412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475"/>
    <w:rsid w:val="000C0808"/>
    <w:rsid w:val="000C71E1"/>
    <w:rsid w:val="0015074B"/>
    <w:rsid w:val="0029639D"/>
    <w:rsid w:val="002A6822"/>
    <w:rsid w:val="00326F90"/>
    <w:rsid w:val="00595EA7"/>
    <w:rsid w:val="005C3953"/>
    <w:rsid w:val="006741CA"/>
    <w:rsid w:val="007A44B8"/>
    <w:rsid w:val="0080263E"/>
    <w:rsid w:val="009225E3"/>
    <w:rsid w:val="00A42CFE"/>
    <w:rsid w:val="00A76E1E"/>
    <w:rsid w:val="00AA1D8D"/>
    <w:rsid w:val="00AC1533"/>
    <w:rsid w:val="00AD69FA"/>
    <w:rsid w:val="00B35264"/>
    <w:rsid w:val="00B47730"/>
    <w:rsid w:val="00B65EB8"/>
    <w:rsid w:val="00CB0664"/>
    <w:rsid w:val="00D61260"/>
    <w:rsid w:val="00E322EC"/>
    <w:rsid w:val="00EC65B7"/>
    <w:rsid w:val="00EF4AAB"/>
    <w:rsid w:val="00F25EDA"/>
    <w:rsid w:val="00FA2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70E88"/>
  <w14:defaultImageDpi w14:val="300"/>
  <w15:docId w15:val="{C1FAD7CF-C245-4C1A-A49E-F5E68299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color w:val="11182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F4AAB"/>
    <w:rPr>
      <w:color w:val="0000FF" w:themeColor="hyperlink"/>
      <w:u w:val="single"/>
    </w:rPr>
  </w:style>
  <w:style w:type="character" w:styleId="Mencinsinresolver">
    <w:name w:val="Unresolved Mention"/>
    <w:basedOn w:val="Fuentedeprrafopredeter"/>
    <w:uiPriority w:val="99"/>
    <w:semiHidden/>
    <w:unhideWhenUsed/>
    <w:rsid w:val="00EF4AAB"/>
    <w:rPr>
      <w:color w:val="605E5C"/>
      <w:shd w:val="clear" w:color="auto" w:fill="E1DFDD"/>
    </w:rPr>
  </w:style>
  <w:style w:type="character" w:styleId="Hipervnculovisitado">
    <w:name w:val="FollowedHyperlink"/>
    <w:basedOn w:val="Fuentedeprrafopredeter"/>
    <w:uiPriority w:val="99"/>
    <w:semiHidden/>
    <w:unhideWhenUsed/>
    <w:rsid w:val="00EF4A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med.ncbi.nlm.nih.gov/33094908/" TargetMode="External"/><Relationship Id="rId21" Type="http://schemas.openxmlformats.org/officeDocument/2006/relationships/hyperlink" Target="https://pubmed.ncbi.nlm.nih.gov/3169747/" TargetMode="External"/><Relationship Id="rId42" Type="http://schemas.openxmlformats.org/officeDocument/2006/relationships/hyperlink" Target="https://pubmed.ncbi.nlm.nih.gov/12859900/" TargetMode="External"/><Relationship Id="rId63" Type="http://schemas.openxmlformats.org/officeDocument/2006/relationships/hyperlink" Target="https://pubmed.ncbi.nlm.nih.gov/18286482/" TargetMode="External"/><Relationship Id="rId84" Type="http://schemas.openxmlformats.org/officeDocument/2006/relationships/hyperlink" Target="https://pubmed.ncbi.nlm.nih.gov/24259107/" TargetMode="External"/><Relationship Id="rId138" Type="http://schemas.openxmlformats.org/officeDocument/2006/relationships/hyperlink" Target="https://pubmed.ncbi.nlm.nih.gov/38102195/" TargetMode="External"/><Relationship Id="rId159" Type="http://schemas.openxmlformats.org/officeDocument/2006/relationships/hyperlink" Target="https://pubmed.ncbi.nlm.nih.gov/3802833/" TargetMode="External"/><Relationship Id="rId170" Type="http://schemas.openxmlformats.org/officeDocument/2006/relationships/hyperlink" Target="https://pubmed.ncbi.nlm.nih.gov/20644199/" TargetMode="External"/><Relationship Id="rId191" Type="http://schemas.openxmlformats.org/officeDocument/2006/relationships/hyperlink" Target="https://pubmed.ncbi.nlm.nih.gov/34650095/" TargetMode="External"/><Relationship Id="rId107" Type="http://schemas.openxmlformats.org/officeDocument/2006/relationships/hyperlink" Target="https://pubmed.ncbi.nlm.nih.gov/29425500/" TargetMode="External"/><Relationship Id="rId11" Type="http://schemas.openxmlformats.org/officeDocument/2006/relationships/image" Target="media/image4.png"/><Relationship Id="rId32" Type="http://schemas.openxmlformats.org/officeDocument/2006/relationships/hyperlink" Target="https://pubmed.ncbi.nlm.nih.gov/10877982/" TargetMode="External"/><Relationship Id="rId53" Type="http://schemas.openxmlformats.org/officeDocument/2006/relationships/hyperlink" Target="https://pubmed.ncbi.nlm.nih.gov/16144904/" TargetMode="External"/><Relationship Id="rId74" Type="http://schemas.openxmlformats.org/officeDocument/2006/relationships/hyperlink" Target="https://pubmed.ncbi.nlm.nih.gov/23300461/" TargetMode="External"/><Relationship Id="rId128" Type="http://schemas.openxmlformats.org/officeDocument/2006/relationships/hyperlink" Target="https://pubmed.ncbi.nlm.nih.gov/35434947/" TargetMode="External"/><Relationship Id="rId149" Type="http://schemas.openxmlformats.org/officeDocument/2006/relationships/hyperlink" Target="https://pubmed.ncbi.nlm.nih.gov/40441073/" TargetMode="External"/><Relationship Id="rId5" Type="http://schemas.openxmlformats.org/officeDocument/2006/relationships/webSettings" Target="webSettings.xml"/><Relationship Id="rId95" Type="http://schemas.openxmlformats.org/officeDocument/2006/relationships/hyperlink" Target="https://pubmed.ncbi.nlm.nih.gov/27528194/" TargetMode="External"/><Relationship Id="rId160" Type="http://schemas.openxmlformats.org/officeDocument/2006/relationships/hyperlink" Target="https://doi.org/10.18637/jss.v036.i03" TargetMode="External"/><Relationship Id="rId181" Type="http://schemas.openxmlformats.org/officeDocument/2006/relationships/hyperlink" Target="https://pubmed.ncbi.nlm.nih.gov/28811308/" TargetMode="External"/><Relationship Id="rId22" Type="http://schemas.openxmlformats.org/officeDocument/2006/relationships/hyperlink" Target="https://pubmed.ncbi.nlm.nih.gov/2596830/" TargetMode="External"/><Relationship Id="rId43" Type="http://schemas.openxmlformats.org/officeDocument/2006/relationships/hyperlink" Target="https://pubmed.ncbi.nlm.nih.gov/12548747/" TargetMode="External"/><Relationship Id="rId64" Type="http://schemas.openxmlformats.org/officeDocument/2006/relationships/hyperlink" Target="https://pubmed.ncbi.nlm.nih.gov/18443223/" TargetMode="External"/><Relationship Id="rId118" Type="http://schemas.openxmlformats.org/officeDocument/2006/relationships/hyperlink" Target="https://pubmed.ncbi.nlm.nih.gov/32665320/" TargetMode="External"/><Relationship Id="rId139" Type="http://schemas.openxmlformats.org/officeDocument/2006/relationships/hyperlink" Target="https://pubmed.ncbi.nlm.nih.gov/38770464/" TargetMode="External"/><Relationship Id="rId85" Type="http://schemas.openxmlformats.org/officeDocument/2006/relationships/hyperlink" Target="https://pubmed.ncbi.nlm.nih.gov/24981203/" TargetMode="External"/><Relationship Id="rId150" Type="http://schemas.openxmlformats.org/officeDocument/2006/relationships/hyperlink" Target="https://pubmed.ncbi.nlm.nih.gov/40055864/" TargetMode="External"/><Relationship Id="rId171" Type="http://schemas.openxmlformats.org/officeDocument/2006/relationships/hyperlink" Target="https://pubmed.ncbi.nlm.nih.gov/30247488/" TargetMode="External"/><Relationship Id="rId192" Type="http://schemas.openxmlformats.org/officeDocument/2006/relationships/header" Target="header1.xml"/><Relationship Id="rId12" Type="http://schemas.openxmlformats.org/officeDocument/2006/relationships/hyperlink" Target="https://pubmed.ncbi.nlm.nih.gov/1809239/" TargetMode="External"/><Relationship Id="rId33" Type="http://schemas.openxmlformats.org/officeDocument/2006/relationships/hyperlink" Target="https://pubmed.ncbi.nlm.nih.gov/10934468/" TargetMode="External"/><Relationship Id="rId108" Type="http://schemas.openxmlformats.org/officeDocument/2006/relationships/hyperlink" Target="https://pubmed.ncbi.nlm.nih.gov/29673003/" TargetMode="External"/><Relationship Id="rId129" Type="http://schemas.openxmlformats.org/officeDocument/2006/relationships/hyperlink" Target="https://pubmed.ncbi.nlm.nih.gov/36588761/" TargetMode="External"/><Relationship Id="rId54" Type="http://schemas.openxmlformats.org/officeDocument/2006/relationships/hyperlink" Target="https://pubmed.ncbi.nlm.nih.gov/16182441/" TargetMode="External"/><Relationship Id="rId75" Type="http://schemas.openxmlformats.org/officeDocument/2006/relationships/hyperlink" Target="https://pubmed.ncbi.nlm.nih.gov/23916859/" TargetMode="External"/><Relationship Id="rId96" Type="http://schemas.openxmlformats.org/officeDocument/2006/relationships/hyperlink" Target="https://pubmed.ncbi.nlm.nih.gov/26743940/" TargetMode="External"/><Relationship Id="rId140" Type="http://schemas.openxmlformats.org/officeDocument/2006/relationships/hyperlink" Target="https://pubmed.ncbi.nlm.nih.gov/39169218/" TargetMode="External"/><Relationship Id="rId161" Type="http://schemas.openxmlformats.org/officeDocument/2006/relationships/hyperlink" Target="https://doi.org/10.1080/01621459.1927.10502953" TargetMode="External"/><Relationship Id="rId182" Type="http://schemas.openxmlformats.org/officeDocument/2006/relationships/hyperlink" Target="https://pubmed.ncbi.nlm.nih.gov/1655284/" TargetMode="External"/><Relationship Id="rId6" Type="http://schemas.openxmlformats.org/officeDocument/2006/relationships/footnotes" Target="footnotes.xml"/><Relationship Id="rId23" Type="http://schemas.openxmlformats.org/officeDocument/2006/relationships/hyperlink" Target="https://pubmed.ncbi.nlm.nih.gov/2307459/" TargetMode="External"/><Relationship Id="rId119" Type="http://schemas.openxmlformats.org/officeDocument/2006/relationships/hyperlink" Target="https://pubmed.ncbi.nlm.nih.gov/32884756/" TargetMode="External"/><Relationship Id="rId44" Type="http://schemas.openxmlformats.org/officeDocument/2006/relationships/hyperlink" Target="https://pubmed.ncbi.nlm.nih.gov/15208629/" TargetMode="External"/><Relationship Id="rId65" Type="http://schemas.openxmlformats.org/officeDocument/2006/relationships/hyperlink" Target="https://pubmed.ncbi.nlm.nih.gov/19503101/" TargetMode="External"/><Relationship Id="rId86" Type="http://schemas.openxmlformats.org/officeDocument/2006/relationships/hyperlink" Target="https://pubmed.ncbi.nlm.nih.gov/25696020/" TargetMode="External"/><Relationship Id="rId130" Type="http://schemas.openxmlformats.org/officeDocument/2006/relationships/hyperlink" Target="https://pubmed.ncbi.nlm.nih.gov/35804254/" TargetMode="External"/><Relationship Id="rId151" Type="http://schemas.openxmlformats.org/officeDocument/2006/relationships/hyperlink" Target="https://pubmed.ncbi.nlm.nih.gov/40555658/" TargetMode="External"/><Relationship Id="rId172" Type="http://schemas.openxmlformats.org/officeDocument/2006/relationships/hyperlink" Target="https://pubmed.ncbi.nlm.nih.gov/34608324/" TargetMode="External"/><Relationship Id="rId193" Type="http://schemas.openxmlformats.org/officeDocument/2006/relationships/footer" Target="footer1.xml"/><Relationship Id="rId13" Type="http://schemas.openxmlformats.org/officeDocument/2006/relationships/hyperlink" Target="https://pubmed.ncbi.nlm.nih.gov/9677059/" TargetMode="External"/><Relationship Id="rId109" Type="http://schemas.openxmlformats.org/officeDocument/2006/relationships/hyperlink" Target="https://pubmed.ncbi.nlm.nih.gov/30010053/" TargetMode="External"/><Relationship Id="rId34" Type="http://schemas.openxmlformats.org/officeDocument/2006/relationships/hyperlink" Target="https://pubmed.ncbi.nlm.nih.gov/11746029/" TargetMode="External"/><Relationship Id="rId50" Type="http://schemas.openxmlformats.org/officeDocument/2006/relationships/hyperlink" Target="https://pubmed.ncbi.nlm.nih.gov/16174301/" TargetMode="External"/><Relationship Id="rId55" Type="http://schemas.openxmlformats.org/officeDocument/2006/relationships/hyperlink" Target="https://pubmed.ncbi.nlm.nih.gov/16411201/" TargetMode="External"/><Relationship Id="rId76" Type="http://schemas.openxmlformats.org/officeDocument/2006/relationships/hyperlink" Target="https://pubmed.ncbi.nlm.nih.gov/23242215/" TargetMode="External"/><Relationship Id="rId97" Type="http://schemas.openxmlformats.org/officeDocument/2006/relationships/hyperlink" Target="https://pubmed.ncbi.nlm.nih.gov/29208896/" TargetMode="External"/><Relationship Id="rId104" Type="http://schemas.openxmlformats.org/officeDocument/2006/relationships/hyperlink" Target="https://pubmed.ncbi.nlm.nih.gov/30147898/" TargetMode="External"/><Relationship Id="rId120" Type="http://schemas.openxmlformats.org/officeDocument/2006/relationships/hyperlink" Target="https://pubmed.ncbi.nlm.nih.gov/31943948/" TargetMode="External"/><Relationship Id="rId125" Type="http://schemas.openxmlformats.org/officeDocument/2006/relationships/hyperlink" Target="https://pubmed.ncbi.nlm.nih.gov/33492359/" TargetMode="External"/><Relationship Id="rId141" Type="http://schemas.openxmlformats.org/officeDocument/2006/relationships/hyperlink" Target="https://pubmed.ncbi.nlm.nih.gov/38589567/" TargetMode="External"/><Relationship Id="rId146" Type="http://schemas.openxmlformats.org/officeDocument/2006/relationships/hyperlink" Target="https://pubmed.ncbi.nlm.nih.gov/39392177/" TargetMode="External"/><Relationship Id="rId167" Type="http://schemas.openxmlformats.org/officeDocument/2006/relationships/hyperlink" Target="https://pubmed.ncbi.nlm.nih.gov/21852505/" TargetMode="External"/><Relationship Id="rId188" Type="http://schemas.openxmlformats.org/officeDocument/2006/relationships/hyperlink" Target="https://pubmed.ncbi.nlm.nih.gov/29707529/" TargetMode="External"/><Relationship Id="rId7" Type="http://schemas.openxmlformats.org/officeDocument/2006/relationships/endnotes" Target="endnotes.xml"/><Relationship Id="rId71" Type="http://schemas.openxmlformats.org/officeDocument/2006/relationships/hyperlink" Target="https://pubmed.ncbi.nlm.nih.gov/22801780/" TargetMode="External"/><Relationship Id="rId92" Type="http://schemas.openxmlformats.org/officeDocument/2006/relationships/hyperlink" Target="https://pubmed.ncbi.nlm.nih.gov/26681803/" TargetMode="External"/><Relationship Id="rId162" Type="http://schemas.openxmlformats.org/officeDocument/2006/relationships/hyperlink" Target="https://sagebio-rare-disease-real-kid-mva-hackathon-2026.hf.space/" TargetMode="External"/><Relationship Id="rId183" Type="http://schemas.openxmlformats.org/officeDocument/2006/relationships/hyperlink" Target="https://pubmed.ncbi.nlm.nih.gov/10101119/" TargetMode="External"/><Relationship Id="rId2" Type="http://schemas.openxmlformats.org/officeDocument/2006/relationships/numbering" Target="numbering.xml"/><Relationship Id="rId29" Type="http://schemas.openxmlformats.org/officeDocument/2006/relationships/hyperlink" Target="https://pubmed.ncbi.nlm.nih.gov/10477750/" TargetMode="External"/><Relationship Id="rId24" Type="http://schemas.openxmlformats.org/officeDocument/2006/relationships/hyperlink" Target="https://pubmed.ncbi.nlm.nih.gov/1406971/" TargetMode="External"/><Relationship Id="rId40" Type="http://schemas.openxmlformats.org/officeDocument/2006/relationships/hyperlink" Target="https://pubmed.ncbi.nlm.nih.gov/12567426/" TargetMode="External"/><Relationship Id="rId45" Type="http://schemas.openxmlformats.org/officeDocument/2006/relationships/hyperlink" Target="https://pubmed.ncbi.nlm.nih.gov/14755404/" TargetMode="External"/><Relationship Id="rId66" Type="http://schemas.openxmlformats.org/officeDocument/2006/relationships/hyperlink" Target="https://pubmed.ncbi.nlm.nih.gov/19372138/" TargetMode="External"/><Relationship Id="rId87" Type="http://schemas.openxmlformats.org/officeDocument/2006/relationships/hyperlink" Target="https://pubmed.ncbi.nlm.nih.gov/25818337/" TargetMode="External"/><Relationship Id="rId110" Type="http://schemas.openxmlformats.org/officeDocument/2006/relationships/hyperlink" Target="https://pubmed.ncbi.nlm.nih.gov/31053147/" TargetMode="External"/><Relationship Id="rId115" Type="http://schemas.openxmlformats.org/officeDocument/2006/relationships/hyperlink" Target="https://pubmed.ncbi.nlm.nih.gov/31555364/" TargetMode="External"/><Relationship Id="rId131" Type="http://schemas.openxmlformats.org/officeDocument/2006/relationships/hyperlink" Target="https://pubmed.ncbi.nlm.nih.gov/36322655/" TargetMode="External"/><Relationship Id="rId136" Type="http://schemas.openxmlformats.org/officeDocument/2006/relationships/hyperlink" Target="https://pubmed.ncbi.nlm.nih.gov/39490209/" TargetMode="External"/><Relationship Id="rId157" Type="http://schemas.openxmlformats.org/officeDocument/2006/relationships/hyperlink" Target="https://pubmed.ncbi.nlm.nih.gov/41700350/" TargetMode="External"/><Relationship Id="rId178" Type="http://schemas.openxmlformats.org/officeDocument/2006/relationships/hyperlink" Target="https://pubmed.ncbi.nlm.nih.gov/32461654/" TargetMode="External"/><Relationship Id="rId61" Type="http://schemas.openxmlformats.org/officeDocument/2006/relationships/hyperlink" Target="https://pubmed.ncbi.nlm.nih.gov/18932004/" TargetMode="External"/><Relationship Id="rId82" Type="http://schemas.openxmlformats.org/officeDocument/2006/relationships/hyperlink" Target="https://pubmed.ncbi.nlm.nih.gov/24748105/" TargetMode="External"/><Relationship Id="rId152" Type="http://schemas.openxmlformats.org/officeDocument/2006/relationships/hyperlink" Target="https://pubmed.ncbi.nlm.nih.gov/40607964/" TargetMode="External"/><Relationship Id="rId173" Type="http://schemas.openxmlformats.org/officeDocument/2006/relationships/hyperlink" Target="https://pubmed.ncbi.nlm.nih.gov/37733863/" TargetMode="External"/><Relationship Id="rId194" Type="http://schemas.openxmlformats.org/officeDocument/2006/relationships/fontTable" Target="fontTable.xml"/><Relationship Id="rId19" Type="http://schemas.openxmlformats.org/officeDocument/2006/relationships/hyperlink" Target="https://pubmed.ncbi.nlm.nih.gov/37796616/" TargetMode="External"/><Relationship Id="rId14" Type="http://schemas.openxmlformats.org/officeDocument/2006/relationships/hyperlink" Target="https://pubmed.ncbi.nlm.nih.gov/26485365/" TargetMode="External"/><Relationship Id="rId30" Type="http://schemas.openxmlformats.org/officeDocument/2006/relationships/hyperlink" Target="https://pubmed.ncbi.nlm.nih.gov/10429359/" TargetMode="External"/><Relationship Id="rId35" Type="http://schemas.openxmlformats.org/officeDocument/2006/relationships/hyperlink" Target="https://pubmed.ncbi.nlm.nih.gov/11528703/" TargetMode="External"/><Relationship Id="rId56" Type="http://schemas.openxmlformats.org/officeDocument/2006/relationships/hyperlink" Target="https://pubmed.ncbi.nlm.nih.gov/17803911/" TargetMode="External"/><Relationship Id="rId77" Type="http://schemas.openxmlformats.org/officeDocument/2006/relationships/hyperlink" Target="https://pubmed.ncbi.nlm.nih.gov/23602569/" TargetMode="External"/><Relationship Id="rId100" Type="http://schemas.openxmlformats.org/officeDocument/2006/relationships/hyperlink" Target="https://pubmed.ncbi.nlm.nih.gov/28383136/" TargetMode="External"/><Relationship Id="rId105" Type="http://schemas.openxmlformats.org/officeDocument/2006/relationships/hyperlink" Target="https://pubmed.ncbi.nlm.nih.gov/29748388/" TargetMode="External"/><Relationship Id="rId126" Type="http://schemas.openxmlformats.org/officeDocument/2006/relationships/hyperlink" Target="https://pubmed.ncbi.nlm.nih.gov/34500087/" TargetMode="External"/><Relationship Id="rId147" Type="http://schemas.openxmlformats.org/officeDocument/2006/relationships/hyperlink" Target="https://pubmed.ncbi.nlm.nih.gov/40106572/" TargetMode="External"/><Relationship Id="rId168" Type="http://schemas.openxmlformats.org/officeDocument/2006/relationships/hyperlink" Target="https://pubmed.ncbi.nlm.nih.gov/28296084/" TargetMode="External"/><Relationship Id="rId8" Type="http://schemas.openxmlformats.org/officeDocument/2006/relationships/image" Target="media/image1.png"/><Relationship Id="rId51" Type="http://schemas.openxmlformats.org/officeDocument/2006/relationships/hyperlink" Target="https://pubmed.ncbi.nlm.nih.gov/15655355/" TargetMode="External"/><Relationship Id="rId72" Type="http://schemas.openxmlformats.org/officeDocument/2006/relationships/hyperlink" Target="https://pubmed.ncbi.nlm.nih.gov/22331848/" TargetMode="External"/><Relationship Id="rId93" Type="http://schemas.openxmlformats.org/officeDocument/2006/relationships/hyperlink" Target="https://pubmed.ncbi.nlm.nih.gov/26832417/" TargetMode="External"/><Relationship Id="rId98" Type="http://schemas.openxmlformats.org/officeDocument/2006/relationships/hyperlink" Target="https://pubmed.ncbi.nlm.nih.gov/27931980/" TargetMode="External"/><Relationship Id="rId121" Type="http://schemas.openxmlformats.org/officeDocument/2006/relationships/hyperlink" Target="https://pubmed.ncbi.nlm.nih.gov/31574018/" TargetMode="External"/><Relationship Id="rId142" Type="http://schemas.openxmlformats.org/officeDocument/2006/relationships/hyperlink" Target="https://pubmed.ncbi.nlm.nih.gov/39264246/" TargetMode="External"/><Relationship Id="rId163" Type="http://schemas.openxmlformats.org/officeDocument/2006/relationships/hyperlink" Target="https://pubmed.ncbi.nlm.nih.gov/37953324/" TargetMode="External"/><Relationship Id="rId184" Type="http://schemas.openxmlformats.org/officeDocument/2006/relationships/hyperlink" Target="https://pubmed.ncbi.nlm.nih.gov/14679186/" TargetMode="External"/><Relationship Id="rId189" Type="http://schemas.openxmlformats.org/officeDocument/2006/relationships/hyperlink" Target="https://pubmed.ncbi.nlm.nih.gov/36604599/" TargetMode="External"/><Relationship Id="rId3" Type="http://schemas.openxmlformats.org/officeDocument/2006/relationships/styles" Target="styles.xml"/><Relationship Id="rId25" Type="http://schemas.openxmlformats.org/officeDocument/2006/relationships/hyperlink" Target="https://pubmed.ncbi.nlm.nih.gov/7985982/" TargetMode="External"/><Relationship Id="rId46" Type="http://schemas.openxmlformats.org/officeDocument/2006/relationships/hyperlink" Target="https://pubmed.ncbi.nlm.nih.gov/14744753/" TargetMode="External"/><Relationship Id="rId67" Type="http://schemas.openxmlformats.org/officeDocument/2006/relationships/hyperlink" Target="https://pubmed.ncbi.nlm.nih.gov/19373780/" TargetMode="External"/><Relationship Id="rId116" Type="http://schemas.openxmlformats.org/officeDocument/2006/relationships/hyperlink" Target="https://pubmed.ncbi.nlm.nih.gov/32861809/" TargetMode="External"/><Relationship Id="rId137" Type="http://schemas.openxmlformats.org/officeDocument/2006/relationships/hyperlink" Target="https://pubmed.ncbi.nlm.nih.gov/37981762/" TargetMode="External"/><Relationship Id="rId158" Type="http://schemas.openxmlformats.org/officeDocument/2006/relationships/hyperlink" Target="https://pubmed.ncbi.nlm.nih.gov/42479720/" TargetMode="External"/><Relationship Id="rId20" Type="http://schemas.openxmlformats.org/officeDocument/2006/relationships/hyperlink" Target="https://pubmed.ncbi.nlm.nih.gov/33782057/" TargetMode="External"/><Relationship Id="rId41" Type="http://schemas.openxmlformats.org/officeDocument/2006/relationships/hyperlink" Target="https://pubmed.ncbi.nlm.nih.gov/14608201/" TargetMode="External"/><Relationship Id="rId62" Type="http://schemas.openxmlformats.org/officeDocument/2006/relationships/hyperlink" Target="https://pubmed.ncbi.nlm.nih.gov/18548531/" TargetMode="External"/><Relationship Id="rId83" Type="http://schemas.openxmlformats.org/officeDocument/2006/relationships/hyperlink" Target="https://pubmed.ncbi.nlm.nih.gov/24344301/" TargetMode="External"/><Relationship Id="rId88" Type="http://schemas.openxmlformats.org/officeDocument/2006/relationships/hyperlink" Target="https://pubmed.ncbi.nlm.nih.gov/26324890/" TargetMode="External"/><Relationship Id="rId111" Type="http://schemas.openxmlformats.org/officeDocument/2006/relationships/hyperlink" Target="https://pubmed.ncbi.nlm.nih.gov/31184400/" TargetMode="External"/><Relationship Id="rId132" Type="http://schemas.openxmlformats.org/officeDocument/2006/relationships/hyperlink" Target="https://pubmed.ncbi.nlm.nih.gov/37094517/" TargetMode="External"/><Relationship Id="rId153" Type="http://schemas.openxmlformats.org/officeDocument/2006/relationships/hyperlink" Target="https://pubmed.ncbi.nlm.nih.gov/41374403/" TargetMode="External"/><Relationship Id="rId174" Type="http://schemas.openxmlformats.org/officeDocument/2006/relationships/hyperlink" Target="https://pubmed.ncbi.nlm.nih.gov/34265844/" TargetMode="External"/><Relationship Id="rId179" Type="http://schemas.openxmlformats.org/officeDocument/2006/relationships/hyperlink" Target="https://pubmed.ncbi.nlm.nih.gov/31777943/" TargetMode="External"/><Relationship Id="rId195" Type="http://schemas.openxmlformats.org/officeDocument/2006/relationships/theme" Target="theme/theme1.xml"/><Relationship Id="rId190" Type="http://schemas.openxmlformats.org/officeDocument/2006/relationships/hyperlink" Target="https://pubmed.ncbi.nlm.nih.gov/22547750/" TargetMode="External"/><Relationship Id="rId15" Type="http://schemas.openxmlformats.org/officeDocument/2006/relationships/hyperlink" Target="https://pubmed.ncbi.nlm.nih.gov/23174302/" TargetMode="External"/><Relationship Id="rId36" Type="http://schemas.openxmlformats.org/officeDocument/2006/relationships/hyperlink" Target="https://pubmed.ncbi.nlm.nih.gov/11169558/" TargetMode="External"/><Relationship Id="rId57" Type="http://schemas.openxmlformats.org/officeDocument/2006/relationships/hyperlink" Target="https://pubmed.ncbi.nlm.nih.gov/17632782/" TargetMode="External"/><Relationship Id="rId106" Type="http://schemas.openxmlformats.org/officeDocument/2006/relationships/hyperlink" Target="https://pubmed.ncbi.nlm.nih.gov/30512160/" TargetMode="External"/><Relationship Id="rId127" Type="http://schemas.openxmlformats.org/officeDocument/2006/relationships/hyperlink" Target="https://pubmed.ncbi.nlm.nih.gov/35044816/" TargetMode="External"/><Relationship Id="rId10" Type="http://schemas.openxmlformats.org/officeDocument/2006/relationships/image" Target="media/image3.png"/><Relationship Id="rId31" Type="http://schemas.openxmlformats.org/officeDocument/2006/relationships/hyperlink" Target="https://pubmed.ncbi.nlm.nih.gov/9916837/" TargetMode="External"/><Relationship Id="rId52" Type="http://schemas.openxmlformats.org/officeDocument/2006/relationships/hyperlink" Target="https://pubmed.ncbi.nlm.nih.gov/16195750/" TargetMode="External"/><Relationship Id="rId73" Type="http://schemas.openxmlformats.org/officeDocument/2006/relationships/hyperlink" Target="https://pubmed.ncbi.nlm.nih.gov/23079597/" TargetMode="External"/><Relationship Id="rId78" Type="http://schemas.openxmlformats.org/officeDocument/2006/relationships/hyperlink" Target="https://pubmed.ncbi.nlm.nih.gov/23955301/" TargetMode="External"/><Relationship Id="rId94" Type="http://schemas.openxmlformats.org/officeDocument/2006/relationships/hyperlink" Target="https://pubmed.ncbi.nlm.nih.gov/27313317/" TargetMode="External"/><Relationship Id="rId99" Type="http://schemas.openxmlformats.org/officeDocument/2006/relationships/hyperlink" Target="https://pubmed.ncbi.nlm.nih.gov/28611924/" TargetMode="External"/><Relationship Id="rId101" Type="http://schemas.openxmlformats.org/officeDocument/2006/relationships/hyperlink" Target="https://pubmed.ncbi.nlm.nih.gov/29973720/" TargetMode="External"/><Relationship Id="rId122" Type="http://schemas.openxmlformats.org/officeDocument/2006/relationships/hyperlink" Target="https://pubmed.ncbi.nlm.nih.gov/33209717/" TargetMode="External"/><Relationship Id="rId143" Type="http://schemas.openxmlformats.org/officeDocument/2006/relationships/hyperlink" Target="https://pubmed.ncbi.nlm.nih.gov/38699879/" TargetMode="External"/><Relationship Id="rId148" Type="http://schemas.openxmlformats.org/officeDocument/2006/relationships/hyperlink" Target="https://pubmed.ncbi.nlm.nih.gov/40332152/" TargetMode="External"/><Relationship Id="rId164" Type="http://schemas.openxmlformats.org/officeDocument/2006/relationships/hyperlink" Target="https://pubmed.ncbi.nlm.nih.gov/26562621/" TargetMode="External"/><Relationship Id="rId169" Type="http://schemas.openxmlformats.org/officeDocument/2006/relationships/hyperlink" Target="https://doi.org/10.1109/IPDPS.2019.00041" TargetMode="External"/><Relationship Id="rId185" Type="http://schemas.openxmlformats.org/officeDocument/2006/relationships/hyperlink" Target="https://pubmed.ncbi.nlm.nih.gov/36688940/"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pubmed.ncbi.nlm.nih.gov/25741868/" TargetMode="External"/><Relationship Id="rId26" Type="http://schemas.openxmlformats.org/officeDocument/2006/relationships/hyperlink" Target="https://pubmed.ncbi.nlm.nih.gov/9363944/" TargetMode="External"/><Relationship Id="rId47" Type="http://schemas.openxmlformats.org/officeDocument/2006/relationships/hyperlink" Target="https://pubmed.ncbi.nlm.nih.gov/15108198/" TargetMode="External"/><Relationship Id="rId68" Type="http://schemas.openxmlformats.org/officeDocument/2006/relationships/hyperlink" Target="https://pubmed.ncbi.nlm.nih.gov/21190457/" TargetMode="External"/><Relationship Id="rId89" Type="http://schemas.openxmlformats.org/officeDocument/2006/relationships/hyperlink" Target="https://pubmed.ncbi.nlm.nih.gov/26309087/" TargetMode="External"/><Relationship Id="rId112" Type="http://schemas.openxmlformats.org/officeDocument/2006/relationships/hyperlink" Target="https://pubmed.ncbi.nlm.nih.gov/31081598/" TargetMode="External"/><Relationship Id="rId133" Type="http://schemas.openxmlformats.org/officeDocument/2006/relationships/hyperlink" Target="https://pubmed.ncbi.nlm.nih.gov/36635612/" TargetMode="External"/><Relationship Id="rId154" Type="http://schemas.openxmlformats.org/officeDocument/2006/relationships/hyperlink" Target="https://pubmed.ncbi.nlm.nih.gov/41820377/" TargetMode="External"/><Relationship Id="rId175" Type="http://schemas.openxmlformats.org/officeDocument/2006/relationships/hyperlink" Target="https://pubmed.ncbi.nlm.nih.gov/38718835/" TargetMode="External"/><Relationship Id="rId16" Type="http://schemas.openxmlformats.org/officeDocument/2006/relationships/hyperlink" Target="https://pubmed.ncbi.nlm.nih.gov/15475955/" TargetMode="External"/><Relationship Id="rId37" Type="http://schemas.openxmlformats.org/officeDocument/2006/relationships/hyperlink" Target="https://pubmed.ncbi.nlm.nih.gov/11932988/" TargetMode="External"/><Relationship Id="rId58" Type="http://schemas.openxmlformats.org/officeDocument/2006/relationships/hyperlink" Target="https://pubmed.ncbi.nlm.nih.gov/17478512/" TargetMode="External"/><Relationship Id="rId79" Type="http://schemas.openxmlformats.org/officeDocument/2006/relationships/hyperlink" Target="https://pubmed.ncbi.nlm.nih.gov/23789096/" TargetMode="External"/><Relationship Id="rId102" Type="http://schemas.openxmlformats.org/officeDocument/2006/relationships/hyperlink" Target="https://pubmed.ncbi.nlm.nih.gov/29738339/" TargetMode="External"/><Relationship Id="rId123" Type="http://schemas.openxmlformats.org/officeDocument/2006/relationships/hyperlink" Target="https://pubmed.ncbi.nlm.nih.gov/31738183/" TargetMode="External"/><Relationship Id="rId144" Type="http://schemas.openxmlformats.org/officeDocument/2006/relationships/hyperlink" Target="https://pubmed.ncbi.nlm.nih.gov/38857398/" TargetMode="External"/><Relationship Id="rId90" Type="http://schemas.openxmlformats.org/officeDocument/2006/relationships/hyperlink" Target="https://pubmed.ncbi.nlm.nih.gov/26527744/" TargetMode="External"/><Relationship Id="rId165" Type="http://schemas.openxmlformats.org/officeDocument/2006/relationships/hyperlink" Target="https://antigravity.google/" TargetMode="External"/><Relationship Id="rId186" Type="http://schemas.openxmlformats.org/officeDocument/2006/relationships/hyperlink" Target="https://pubmed.ncbi.nlm.nih.gov/36370105/" TargetMode="External"/><Relationship Id="rId27" Type="http://schemas.openxmlformats.org/officeDocument/2006/relationships/hyperlink" Target="https://pubmed.ncbi.nlm.nih.gov/9334346/" TargetMode="External"/><Relationship Id="rId48" Type="http://schemas.openxmlformats.org/officeDocument/2006/relationships/hyperlink" Target="https://pubmed.ncbi.nlm.nih.gov/15098246/" TargetMode="External"/><Relationship Id="rId69" Type="http://schemas.openxmlformats.org/officeDocument/2006/relationships/hyperlink" Target="https://pubmed.ncbi.nlm.nih.gov/20516114/" TargetMode="External"/><Relationship Id="rId113" Type="http://schemas.openxmlformats.org/officeDocument/2006/relationships/hyperlink" Target="https://pubmed.ncbi.nlm.nih.gov/30668728/" TargetMode="External"/><Relationship Id="rId134" Type="http://schemas.openxmlformats.org/officeDocument/2006/relationships/hyperlink" Target="https://pubmed.ncbi.nlm.nih.gov/37900274/" TargetMode="External"/><Relationship Id="rId80" Type="http://schemas.openxmlformats.org/officeDocument/2006/relationships/hyperlink" Target="https://pubmed.ncbi.nlm.nih.gov/25092294/" TargetMode="External"/><Relationship Id="rId155" Type="http://schemas.openxmlformats.org/officeDocument/2006/relationships/hyperlink" Target="https://pubmed.ncbi.nlm.nih.gov/41702694/" TargetMode="External"/><Relationship Id="rId176" Type="http://schemas.openxmlformats.org/officeDocument/2006/relationships/hyperlink" Target="https://pubmed.ncbi.nlm.nih.gov/37774136/" TargetMode="External"/><Relationship Id="rId17" Type="http://schemas.openxmlformats.org/officeDocument/2006/relationships/hyperlink" Target="https://pubmed.ncbi.nlm.nih.gov/21552266/" TargetMode="External"/><Relationship Id="rId38" Type="http://schemas.openxmlformats.org/officeDocument/2006/relationships/hyperlink" Target="https://pubmed.ncbi.nlm.nih.gov/12116237/" TargetMode="External"/><Relationship Id="rId59" Type="http://schemas.openxmlformats.org/officeDocument/2006/relationships/hyperlink" Target="https://pubmed.ncbi.nlm.nih.gov/17189716/" TargetMode="External"/><Relationship Id="rId103" Type="http://schemas.openxmlformats.org/officeDocument/2006/relationships/hyperlink" Target="https://pubmed.ncbi.nlm.nih.gov/30035751/" TargetMode="External"/><Relationship Id="rId124" Type="http://schemas.openxmlformats.org/officeDocument/2006/relationships/hyperlink" Target="https://pubmed.ncbi.nlm.nih.gov/33892776/" TargetMode="External"/><Relationship Id="rId70" Type="http://schemas.openxmlformats.org/officeDocument/2006/relationships/hyperlink" Target="https://pubmed.ncbi.nlm.nih.gov/21389084/" TargetMode="External"/><Relationship Id="rId91" Type="http://schemas.openxmlformats.org/officeDocument/2006/relationships/hyperlink" Target="https://pubmed.ncbi.nlm.nih.gov/25918846/" TargetMode="External"/><Relationship Id="rId145" Type="http://schemas.openxmlformats.org/officeDocument/2006/relationships/hyperlink" Target="https://pubmed.ncbi.nlm.nih.gov/40938979/" TargetMode="External"/><Relationship Id="rId166" Type="http://schemas.openxmlformats.org/officeDocument/2006/relationships/hyperlink" Target="https://pubmed.ncbi.nlm.nih.gov/30423086/" TargetMode="External"/><Relationship Id="rId187" Type="http://schemas.openxmlformats.org/officeDocument/2006/relationships/hyperlink" Target="https://pubmed.ncbi.nlm.nih.gov/25613900/" TargetMode="External"/><Relationship Id="rId1" Type="http://schemas.openxmlformats.org/officeDocument/2006/relationships/customXml" Target="../customXml/item1.xml"/><Relationship Id="rId28" Type="http://schemas.openxmlformats.org/officeDocument/2006/relationships/hyperlink" Target="https://pubmed.ncbi.nlm.nih.gov/9450856/" TargetMode="External"/><Relationship Id="rId49" Type="http://schemas.openxmlformats.org/officeDocument/2006/relationships/hyperlink" Target="https://pubmed.ncbi.nlm.nih.gov/16059936/" TargetMode="External"/><Relationship Id="rId114" Type="http://schemas.openxmlformats.org/officeDocument/2006/relationships/hyperlink" Target="https://pubmed.ncbi.nlm.nih.gov/30804344/" TargetMode="External"/><Relationship Id="rId60" Type="http://schemas.openxmlformats.org/officeDocument/2006/relationships/hyperlink" Target="https://pubmed.ncbi.nlm.nih.gov/18516091/" TargetMode="External"/><Relationship Id="rId81" Type="http://schemas.openxmlformats.org/officeDocument/2006/relationships/hyperlink" Target="https://pubmed.ncbi.nlm.nih.gov/24402088/" TargetMode="External"/><Relationship Id="rId135" Type="http://schemas.openxmlformats.org/officeDocument/2006/relationships/hyperlink" Target="https://pubmed.ncbi.nlm.nih.gov/38664248/" TargetMode="External"/><Relationship Id="rId156" Type="http://schemas.openxmlformats.org/officeDocument/2006/relationships/hyperlink" Target="https://pubmed.ncbi.nlm.nih.gov/42595739/" TargetMode="External"/><Relationship Id="rId177" Type="http://schemas.openxmlformats.org/officeDocument/2006/relationships/hyperlink" Target="https://doi.org/10.1101/2025.02.18.638918" TargetMode="External"/><Relationship Id="rId18" Type="http://schemas.openxmlformats.org/officeDocument/2006/relationships/hyperlink" Target="https://pubmed.ncbi.nlm.nih.gov/28553959/" TargetMode="External"/><Relationship Id="rId39" Type="http://schemas.openxmlformats.org/officeDocument/2006/relationships/hyperlink" Target="https://pubmed.ncbi.nlm.nih.gov/123615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12441</Words>
  <Characters>68429</Characters>
  <Application>Microsoft Office Word</Application>
  <DocSecurity>0</DocSecurity>
  <Lines>570</Lines>
  <Paragraphs>161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Daniel Antonio Ojeda, MD</dc:creator>
  <cp:keywords/>
  <dc:description>generated by python-docx</dc:description>
  <cp:lastModifiedBy>Daniel Antonio Ojeda</cp:lastModifiedBy>
  <cp:revision>3</cp:revision>
  <dcterms:created xsi:type="dcterms:W3CDTF">2026-10-23T16:58:00Z</dcterms:created>
  <dcterms:modified xsi:type="dcterms:W3CDTF">2026-10-23T16:59:00Z</dcterms:modified>
  <cp:category/>
</cp:coreProperties>
</file>