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95CA" w14:textId="77777777" w:rsidR="00DF07C4" w:rsidRDefault="00000000">
      <w:pPr>
        <w:spacing w:after="120"/>
      </w:pPr>
      <w:r>
        <w:rPr>
          <w:rFonts w:ascii="Calibri" w:hAnsi="Calibri"/>
          <w:b/>
          <w:color w:val="0F294A"/>
          <w:sz w:val="36"/>
        </w:rPr>
        <w:t>De Novo Molecular Pharmacology, Synthetic Lethality, and 3D Conformational Modeling in Mosaic Variegated Aneuploidy: Rational Design of Targeted Degraders (anti-BCL-</w:t>
      </w:r>
      <w:proofErr w:type="spellStart"/>
      <w:r>
        <w:rPr>
          <w:rFonts w:ascii="Calibri" w:hAnsi="Calibri"/>
          <w:b/>
          <w:color w:val="0F294A"/>
          <w:sz w:val="36"/>
        </w:rPr>
        <w:t>xL</w:t>
      </w:r>
      <w:proofErr w:type="spellEnd"/>
      <w:r>
        <w:rPr>
          <w:rFonts w:ascii="Calibri" w:hAnsi="Calibri"/>
          <w:b/>
          <w:color w:val="0F294A"/>
          <w:sz w:val="36"/>
        </w:rPr>
        <w:t xml:space="preserve"> PROTACs), Kinetochore Rescue, and Nephroprotection</w:t>
      </w:r>
    </w:p>
    <w:p w14:paraId="29295282" w14:textId="77777777" w:rsidR="00DF07C4" w:rsidRDefault="00000000">
      <w:pPr>
        <w:spacing w:before="80" w:after="40"/>
      </w:pPr>
      <w:r>
        <w:rPr>
          <w:rFonts w:ascii="Calibri" w:hAnsi="Calibri"/>
          <w:b/>
          <w:sz w:val="24"/>
        </w:rPr>
        <w:t>Daniel Antonio Ojeda, MD</w:t>
      </w:r>
    </w:p>
    <w:p w14:paraId="314EFCD3" w14:textId="1D3398CD" w:rsidR="00DF07C4" w:rsidRDefault="00000000">
      <w:pPr>
        <w:pBdr>
          <w:bottom w:val="single" w:sz="12" w:space="4" w:color="0F294A"/>
        </w:pBdr>
        <w:spacing w:after="240"/>
      </w:pPr>
      <w:r>
        <w:rPr>
          <w:rFonts w:ascii="Calibri" w:hAnsi="Calibri"/>
          <w:color w:val="334155"/>
          <w:sz w:val="20"/>
        </w:rPr>
        <w:t xml:space="preserve">Specialist in Internal Medicine (ULA - IAHULA) | Attending Physician, Adult Emergency Department, Instituto </w:t>
      </w:r>
      <w:proofErr w:type="spellStart"/>
      <w:r>
        <w:rPr>
          <w:rFonts w:ascii="Calibri" w:hAnsi="Calibri"/>
          <w:color w:val="334155"/>
          <w:sz w:val="20"/>
        </w:rPr>
        <w:t>Autónomo</w:t>
      </w:r>
      <w:proofErr w:type="spellEnd"/>
      <w:r>
        <w:rPr>
          <w:rFonts w:ascii="Calibri" w:hAnsi="Calibri"/>
          <w:color w:val="334155"/>
          <w:sz w:val="20"/>
        </w:rPr>
        <w:t xml:space="preserve"> Hospital Universitario de Los Andes (IAHULA) Mérida, Venezuela</w:t>
      </w:r>
      <w:r w:rsidR="00EE593E">
        <w:rPr>
          <w:rFonts w:ascii="Calibri" w:hAnsi="Calibri"/>
          <w:color w:val="334155"/>
          <w:sz w:val="20"/>
        </w:rPr>
        <w:t>.</w:t>
      </w:r>
    </w:p>
    <w:p w14:paraId="3E45FBF3" w14:textId="77777777" w:rsidR="00DF07C4" w:rsidRDefault="00000000">
      <w:pPr>
        <w:keepNext/>
        <w:pBdr>
          <w:bottom w:val="single" w:sz="12" w:space="4" w:color="1B365D"/>
        </w:pBdr>
        <w:spacing w:before="160" w:after="80"/>
      </w:pPr>
      <w:r>
        <w:rPr>
          <w:rFonts w:ascii="Calibri" w:hAnsi="Calibri"/>
          <w:b/>
          <w:color w:val="0F294A"/>
          <w:sz w:val="26"/>
        </w:rPr>
        <w:t>Structured Abstract</w:t>
      </w:r>
    </w:p>
    <w:p w14:paraId="1DDF7631" w14:textId="77777777"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pPr>
      <w:r>
        <w:rPr>
          <w:b/>
          <w:color w:val="0F294A"/>
          <w:sz w:val="21"/>
        </w:rPr>
        <w:t>Background:</w:t>
      </w:r>
      <w:r>
        <w:rPr>
          <w:sz w:val="21"/>
        </w:rPr>
        <w:t xml:space="preserve"> Conventional DNA-damaging chemotherapy is contraindicated in Mosaic Variegated Aneuploidy Syndrome (MVA; OMIM #257300, #614114) because constitutional Spindle Assembly Checkpoint (SAC) incompetence triggers fulminant bone marrow aplasia. Across 138 MVA cohorts, patients exhibit 81.0% growth failure, 77.1% microcephaly, 31.4% embryonal tumors, and 18.3% renal anomalies accelerated in the proband by a homozygous </w:t>
      </w:r>
      <w:r>
        <w:rPr>
          <w:i/>
          <w:sz w:val="21"/>
        </w:rPr>
        <w:t>WT1</w:t>
      </w:r>
      <w:r>
        <w:rPr>
          <w:sz w:val="21"/>
        </w:rPr>
        <w:t xml:space="preserve"> insertion.</w:t>
      </w:r>
    </w:p>
    <w:p w14:paraId="20C5F245" w14:textId="77777777"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pPr>
      <w:r>
        <w:rPr>
          <w:b/>
          <w:color w:val="0F294A"/>
          <w:sz w:val="21"/>
        </w:rPr>
        <w:t>Objectives:</w:t>
      </w:r>
      <w:r>
        <w:rPr>
          <w:sz w:val="21"/>
        </w:rPr>
        <w:t xml:space="preserve"> To computationally design </w:t>
      </w:r>
      <w:r>
        <w:rPr>
          <w:i/>
          <w:sz w:val="21"/>
        </w:rPr>
        <w:t>de novo</w:t>
      </w:r>
      <w:r>
        <w:rPr>
          <w:sz w:val="21"/>
        </w:rPr>
        <w:t xml:space="preserve"> a 23-entity therapeutic library (20 small molecules/PROTACs and 3 </w:t>
      </w:r>
      <w:r>
        <w:rPr>
          <w:i/>
          <w:sz w:val="21"/>
        </w:rPr>
        <w:t>Ambystoma mexicanum</w:t>
      </w:r>
      <w:r>
        <w:rPr>
          <w:sz w:val="21"/>
        </w:rPr>
        <w:t xml:space="preserve"> anticancer peptides) spanning six mechanistic axes, coupled with a short-to-medium-term double-strand-break (DSB)-free curative genome-editing roadmap.</w:t>
      </w:r>
    </w:p>
    <w:p w14:paraId="64EC0AF2" w14:textId="77777777"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pPr>
      <w:r>
        <w:rPr>
          <w:b/>
          <w:color w:val="0F294A"/>
          <w:sz w:val="21"/>
        </w:rPr>
        <w:t>Methods:</w:t>
      </w:r>
      <w:r>
        <w:rPr>
          <w:sz w:val="21"/>
        </w:rPr>
        <w:t xml:space="preserve"> Automated Python pipelines via Google Antigravity and </w:t>
      </w:r>
      <w:proofErr w:type="spellStart"/>
      <w:r>
        <w:rPr>
          <w:sz w:val="21"/>
        </w:rPr>
        <w:t>FutureHouse</w:t>
      </w:r>
      <w:proofErr w:type="spellEnd"/>
      <w:r>
        <w:rPr>
          <w:sz w:val="21"/>
        </w:rPr>
        <w:t xml:space="preserve"> integrated </w:t>
      </w:r>
      <w:proofErr w:type="spellStart"/>
      <w:r>
        <w:rPr>
          <w:sz w:val="21"/>
        </w:rPr>
        <w:t>ChEMBL</w:t>
      </w:r>
      <w:proofErr w:type="spellEnd"/>
      <w:r>
        <w:rPr>
          <w:sz w:val="21"/>
        </w:rPr>
        <w:t xml:space="preserve">, STRING, </w:t>
      </w:r>
      <w:proofErr w:type="spellStart"/>
      <w:r>
        <w:rPr>
          <w:sz w:val="21"/>
        </w:rPr>
        <w:t>cBioPortal</w:t>
      </w:r>
      <w:proofErr w:type="spellEnd"/>
      <w:r>
        <w:rPr>
          <w:sz w:val="21"/>
        </w:rPr>
        <w:t xml:space="preserve">, HPA, and CAMPR3 peptide classifiers. Static target </w:t>
      </w:r>
      <w:proofErr w:type="spellStart"/>
      <w:r>
        <w:rPr>
          <w:sz w:val="21"/>
        </w:rPr>
        <w:t>decompilation</w:t>
      </w:r>
      <w:proofErr w:type="spellEnd"/>
      <w:r>
        <w:rPr>
          <w:sz w:val="21"/>
        </w:rPr>
        <w:t xml:space="preserve"> coupled AlphaFold 3 coordinates and </w:t>
      </w:r>
      <w:proofErr w:type="spellStart"/>
      <w:r>
        <w:rPr>
          <w:sz w:val="21"/>
        </w:rPr>
        <w:t>RFdiffusion</w:t>
      </w:r>
      <w:proofErr w:type="spellEnd"/>
      <w:r>
        <w:rPr>
          <w:sz w:val="21"/>
        </w:rPr>
        <w:t>/</w:t>
      </w:r>
      <w:proofErr w:type="spellStart"/>
      <w:r>
        <w:rPr>
          <w:sz w:val="21"/>
        </w:rPr>
        <w:t>ProteinMPNN</w:t>
      </w:r>
      <w:proofErr w:type="spellEnd"/>
      <w:r>
        <w:rPr>
          <w:sz w:val="21"/>
        </w:rPr>
        <w:t xml:space="preserve"> </w:t>
      </w:r>
      <w:proofErr w:type="spellStart"/>
      <w:r>
        <w:rPr>
          <w:sz w:val="21"/>
        </w:rPr>
        <w:t>miniprotein</w:t>
      </w:r>
      <w:proofErr w:type="spellEnd"/>
      <w:r>
        <w:rPr>
          <w:sz w:val="21"/>
        </w:rPr>
        <w:t xml:space="preserve"> design with ESM-2 embeddings via 3-layer </w:t>
      </w:r>
      <w:proofErr w:type="spellStart"/>
      <w:r>
        <w:rPr>
          <w:sz w:val="21"/>
        </w:rPr>
        <w:t>GraphConv</w:t>
      </w:r>
      <w:proofErr w:type="spellEnd"/>
      <w:r>
        <w:rPr>
          <w:sz w:val="21"/>
        </w:rPr>
        <w:t xml:space="preserve"> and </w:t>
      </w:r>
      <w:proofErr w:type="spellStart"/>
      <w:r>
        <w:rPr>
          <w:sz w:val="21"/>
        </w:rPr>
        <w:t>SAGPool</w:t>
      </w:r>
      <w:proofErr w:type="spellEnd"/>
      <w:r>
        <w:rPr>
          <w:sz w:val="21"/>
        </w:rPr>
        <w:t xml:space="preserve"> (k = 0.75), while dynamic controllability was evaluated via nonlinear Lie-derivative observability. Conformers were sampled via ETKDGv3, minimized with MMFF94 in </w:t>
      </w:r>
      <w:proofErr w:type="spellStart"/>
      <w:r>
        <w:rPr>
          <w:sz w:val="21"/>
        </w:rPr>
        <w:t>RDKit</w:t>
      </w:r>
      <w:proofErr w:type="spellEnd"/>
      <w:r>
        <w:rPr>
          <w:sz w:val="21"/>
        </w:rPr>
        <w:t xml:space="preserve">, and docked in </w:t>
      </w:r>
      <w:proofErr w:type="spellStart"/>
      <w:r>
        <w:rPr>
          <w:sz w:val="21"/>
        </w:rPr>
        <w:t>AutoDock</w:t>
      </w:r>
      <w:proofErr w:type="spellEnd"/>
      <w:r>
        <w:rPr>
          <w:sz w:val="21"/>
        </w:rPr>
        <w:t xml:space="preserve"> Vina.</w:t>
      </w:r>
    </w:p>
    <w:p w14:paraId="4E6CC380" w14:textId="77777777"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pPr>
      <w:r>
        <w:rPr>
          <w:b/>
          <w:color w:val="0F294A"/>
          <w:sz w:val="21"/>
        </w:rPr>
        <w:t>Results:</w:t>
      </w:r>
      <w:r>
        <w:rPr>
          <w:sz w:val="21"/>
        </w:rPr>
        <w:t xml:space="preserve"> The 20 small molecules/PROTACs demonstrated optimal drug-likeness (MW 381–774 g/mol, </w:t>
      </w:r>
      <w:proofErr w:type="spellStart"/>
      <w:r>
        <w:rPr>
          <w:sz w:val="21"/>
        </w:rPr>
        <w:t>cLogP</w:t>
      </w:r>
      <w:proofErr w:type="spellEnd"/>
      <w:r>
        <w:rPr>
          <w:sz w:val="21"/>
        </w:rPr>
        <w:t xml:space="preserve"> 0.49–5.86, QED up to 0.68), led by selective WEE1/PKMYT1 inhibitors (MVA-SYN-01/05), a platelet-sparing BCL-</w:t>
      </w:r>
      <w:proofErr w:type="spellStart"/>
      <w:r>
        <w:rPr>
          <w:sz w:val="21"/>
        </w:rPr>
        <w:t>xL</w:t>
      </w:r>
      <w:proofErr w:type="spellEnd"/>
      <w:r>
        <w:rPr>
          <w:sz w:val="21"/>
        </w:rPr>
        <w:t xml:space="preserve">/CRBN PROTAC (MVA-PRO-01), allosteric </w:t>
      </w:r>
      <w:r>
        <w:rPr>
          <w:i/>
          <w:sz w:val="21"/>
        </w:rPr>
        <w:t>CENPE</w:t>
      </w:r>
      <w:r>
        <w:rPr>
          <w:sz w:val="21"/>
        </w:rPr>
        <w:t xml:space="preserve">/BUBR1 stabilizers (MVA-CEN-04/05), and CNS-penetrant STING Cys91 antagonists (MVA-CGS-02/04). Synthetic axolotl peptides (MVA-AMP-01/12/13; purity 95.2%–97.0%) induce selective Caspase-3/7 carcinoma apoptosis while sparing normal MCF10A epithelium, upregulating </w:t>
      </w:r>
      <w:r>
        <w:rPr>
          <w:i/>
          <w:sz w:val="21"/>
        </w:rPr>
        <w:t>SFN</w:t>
      </w:r>
      <w:r>
        <w:rPr>
          <w:sz w:val="21"/>
        </w:rPr>
        <w:t xml:space="preserve"> (14-3-3σ), </w:t>
      </w:r>
      <w:r>
        <w:rPr>
          <w:i/>
          <w:sz w:val="21"/>
        </w:rPr>
        <w:t>RB1</w:t>
      </w:r>
      <w:r>
        <w:rPr>
          <w:sz w:val="21"/>
        </w:rPr>
        <w:t xml:space="preserve">, </w:t>
      </w:r>
      <w:r>
        <w:rPr>
          <w:i/>
          <w:sz w:val="21"/>
        </w:rPr>
        <w:t>BRCA1</w:t>
      </w:r>
      <w:r>
        <w:rPr>
          <w:sz w:val="21"/>
        </w:rPr>
        <w:t xml:space="preserve">/2, and </w:t>
      </w:r>
      <w:r>
        <w:rPr>
          <w:i/>
          <w:sz w:val="21"/>
        </w:rPr>
        <w:t>NR3C1</w:t>
      </w:r>
      <w:r>
        <w:rPr>
          <w:sz w:val="21"/>
        </w:rPr>
        <w:t xml:space="preserve">, suppressing </w:t>
      </w:r>
      <w:r>
        <w:rPr>
          <w:i/>
          <w:sz w:val="21"/>
        </w:rPr>
        <w:t>IL6</w:t>
      </w:r>
      <w:r>
        <w:rPr>
          <w:sz w:val="21"/>
        </w:rPr>
        <w:t xml:space="preserve">, </w:t>
      </w:r>
      <w:r>
        <w:rPr>
          <w:i/>
          <w:sz w:val="21"/>
        </w:rPr>
        <w:t>MMP2</w:t>
      </w:r>
      <w:r>
        <w:rPr>
          <w:sz w:val="21"/>
        </w:rPr>
        <w:t xml:space="preserve">, and </w:t>
      </w:r>
      <w:r>
        <w:rPr>
          <w:i/>
          <w:sz w:val="21"/>
        </w:rPr>
        <w:t>CCND2</w:t>
      </w:r>
      <w:r>
        <w:rPr>
          <w:sz w:val="21"/>
        </w:rPr>
        <w:t>, and inhibiting MRSA (MIC 2 µg/mL).</w:t>
      </w:r>
    </w:p>
    <w:p w14:paraId="3D94DA52" w14:textId="77777777"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pPr>
      <w:r>
        <w:rPr>
          <w:b/>
          <w:color w:val="0F294A"/>
          <w:sz w:val="21"/>
        </w:rPr>
        <w:t>Conclusions:</w:t>
      </w:r>
      <w:r>
        <w:rPr>
          <w:sz w:val="21"/>
        </w:rPr>
        <w:t xml:space="preserve"> Uniting six-axis precision pharmacology with </w:t>
      </w:r>
      <w:proofErr w:type="spellStart"/>
      <w:r>
        <w:rPr>
          <w:sz w:val="21"/>
        </w:rPr>
        <w:t>chromothripsis</w:t>
      </w:r>
      <w:proofErr w:type="spellEnd"/>
      <w:r>
        <w:rPr>
          <w:sz w:val="21"/>
        </w:rPr>
        <w:t>-free Adenine Base Editing (</w:t>
      </w:r>
      <w:r>
        <w:rPr>
          <w:i/>
          <w:sz w:val="21"/>
        </w:rPr>
        <w:t>CENPE</w:t>
      </w:r>
      <w:r>
        <w:rPr>
          <w:sz w:val="21"/>
        </w:rPr>
        <w:t xml:space="preserve"> p.Arg1079Gln), Prime Editing (</w:t>
      </w:r>
      <w:r>
        <w:rPr>
          <w:i/>
          <w:sz w:val="21"/>
        </w:rPr>
        <w:t>WT1</w:t>
      </w:r>
      <w:r>
        <w:rPr>
          <w:sz w:val="21"/>
        </w:rPr>
        <w:t xml:space="preserve">), </w:t>
      </w:r>
      <w:proofErr w:type="spellStart"/>
      <w:r>
        <w:rPr>
          <w:sz w:val="21"/>
        </w:rPr>
        <w:t>CRISPRa</w:t>
      </w:r>
      <w:proofErr w:type="spellEnd"/>
      <w:r>
        <w:rPr>
          <w:sz w:val="21"/>
        </w:rPr>
        <w:t xml:space="preserve"> (</w:t>
      </w:r>
      <w:r>
        <w:rPr>
          <w:i/>
          <w:sz w:val="21"/>
        </w:rPr>
        <w:t>BUB1B</w:t>
      </w:r>
      <w:r>
        <w:rPr>
          <w:sz w:val="21"/>
        </w:rPr>
        <w:t>), and non-viral SORT-LNP/</w:t>
      </w:r>
      <w:proofErr w:type="spellStart"/>
      <w:r>
        <w:rPr>
          <w:sz w:val="21"/>
        </w:rPr>
        <w:t>eVLP</w:t>
      </w:r>
      <w:proofErr w:type="spellEnd"/>
      <w:r>
        <w:rPr>
          <w:sz w:val="21"/>
        </w:rPr>
        <w:t xml:space="preserve"> delivery establishes a translational path from disease modification to a genetic cure.</w:t>
      </w:r>
    </w:p>
    <w:p w14:paraId="128846F2" w14:textId="67D133E5" w:rsidR="00DF07C4" w:rsidRDefault="00000000">
      <w:pPr>
        <w:pBdr>
          <w:top w:val="single" w:sz="6" w:space="6" w:color="CBD5E1"/>
          <w:left w:val="single" w:sz="24" w:space="10" w:color="1E3A8A"/>
          <w:bottom w:val="single" w:sz="6" w:space="6" w:color="CBD5E1"/>
          <w:right w:val="single" w:sz="6" w:space="10" w:color="CBD5E1"/>
        </w:pBdr>
        <w:shd w:val="clear" w:color="auto" w:fill="F8FAFC"/>
        <w:spacing w:before="60"/>
        <w:ind w:left="230" w:right="230"/>
        <w:jc w:val="both"/>
      </w:pPr>
      <w:r>
        <w:rPr>
          <w:b/>
          <w:color w:val="0F294A"/>
          <w:sz w:val="21"/>
        </w:rPr>
        <w:t>Keywords (</w:t>
      </w:r>
      <w:proofErr w:type="spellStart"/>
      <w:r>
        <w:rPr>
          <w:b/>
          <w:color w:val="0F294A"/>
          <w:sz w:val="21"/>
        </w:rPr>
        <w:t>MeSH</w:t>
      </w:r>
      <w:proofErr w:type="spellEnd"/>
      <w:r>
        <w:rPr>
          <w:b/>
          <w:color w:val="0F294A"/>
          <w:sz w:val="21"/>
        </w:rPr>
        <w:t>):</w:t>
      </w:r>
      <w:r>
        <w:rPr>
          <w:sz w:val="21"/>
        </w:rPr>
        <w:t xml:space="preserve"> De Novo Drug Design; PROTACs; Synthetic Lethality; WEE1 Inhibitors; BCL-</w:t>
      </w:r>
      <w:proofErr w:type="spellStart"/>
      <w:r>
        <w:rPr>
          <w:sz w:val="21"/>
        </w:rPr>
        <w:t>xL</w:t>
      </w:r>
      <w:proofErr w:type="spellEnd"/>
      <w:r>
        <w:rPr>
          <w:sz w:val="21"/>
        </w:rPr>
        <w:t xml:space="preserve"> Degradation; </w:t>
      </w:r>
      <w:r>
        <w:rPr>
          <w:i/>
          <w:sz w:val="21"/>
        </w:rPr>
        <w:t>CENPE</w:t>
      </w:r>
      <w:r>
        <w:rPr>
          <w:sz w:val="21"/>
        </w:rPr>
        <w:t xml:space="preserve"> Allosteric Modulators; </w:t>
      </w:r>
      <w:proofErr w:type="spellStart"/>
      <w:r>
        <w:rPr>
          <w:sz w:val="21"/>
        </w:rPr>
        <w:t>cGAS</w:t>
      </w:r>
      <w:proofErr w:type="spellEnd"/>
      <w:r>
        <w:rPr>
          <w:sz w:val="21"/>
        </w:rPr>
        <w:t xml:space="preserve">-STING Antagonists; </w:t>
      </w:r>
      <w:r>
        <w:rPr>
          <w:i/>
          <w:sz w:val="21"/>
        </w:rPr>
        <w:t>Ambystoma mexicanum</w:t>
      </w:r>
      <w:r>
        <w:rPr>
          <w:sz w:val="21"/>
        </w:rPr>
        <w:t xml:space="preserve"> Anticancer Peptides; Base Editing; Prime Editing; Mosaic Variegated Aneuploidy.</w:t>
      </w:r>
    </w:p>
    <w:p w14:paraId="11166C83" w14:textId="77777777" w:rsidR="00DF07C4" w:rsidRDefault="00000000">
      <w:pPr>
        <w:keepNext/>
        <w:pageBreakBefore/>
        <w:pBdr>
          <w:bottom w:val="single" w:sz="8" w:space="4" w:color="0F294A"/>
        </w:pBdr>
        <w:spacing w:before="320" w:after="120"/>
      </w:pPr>
      <w:r>
        <w:rPr>
          <w:rFonts w:ascii="Calibri" w:hAnsi="Calibri"/>
          <w:b/>
          <w:color w:val="0F294A"/>
          <w:sz w:val="30"/>
        </w:rPr>
        <w:lastRenderedPageBreak/>
        <w:t>1. Limitations of Classical Cytotoxicity and Foundations of Synthetic Lethality</w:t>
      </w:r>
    </w:p>
    <w:p w14:paraId="244D92B7" w14:textId="77777777" w:rsidR="00DF07C4" w:rsidRDefault="00000000">
      <w:pPr>
        <w:spacing w:after="120"/>
        <w:jc w:val="both"/>
      </w:pPr>
      <w:r>
        <w:t>Standard pediatric oncological approaches rely on genotoxic agents or spindle poisons. These rely on normal host tissues activating intact checkpoints (G1/S, G2/M, and SAC) to repair lesions or enter reversible senescence without catastrophic death.</w:t>
      </w:r>
    </w:p>
    <w:p w14:paraId="4F024800" w14:textId="77777777" w:rsidR="00DF07C4" w:rsidRDefault="00000000">
      <w:pPr>
        <w:spacing w:after="120"/>
        <w:jc w:val="both"/>
      </w:pPr>
      <w:r>
        <w:t xml:space="preserve">In direct contrast, patients with Mosaic Variegated Aneuploidy Syndrome (MVA; OMIM #257300, #614114) harbor constitutional loss-of-function mutations in essential mitotic checkpoint factors such as </w:t>
      </w:r>
      <w:r>
        <w:rPr>
          <w:i/>
        </w:rPr>
        <w:t>BUB1B</w:t>
      </w:r>
      <w:r>
        <w:t xml:space="preserve">, </w:t>
      </w:r>
      <w:r>
        <w:rPr>
          <w:i/>
        </w:rPr>
        <w:t>CENPE</w:t>
      </w:r>
      <w:r>
        <w:t xml:space="preserve">, or </w:t>
      </w:r>
      <w:r>
        <w:rPr>
          <w:i/>
        </w:rPr>
        <w:t>TRIP13</w:t>
      </w:r>
      <w:r>
        <w:t>, as established in Article 1 [1-5]. When exposed to genotoxic drugs, host hematopoietic stem cells and enterocytes cannot arrest [6].</w:t>
      </w:r>
    </w:p>
    <w:p w14:paraId="259119D1" w14:textId="77777777" w:rsidR="00DF07C4" w:rsidRDefault="00000000">
      <w:pPr>
        <w:spacing w:after="120"/>
        <w:jc w:val="both"/>
      </w:pPr>
      <w:r>
        <w:t xml:space="preserve">Unchecked mitotic entry triggers fulminant bone marrow aplasia and early death. In the global meta-analysis [1], 31.4% of patients developed embryonal tumors (Wilms tumor 20.9%, rhabdomyosarcoma 10.5%). Within the International Pediatric Rare Disease Hackathon 2026 [7], therapy must pivot toward Synthetic Lethality [8] and targeted </w:t>
      </w:r>
      <w:proofErr w:type="spellStart"/>
      <w:r>
        <w:t>senolysis</w:t>
      </w:r>
      <w:proofErr w:type="spellEnd"/>
      <w:r>
        <w:t xml:space="preserve"> using PROTACs [9].</w:t>
      </w:r>
    </w:p>
    <w:p w14:paraId="4A983D65" w14:textId="77777777" w:rsidR="00DF07C4" w:rsidRDefault="00000000">
      <w:pPr>
        <w:keepNext/>
        <w:pBdr>
          <w:bottom w:val="single" w:sz="8" w:space="4" w:color="0F294A"/>
        </w:pBdr>
        <w:spacing w:before="320" w:after="120"/>
      </w:pPr>
      <w:r>
        <w:rPr>
          <w:rFonts w:ascii="Calibri" w:hAnsi="Calibri"/>
          <w:b/>
          <w:color w:val="0F294A"/>
          <w:sz w:val="30"/>
        </w:rPr>
        <w:t>2. Chemogenomic Mining, Reverse Engineering of Gene Networks, and Autonomous AI Agents</w:t>
      </w:r>
    </w:p>
    <w:p w14:paraId="4D7816B2" w14:textId="77777777" w:rsidR="00DF07C4" w:rsidRDefault="00000000">
      <w:pPr>
        <w:spacing w:after="120"/>
        <w:jc w:val="both"/>
      </w:pPr>
      <w:r>
        <w:t xml:space="preserve">To overcome human cognitive bias and explore bioactive chemical space with maximal speed and mechanistic rigor, the author deployed the automated scientific literature synthesis workflow powered by the </w:t>
      </w:r>
      <w:proofErr w:type="spellStart"/>
      <w:r>
        <w:t>FutureHouse</w:t>
      </w:r>
      <w:proofErr w:type="spellEnd"/>
      <w:r>
        <w:t xml:space="preserve"> autonomous agent (PaperQA2 and </w:t>
      </w:r>
      <w:proofErr w:type="spellStart"/>
      <w:r>
        <w:t>ChemCrow</w:t>
      </w:r>
      <w:proofErr w:type="spellEnd"/>
      <w:r>
        <w:t xml:space="preserve">) [10, 11], orchestrated and supervised within the Google Antigravity platform (Google DeepMind) [12]. </w:t>
      </w:r>
      <w:proofErr w:type="spellStart"/>
      <w:r>
        <w:t>FutureHouse</w:t>
      </w:r>
      <w:proofErr w:type="spellEnd"/>
      <w:r>
        <w:t xml:space="preserve"> recursively queried the global indexed biomedical literature, interfacing in real time with foundational biological and chemical repositories:</w:t>
      </w:r>
    </w:p>
    <w:p w14:paraId="130B7DB0" w14:textId="77777777" w:rsidR="00DF07C4" w:rsidRDefault="00000000">
      <w:pPr>
        <w:spacing w:before="60" w:after="100"/>
        <w:ind w:left="360" w:hanging="259"/>
        <w:jc w:val="both"/>
      </w:pPr>
      <w:r>
        <w:rPr>
          <w:b/>
          <w:color w:val="0F294A"/>
        </w:rPr>
        <w:t xml:space="preserve">1. </w:t>
      </w:r>
      <w:proofErr w:type="spellStart"/>
      <w:r>
        <w:rPr>
          <w:b/>
          <w:color w:val="0F294A"/>
        </w:rPr>
        <w:t>ChEMBL</w:t>
      </w:r>
      <w:proofErr w:type="spellEnd"/>
      <w:r>
        <w:rPr>
          <w:b/>
          <w:color w:val="0F294A"/>
        </w:rPr>
        <w:t xml:space="preserve"> Database (v34):</w:t>
      </w:r>
      <w:r>
        <w:t xml:space="preserve"> Bioactivity data for &gt;12,000 compounds targeting mitotic kinases and BCL-2 family proteins [13, 14].</w:t>
      </w:r>
    </w:p>
    <w:p w14:paraId="3AE1864E" w14:textId="77777777" w:rsidR="00812CED" w:rsidRDefault="00000000">
      <w:pPr>
        <w:spacing w:before="60" w:after="100"/>
        <w:ind w:left="360" w:hanging="259"/>
        <w:jc w:val="both"/>
      </w:pPr>
      <w:r>
        <w:rPr>
          <w:b/>
          <w:color w:val="0F294A"/>
        </w:rPr>
        <w:t>2. STRING Database (v12.0):</w:t>
      </w:r>
      <w:r>
        <w:t xml:space="preserve"> Kinetochore interactome network centrality validating </w:t>
      </w:r>
      <w:r>
        <w:rPr>
          <w:i/>
        </w:rPr>
        <w:t>BUB1B</w:t>
      </w:r>
      <w:r>
        <w:t>-</w:t>
      </w:r>
      <w:r>
        <w:rPr>
          <w:i/>
        </w:rPr>
        <w:t>CENPE</w:t>
      </w:r>
      <w:r>
        <w:t xml:space="preserve"> physical binding (score 0.999) [15].</w:t>
      </w:r>
    </w:p>
    <w:p w14:paraId="78EA2F1B" w14:textId="77777777" w:rsidR="00812CED" w:rsidRDefault="00000000">
      <w:pPr>
        <w:spacing w:before="60" w:after="100"/>
        <w:ind w:left="360" w:hanging="259"/>
        <w:jc w:val="both"/>
      </w:pPr>
      <w:r>
        <w:rPr>
          <w:b/>
          <w:color w:val="0F294A"/>
        </w:rPr>
        <w:t xml:space="preserve">3. </w:t>
      </w:r>
      <w:proofErr w:type="spellStart"/>
      <w:r>
        <w:rPr>
          <w:b/>
          <w:color w:val="0F294A"/>
        </w:rPr>
        <w:t>cBioPortal</w:t>
      </w:r>
      <w:proofErr w:type="spellEnd"/>
      <w:r>
        <w:rPr>
          <w:b/>
          <w:color w:val="0F294A"/>
        </w:rPr>
        <w:t>:</w:t>
      </w:r>
      <w:r>
        <w:t xml:space="preserve"> Oncogenic dependencies across &gt;10,000 TCGA tumors with WEE1 overexpression or </w:t>
      </w:r>
      <w:r>
        <w:rPr>
          <w:i/>
        </w:rPr>
        <w:t>BUB1B</w:t>
      </w:r>
      <w:r>
        <w:t xml:space="preserve"> loss [16].</w:t>
      </w:r>
    </w:p>
    <w:p w14:paraId="4B1E17AB" w14:textId="77777777" w:rsidR="00812CED" w:rsidRDefault="00000000">
      <w:pPr>
        <w:spacing w:before="60" w:after="100"/>
        <w:ind w:left="360" w:hanging="259"/>
        <w:jc w:val="both"/>
      </w:pPr>
      <w:r>
        <w:rPr>
          <w:b/>
          <w:color w:val="0F294A"/>
        </w:rPr>
        <w:t>4. Human Protein Atlas (HPA v23):</w:t>
      </w:r>
      <w:r>
        <w:t xml:space="preserve"> Tissue protein expression across kidney, bone marrow, brain, and platelets [17].</w:t>
      </w:r>
    </w:p>
    <w:p w14:paraId="5C7ED482" w14:textId="77777777" w:rsidR="00812CED" w:rsidRDefault="00000000">
      <w:pPr>
        <w:spacing w:before="60" w:after="100"/>
        <w:ind w:left="360" w:hanging="259"/>
        <w:jc w:val="both"/>
      </w:pPr>
      <w:r>
        <w:t xml:space="preserve">5. Static Protein Language </w:t>
      </w:r>
      <w:proofErr w:type="spellStart"/>
      <w:r>
        <w:t>Decompilation</w:t>
      </w:r>
      <w:proofErr w:type="spellEnd"/>
      <w:r>
        <w:t xml:space="preserve">, Generative </w:t>
      </w:r>
      <w:proofErr w:type="spellStart"/>
      <w:r>
        <w:t>Miniprotein</w:t>
      </w:r>
      <w:proofErr w:type="spellEnd"/>
      <w:r>
        <w:t xml:space="preserve"> Design (AlphaFold 3 + </w:t>
      </w:r>
      <w:proofErr w:type="spellStart"/>
      <w:r>
        <w:t>RFdiffusion</w:t>
      </w:r>
      <w:proofErr w:type="spellEnd"/>
      <w:r>
        <w:t xml:space="preserve"> + </w:t>
      </w:r>
      <w:proofErr w:type="spellStart"/>
      <w:r>
        <w:t>ProteinMPNN</w:t>
      </w:r>
      <w:proofErr w:type="spellEnd"/>
      <w:r>
        <w:t xml:space="preserve">), and Graph Neural Networks (ESM-2 + </w:t>
      </w:r>
      <w:proofErr w:type="spellStart"/>
      <w:r>
        <w:t>GraphConv</w:t>
      </w:r>
      <w:proofErr w:type="spellEnd"/>
      <w:r>
        <w:t>/</w:t>
      </w:r>
      <w:proofErr w:type="spellStart"/>
      <w:r>
        <w:t>SAGPool</w:t>
      </w:r>
      <w:proofErr w:type="spellEnd"/>
      <w:r>
        <w:t>): Coevolutionary multiple sequence alignments and joint all-atom protein-DNA-ligand coordinates modeled with AlphaFold 3 [18] were integrated with evolutionary protein language embeddings (ESM-2) [19] via a 3-layer Graph Convolution (</w:t>
      </w:r>
      <w:proofErr w:type="spellStart"/>
      <w:r>
        <w:t>GraphConv</w:t>
      </w:r>
      <w:proofErr w:type="spellEnd"/>
      <w:r>
        <w:t>) and self-attention graph pooling (</w:t>
      </w:r>
      <w:proofErr w:type="spellStart"/>
      <w:r>
        <w:t>SAGPool</w:t>
      </w:r>
      <w:proofErr w:type="spellEnd"/>
      <w:r>
        <w:t>, node selection ratio k = 0.75) architecture to decompile cryptically coupled allosteric pockets across mutated BUBR1-</w:t>
      </w:r>
      <w:r>
        <w:rPr>
          <w:i/>
        </w:rPr>
        <w:t>CENPE</w:t>
      </w:r>
      <w:r>
        <w:t xml:space="preserve"> and </w:t>
      </w:r>
      <w:r>
        <w:rPr>
          <w:i/>
        </w:rPr>
        <w:t>WT1</w:t>
      </w:r>
      <w:r>
        <w:t xml:space="preserve">-ZF2 interfaces, guiding </w:t>
      </w:r>
      <w:r>
        <w:lastRenderedPageBreak/>
        <w:t xml:space="preserve">generative backbone diffusion via </w:t>
      </w:r>
      <w:proofErr w:type="spellStart"/>
      <w:r>
        <w:t>RFdiffusion</w:t>
      </w:r>
      <w:proofErr w:type="spellEnd"/>
      <w:r>
        <w:t xml:space="preserve"> [20] and sequence optimization via </w:t>
      </w:r>
      <w:proofErr w:type="spellStart"/>
      <w:r>
        <w:t>ProteinMPNN</w:t>
      </w:r>
      <w:proofErr w:type="spellEnd"/>
      <w:r>
        <w:t xml:space="preserve"> [21] for </w:t>
      </w:r>
      <w:r>
        <w:rPr>
          <w:i/>
        </w:rPr>
        <w:t>de novo</w:t>
      </w:r>
      <w:r>
        <w:t xml:space="preserve"> kinetochore staples.</w:t>
      </w:r>
    </w:p>
    <w:p w14:paraId="08AB73D2" w14:textId="77777777" w:rsidR="00812CED" w:rsidRDefault="00000000">
      <w:pPr>
        <w:spacing w:before="60" w:after="100"/>
        <w:ind w:left="360" w:hanging="259"/>
        <w:jc w:val="both"/>
      </w:pPr>
      <w:r>
        <w:rPr>
          <w:b/>
          <w:color w:val="0F294A"/>
        </w:rPr>
        <w:t>6. CAMPR3 Machine-Learning Peptide Classifiers (SVM, RF, ANN, DA):</w:t>
      </w:r>
      <w:r>
        <w:t xml:space="preserve"> Support Vector Machine, Random Forest, Artificial Neural Network, and Discriminant Analysis classifiers within the Collection of Anti-Microbial Peptides (CAMPR3) repository [22] were deployed to rank amphipathic helical peptides from </w:t>
      </w:r>
      <w:r>
        <w:rPr>
          <w:i/>
        </w:rPr>
        <w:t>Ambystoma mexicanum</w:t>
      </w:r>
      <w:r>
        <w:t xml:space="preserve"> skin mucus for dual antitumor and anti-infective bioactivity.</w:t>
      </w:r>
    </w:p>
    <w:p w14:paraId="3486E4AE" w14:textId="77777777" w:rsidR="00DF07C4" w:rsidRDefault="00000000">
      <w:pPr>
        <w:keepNext/>
        <w:pBdr>
          <w:bottom w:val="single" w:sz="8" w:space="4" w:color="0F294A"/>
        </w:pBdr>
        <w:spacing w:before="320" w:after="120"/>
      </w:pPr>
      <w:r>
        <w:rPr>
          <w:rFonts w:ascii="Calibri" w:hAnsi="Calibri"/>
          <w:b/>
          <w:color w:val="0F294A"/>
          <w:sz w:val="30"/>
        </w:rPr>
        <w:t>3. Prioritized Therapeutic Axes and Biological Rationale</w:t>
      </w:r>
    </w:p>
    <w:p w14:paraId="35FFB330" w14:textId="77777777" w:rsidR="00DF07C4" w:rsidRDefault="00000000">
      <w:pPr>
        <w:keepNext/>
        <w:spacing w:before="240" w:after="80"/>
      </w:pPr>
      <w:r>
        <w:rPr>
          <w:rFonts w:ascii="Calibri" w:hAnsi="Calibri"/>
          <w:b/>
          <w:color w:val="1E3A8A"/>
          <w:sz w:val="25"/>
        </w:rPr>
        <w:t>3.1 Axis 1: Synthetic Lethality via WEE1 Kinase Inhibition Against Embryonal Malignancies (31.4%)</w:t>
      </w:r>
    </w:p>
    <w:p w14:paraId="2D8A1952" w14:textId="77777777" w:rsidR="00DF07C4" w:rsidRDefault="00000000">
      <w:pPr>
        <w:spacing w:after="120"/>
        <w:jc w:val="both"/>
      </w:pPr>
      <w:r>
        <w:t>WEE1 phosphorylates CDK1 at Tyr15, suppressing CDK1-cyclin B1 activation until replication finishes [23, 24]. In MVA tumors (31.4% pooled incidence), WEE1-mediated G2 arrest is the sole survival mechanism preventing premature mitosis. WEE1 inhibition abrogates this brake, triggering mitotic catastrophe selectively in tumor cells [25].</w:t>
      </w:r>
    </w:p>
    <w:p w14:paraId="25FA334F" w14:textId="77777777" w:rsidR="00DF07C4" w:rsidRDefault="00000000">
      <w:pPr>
        <w:keepNext/>
        <w:spacing w:before="240" w:after="80"/>
      </w:pPr>
      <w:r>
        <w:rPr>
          <w:rFonts w:ascii="Calibri" w:hAnsi="Calibri"/>
          <w:b/>
          <w:color w:val="1E3A8A"/>
          <w:sz w:val="25"/>
        </w:rPr>
        <w:t>3.2 Axis 2: BCL-</w:t>
      </w:r>
      <w:proofErr w:type="spellStart"/>
      <w:r>
        <w:rPr>
          <w:rFonts w:ascii="Calibri" w:hAnsi="Calibri"/>
          <w:b/>
          <w:color w:val="1E3A8A"/>
          <w:sz w:val="25"/>
        </w:rPr>
        <w:t>xL</w:t>
      </w:r>
      <w:proofErr w:type="spellEnd"/>
      <w:r>
        <w:rPr>
          <w:rFonts w:ascii="Calibri" w:hAnsi="Calibri"/>
          <w:b/>
          <w:color w:val="1E3A8A"/>
          <w:sz w:val="25"/>
        </w:rPr>
        <w:t xml:space="preserve"> Platelet-Sparing PROTAC Degradation Against Severe Growth Failure (81.0%)</w:t>
      </w:r>
    </w:p>
    <w:p w14:paraId="0A8F3359" w14:textId="77777777" w:rsidR="00DF07C4" w:rsidRDefault="00000000">
      <w:pPr>
        <w:spacing w:after="120"/>
        <w:jc w:val="both"/>
      </w:pPr>
      <w:r>
        <w:t>Persistent chromosomal instability causes 81.0% growth failure driven by the Senescence-Associated Secretory Phenotype (SASP) [26, 27]. Senescent cells depend on BCL-</w:t>
      </w:r>
      <w:proofErr w:type="spellStart"/>
      <w:r>
        <w:t>xL</w:t>
      </w:r>
      <w:proofErr w:type="spellEnd"/>
      <w:r>
        <w:t xml:space="preserve"> for survival [28].</w:t>
      </w:r>
    </w:p>
    <w:p w14:paraId="32B1820C" w14:textId="77777777" w:rsidR="00DF07C4" w:rsidRDefault="00000000">
      <w:pPr>
        <w:spacing w:after="120"/>
        <w:jc w:val="both"/>
      </w:pPr>
      <w:r>
        <w:t>Standard BCL-</w:t>
      </w:r>
      <w:proofErr w:type="spellStart"/>
      <w:r>
        <w:t>xL</w:t>
      </w:r>
      <w:proofErr w:type="spellEnd"/>
      <w:r>
        <w:t xml:space="preserve"> inhibitors induce acute thrombocytopenia [29]. To overcome this, bifunctional PROTACs were designed recruiting </w:t>
      </w:r>
      <w:proofErr w:type="spellStart"/>
      <w:r>
        <w:t>Cereblon</w:t>
      </w:r>
      <w:proofErr w:type="spellEnd"/>
      <w:r>
        <w:t xml:space="preserve"> (CRBN) [30, 31]. Because mature </w:t>
      </w:r>
      <w:proofErr w:type="spellStart"/>
      <w:r>
        <w:t>anucleated</w:t>
      </w:r>
      <w:proofErr w:type="spellEnd"/>
      <w:r>
        <w:t xml:space="preserve"> platelets lack functional CRBN ligase, BCL-</w:t>
      </w:r>
      <w:proofErr w:type="spellStart"/>
      <w:r>
        <w:t>xL</w:t>
      </w:r>
      <w:proofErr w:type="spellEnd"/>
      <w:r>
        <w:t xml:space="preserve"> is degraded selectively in nucleated senescent cells, achieving platelet-sparing </w:t>
      </w:r>
      <w:proofErr w:type="spellStart"/>
      <w:r>
        <w:t>senolysis</w:t>
      </w:r>
      <w:proofErr w:type="spellEnd"/>
      <w:r>
        <w:t>.</w:t>
      </w:r>
    </w:p>
    <w:p w14:paraId="5ED6E059" w14:textId="77777777" w:rsidR="00DF07C4" w:rsidRDefault="00000000">
      <w:pPr>
        <w:keepNext/>
        <w:spacing w:before="240" w:after="80"/>
      </w:pPr>
      <w:r>
        <w:rPr>
          <w:rFonts w:ascii="Calibri" w:hAnsi="Calibri"/>
          <w:b/>
          <w:color w:val="1E3A8A"/>
          <w:sz w:val="25"/>
        </w:rPr>
        <w:t>3.3 Axis 3: Allosteric Stabilization of Kinetochore Kinesin CENPE Against Aneuploid Mosaicism (90.8%)</w:t>
      </w:r>
    </w:p>
    <w:p w14:paraId="746995F0" w14:textId="77777777" w:rsidR="00DF07C4" w:rsidRDefault="00000000">
      <w:pPr>
        <w:spacing w:after="120"/>
        <w:jc w:val="both"/>
      </w:pPr>
      <w:r>
        <w:t xml:space="preserve">Constitutional aneuploid mosaicism occurs in 90.8% of patients. </w:t>
      </w:r>
      <w:r>
        <w:rPr>
          <w:i/>
        </w:rPr>
        <w:t>CENPE</w:t>
      </w:r>
      <w:r>
        <w:t xml:space="preserve"> p.Arg1079Gln coiled-coil mutations [4, 32, 33] destabilize salt bridges, impairing chromosome congression. Hydrophobic allosteric modulators were engineered lodging at the coiled-coil hinge and BUBR1 recruitment interface to restore motor transmission [34, 35].</w:t>
      </w:r>
    </w:p>
    <w:p w14:paraId="11AA0FB4" w14:textId="77777777" w:rsidR="00DF07C4" w:rsidRDefault="00000000">
      <w:pPr>
        <w:keepNext/>
        <w:spacing w:before="240" w:after="80"/>
      </w:pPr>
      <w:r>
        <w:rPr>
          <w:rFonts w:ascii="Calibri" w:hAnsi="Calibri"/>
          <w:b/>
          <w:color w:val="1E3A8A"/>
          <w:sz w:val="25"/>
        </w:rPr>
        <w:t xml:space="preserve">3.4 Axis 4: CNS-Penetrant </w:t>
      </w:r>
      <w:proofErr w:type="spellStart"/>
      <w:r>
        <w:rPr>
          <w:rFonts w:ascii="Calibri" w:hAnsi="Calibri"/>
          <w:b/>
          <w:color w:val="1E3A8A"/>
          <w:sz w:val="25"/>
        </w:rPr>
        <w:t>cGAS</w:t>
      </w:r>
      <w:proofErr w:type="spellEnd"/>
      <w:r>
        <w:rPr>
          <w:rFonts w:ascii="Calibri" w:hAnsi="Calibri"/>
          <w:b/>
          <w:color w:val="1E3A8A"/>
          <w:sz w:val="25"/>
        </w:rPr>
        <w:t>-STING Antagonism Against Microcephaly (77.1%) and Cognitive Impairment (73.2%)</w:t>
      </w:r>
    </w:p>
    <w:p w14:paraId="44291514" w14:textId="77777777" w:rsidR="00DF07C4" w:rsidRDefault="00000000">
      <w:pPr>
        <w:spacing w:after="120"/>
        <w:jc w:val="both"/>
      </w:pPr>
      <w:r>
        <w:t xml:space="preserve">Micronuclear collapse exposes dsDNA, hyperactivating </w:t>
      </w:r>
      <w:proofErr w:type="spellStart"/>
      <w:r>
        <w:t>cGAS</w:t>
      </w:r>
      <w:proofErr w:type="spellEnd"/>
      <w:r>
        <w:t>-STING in microglia [36-38]. This triggers type I interferon neuroinflammation suppressing neurogenesis. Lipophilic brain-penetrant inhibitors were designed (TPSA &lt; 80 Å²) covalently alkylating Cys91 of STING [39, 40].</w:t>
      </w:r>
    </w:p>
    <w:p w14:paraId="771A6BF1" w14:textId="77777777" w:rsidR="00DF07C4" w:rsidRDefault="00000000">
      <w:pPr>
        <w:keepNext/>
        <w:spacing w:before="240" w:after="80"/>
      </w:pPr>
      <w:r>
        <w:rPr>
          <w:rFonts w:ascii="Calibri" w:hAnsi="Calibri"/>
          <w:b/>
          <w:color w:val="1E3A8A"/>
          <w:sz w:val="25"/>
        </w:rPr>
        <w:lastRenderedPageBreak/>
        <w:t xml:space="preserve">3.5 Axis 5: Tubular </w:t>
      </w:r>
      <w:proofErr w:type="spellStart"/>
      <w:r>
        <w:rPr>
          <w:rFonts w:ascii="Calibri" w:hAnsi="Calibri"/>
          <w:b/>
          <w:color w:val="1E3A8A"/>
          <w:sz w:val="25"/>
        </w:rPr>
        <w:t>Senolysis</w:t>
      </w:r>
      <w:proofErr w:type="spellEnd"/>
      <w:r>
        <w:rPr>
          <w:rFonts w:ascii="Calibri" w:hAnsi="Calibri"/>
          <w:b/>
          <w:color w:val="1E3A8A"/>
          <w:sz w:val="25"/>
        </w:rPr>
        <w:t xml:space="preserve"> and Podocyte Protection Against WT1 Renal Impairment (18.3%)</w:t>
      </w:r>
    </w:p>
    <w:p w14:paraId="4BABE7EC" w14:textId="77777777" w:rsidR="00DF07C4" w:rsidRDefault="00000000">
      <w:pPr>
        <w:spacing w:after="120"/>
        <w:jc w:val="both"/>
      </w:pPr>
      <w:r>
        <w:t xml:space="preserve">In Article 1, 18.3% of cohorts showed renal precursor anomalies, with homozygous </w:t>
      </w:r>
      <w:r>
        <w:rPr>
          <w:i/>
        </w:rPr>
        <w:t>WT1</w:t>
      </w:r>
      <w:r>
        <w:t xml:space="preserve"> insertion driving severe nephrocalcinosis [41, 42]. Senescent tubular cells secrete profibrotic cytokines [43]. PROTAC MVA-PRO-01 clears senescent tubular cells, synergizing with thiazide and potassium citrate therapy [44-46].</w:t>
      </w:r>
    </w:p>
    <w:p w14:paraId="1CED2DD1" w14:textId="77777777" w:rsidR="00DF07C4" w:rsidRDefault="00000000">
      <w:pPr>
        <w:keepNext/>
        <w:spacing w:before="240" w:after="80"/>
      </w:pPr>
      <w:r>
        <w:rPr>
          <w:rFonts w:ascii="Calibri" w:hAnsi="Calibri"/>
          <w:b/>
          <w:color w:val="1E3A8A"/>
          <w:sz w:val="25"/>
        </w:rPr>
        <w:t>3.6 Axis 6: Bio-Inspired Axolotl Anticancer Peptides (P1, P12, P13), Synthetic Genetic Refactoring, and DSB-Free Curative Genome Editing</w:t>
      </w:r>
    </w:p>
    <w:p w14:paraId="52035FAD" w14:textId="77777777" w:rsidR="00DF07C4" w:rsidRDefault="00000000">
      <w:pPr>
        <w:spacing w:after="120"/>
        <w:jc w:val="both"/>
      </w:pPr>
      <w:r>
        <w:t>Despite exhibiting extreme mitotic proliferation during epimorphic regeneration, the Mexican axolotl (</w:t>
      </w:r>
      <w:r>
        <w:rPr>
          <w:i/>
        </w:rPr>
        <w:t>Ambystoma mexicanum</w:t>
      </w:r>
      <w:r>
        <w:t xml:space="preserve">) displays extraordinary resistance to spontaneous and chemically induced tumorigenesis. By decompiling 4,986 mass-spectrometry peptide sequences from </w:t>
      </w:r>
      <w:r>
        <w:rPr>
          <w:i/>
        </w:rPr>
        <w:t>A. mexicanum</w:t>
      </w:r>
      <w:r>
        <w:t xml:space="preserve"> skin mucus using CAMPR3 machine-learning classifiers [22], Dastagir et al. [47] identified three synthetic amphipathic helical peptides—Peptide 1 (VAVLGASGGIGQPLSLLLK; 57.89% hydrophobic, 95.16% purity), Peptide 12 (</w:t>
      </w:r>
      <w:proofErr w:type="spellStart"/>
      <w:r>
        <w:t>ILLLcVGEAGDTVQFAEYIQK</w:t>
      </w:r>
      <w:proofErr w:type="spellEnd"/>
      <w:r>
        <w:t>; 45.45% hydrophobic, 97.00% purity), and Peptide 13 (</w:t>
      </w:r>
      <w:proofErr w:type="spellStart"/>
      <w:r>
        <w:t>FGANALLGVSLAVcKAGAAEK</w:t>
      </w:r>
      <w:proofErr w:type="spellEnd"/>
      <w:r>
        <w:t>; 57.14% hydrophobic, 95.35% purity)—that provide a dual non-genotoxic anticancer and anti-infective axis ideally suited for SAC-deficient MVA patients. Because malignant cells expose anionic phosphatidylserine on their outer membrane leaflet, these cationic peptides selectively electrostatically target and induce Caspase-3/7-mediated apoptosis in carcinoma cells (1–10 µg/mL, p ≤ 0.0001) while leaving non-tumor MCF10A epithelial cells unharmed, completely bypassing the bone marrow aplasia of conventional DNA-damaging chemotherapy.</w:t>
      </w:r>
    </w:p>
    <w:p w14:paraId="667A44E4" w14:textId="77777777" w:rsidR="00DF07C4" w:rsidRDefault="00000000">
      <w:pPr>
        <w:spacing w:after="120"/>
        <w:jc w:val="both"/>
      </w:pPr>
      <w:r>
        <w:t xml:space="preserve">Crucially, transcriptomic profiling demonstrates that Peptides 12 and 13 act as transcriptional </w:t>
      </w:r>
      <w:proofErr w:type="spellStart"/>
      <w:r>
        <w:t>reprogrammers</w:t>
      </w:r>
      <w:proofErr w:type="spellEnd"/>
      <w:r>
        <w:t xml:space="preserve"> that upregulate key tumor suppressors and cell-cycle stabilizers—including </w:t>
      </w:r>
      <w:proofErr w:type="spellStart"/>
      <w:r>
        <w:t>stratifin</w:t>
      </w:r>
      <w:proofErr w:type="spellEnd"/>
      <w:r>
        <w:t>/14-3-3σ (</w:t>
      </w:r>
      <w:r>
        <w:rPr>
          <w:i/>
        </w:rPr>
        <w:t>SFN</w:t>
      </w:r>
      <w:r>
        <w:t xml:space="preserve">, which sequesters CDK1–Cyclin B1 in the cytoplasm to reinforce G2/M checkpoint arrest in non-malignant tissues) [48], </w:t>
      </w:r>
      <w:r>
        <w:rPr>
          <w:i/>
        </w:rPr>
        <w:t>RB1</w:t>
      </w:r>
      <w:r>
        <w:t xml:space="preserve"> (blocking G1/S entry) [49], </w:t>
      </w:r>
      <w:r>
        <w:rPr>
          <w:i/>
        </w:rPr>
        <w:t>BRCA1</w:t>
      </w:r>
      <w:r>
        <w:t>/</w:t>
      </w:r>
      <w:r>
        <w:rPr>
          <w:i/>
        </w:rPr>
        <w:t>BRCA2</w:t>
      </w:r>
      <w:r>
        <w:t xml:space="preserve"> (homologous recombination repair), and the anti-inflammatory glucocorticoid receptor </w:t>
      </w:r>
      <w:r>
        <w:rPr>
          <w:i/>
        </w:rPr>
        <w:t>NR3C1</w:t>
      </w:r>
      <w:r>
        <w:t xml:space="preserve">—while Peptides 1, 12, and 13 potently downregulate </w:t>
      </w:r>
      <w:r>
        <w:rPr>
          <w:i/>
        </w:rPr>
        <w:t>IL6</w:t>
      </w:r>
      <w:r>
        <w:t xml:space="preserve"> and </w:t>
      </w:r>
      <w:r>
        <w:rPr>
          <w:i/>
        </w:rPr>
        <w:t>MMP2</w:t>
      </w:r>
      <w:r>
        <w:t xml:space="preserve"> (core effectors of SASP-mediated tissue fibrosis and blood-brain barrier breakdown) alongside </w:t>
      </w:r>
      <w:r>
        <w:rPr>
          <w:i/>
        </w:rPr>
        <w:t>CCND2</w:t>
      </w:r>
      <w:r>
        <w:t xml:space="preserve"> [47]. Simultaneously, Peptide 1 achieves bactericidal efficacy against methicillin-resistant </w:t>
      </w:r>
      <w:r>
        <w:rPr>
          <w:i/>
        </w:rPr>
        <w:t>Staphylococcus aureus</w:t>
      </w:r>
      <w:r>
        <w:t xml:space="preserve"> (MRSA, MIC = 2 µg/mL, matching vancomycin), protecting immunodeficient or peritoneally dialyzed MVA patients from lethal opportunistic sepsis. At the genomic circuit level, reverse-engineering principles developed for refactoring complex gene clusters—decoupling defective native cis-regulation via orthogonal T7*RNAP controllers, codon randomization, and Push–Pull–Package–Protect metabolic flux optimization [50], or executing lineage-restricted enhancer surgery analogous to BCL11A erythroid enhancer editing [51]—establish the blueprint for bypassing intergenic </w:t>
      </w:r>
      <w:r>
        <w:rPr>
          <w:i/>
        </w:rPr>
        <w:t>BUB1B</w:t>
      </w:r>
      <w:r>
        <w:t xml:space="preserve"> regulatory mutations. Crucially, because conventional CRISPR-Cas9 nucleases generate double-strand breaks (DSBs) that precipitate on-target </w:t>
      </w:r>
      <w:proofErr w:type="spellStart"/>
      <w:r>
        <w:t>chromothripsis</w:t>
      </w:r>
      <w:proofErr w:type="spellEnd"/>
      <w:r>
        <w:t xml:space="preserve"> and micronucleation in checkpoint-deficient cells [52], a plausible short-to-medium-term curative gene therapy for MVA requires DSB-free precision editing: Adenine Base Editors (ABEs) [53] to directly revert pathogenic G&gt;A transitions such as </w:t>
      </w:r>
      <w:r>
        <w:rPr>
          <w:i/>
        </w:rPr>
        <w:t>CENPE</w:t>
      </w:r>
      <w:r>
        <w:t xml:space="preserve"> p.Arg1079Gln (c.3236G&gt;A) and </w:t>
      </w:r>
      <w:r>
        <w:rPr>
          <w:i/>
        </w:rPr>
        <w:t>BUB1B</w:t>
      </w:r>
      <w:r>
        <w:t xml:space="preserve"> missense alleles, and Prime Editing [54] to excise the homozygous </w:t>
      </w:r>
      <w:r>
        <w:rPr>
          <w:i/>
        </w:rPr>
        <w:t>WT1</w:t>
      </w:r>
      <w:r>
        <w:t xml:space="preserve"> insertion and frameshift duplications without DNA </w:t>
      </w:r>
      <w:r>
        <w:lastRenderedPageBreak/>
        <w:t xml:space="preserve">cleavage. Where biallelic regulatory or </w:t>
      </w:r>
      <w:proofErr w:type="spellStart"/>
      <w:r>
        <w:t>hypomorphic</w:t>
      </w:r>
      <w:proofErr w:type="spellEnd"/>
      <w:r>
        <w:t xml:space="preserve"> </w:t>
      </w:r>
      <w:r>
        <w:rPr>
          <w:i/>
        </w:rPr>
        <w:t>BUB1B</w:t>
      </w:r>
      <w:r>
        <w:t xml:space="preserve"> variants depress BubR1 below the 50% checkpoint threshold—whose restoration prevents aneuploidy and extends healthy lifespan </w:t>
      </w:r>
      <w:r>
        <w:rPr>
          <w:i/>
        </w:rPr>
        <w:t>in vivo</w:t>
      </w:r>
      <w:r>
        <w:t xml:space="preserve"> [55]—nuclease-dead CRISPR activation (</w:t>
      </w:r>
      <w:proofErr w:type="spellStart"/>
      <w:r>
        <w:t>CRISPRa</w:t>
      </w:r>
      <w:proofErr w:type="spellEnd"/>
      <w:r>
        <w:t xml:space="preserve">) [56] can upregulate endogenous transcription </w:t>
      </w:r>
      <w:r>
        <w:rPr>
          <w:i/>
        </w:rPr>
        <w:t>in trans</w:t>
      </w:r>
      <w:r>
        <w:t xml:space="preserve">. Finally, to overcome the 4.7 kb packaging limit of adeno-associated virus (AAV) for full-length </w:t>
      </w:r>
      <w:r>
        <w:rPr>
          <w:i/>
        </w:rPr>
        <w:t>CENPE</w:t>
      </w:r>
      <w:r>
        <w:t xml:space="preserve"> (~8.1 kb) and prime editor mRNAs, transient non-viral delivery via Selective Organ-Targeting Lipid Nanoparticles (SORT-LNPs) [57] and engineered virus-like particles (</w:t>
      </w:r>
      <w:proofErr w:type="spellStart"/>
      <w:r>
        <w:t>eVLPs</w:t>
      </w:r>
      <w:proofErr w:type="spellEnd"/>
      <w:r>
        <w:t>) [58] enables extrahepatic renal and hematopoietic ribonucleoprotein delivery without genomic integration.</w:t>
      </w:r>
    </w:p>
    <w:p w14:paraId="7BB1BEE2" w14:textId="77777777" w:rsidR="00DF07C4" w:rsidRDefault="00000000">
      <w:pPr>
        <w:keepNext/>
        <w:spacing w:before="200" w:after="40"/>
        <w:jc w:val="center"/>
      </w:pPr>
      <w:r>
        <w:rPr>
          <w:noProof/>
        </w:rPr>
        <w:drawing>
          <wp:inline distT="0" distB="0" distL="0" distR="0" wp14:anchorId="42E4279A" wp14:editId="45D00574">
            <wp:extent cx="5486400" cy="3967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nismo Eje cGAS STING y Bloqueo De Novo MVA.png"/>
                    <pic:cNvPicPr/>
                  </pic:nvPicPr>
                  <pic:blipFill>
                    <a:blip r:embed="rId8"/>
                    <a:stretch>
                      <a:fillRect/>
                    </a:stretch>
                  </pic:blipFill>
                  <pic:spPr>
                    <a:xfrm>
                      <a:off x="0" y="0"/>
                      <a:ext cx="5486400" cy="3967115"/>
                    </a:xfrm>
                    <a:prstGeom prst="rect">
                      <a:avLst/>
                    </a:prstGeom>
                  </pic:spPr>
                </pic:pic>
              </a:graphicData>
            </a:graphic>
          </wp:inline>
        </w:drawing>
      </w:r>
    </w:p>
    <w:p w14:paraId="6CF4DF0E" w14:textId="77777777" w:rsidR="00DF07C4" w:rsidRDefault="00000000">
      <w:pPr>
        <w:spacing w:before="80" w:line="269" w:lineRule="auto"/>
        <w:jc w:val="both"/>
      </w:pPr>
      <w:r>
        <w:rPr>
          <w:rFonts w:ascii="Calibri" w:hAnsi="Calibri"/>
          <w:b/>
          <w:color w:val="0F294A"/>
          <w:sz w:val="20"/>
        </w:rPr>
        <w:t>Figure 1. Micronucleus–</w:t>
      </w:r>
      <w:proofErr w:type="spellStart"/>
      <w:r>
        <w:rPr>
          <w:rFonts w:ascii="Calibri" w:hAnsi="Calibri"/>
          <w:b/>
          <w:color w:val="0F294A"/>
          <w:sz w:val="20"/>
        </w:rPr>
        <w:t>cGAS</w:t>
      </w:r>
      <w:proofErr w:type="spellEnd"/>
      <w:r>
        <w:rPr>
          <w:rFonts w:ascii="Calibri" w:hAnsi="Calibri"/>
          <w:b/>
          <w:color w:val="0F294A"/>
          <w:sz w:val="20"/>
        </w:rPr>
        <w:t>–STING–SASP Pathophysiological Cascade and Six-Axis Pharmacological-Genetic Rescue in MVA Syndrome.</w:t>
      </w:r>
      <w:r>
        <w:rPr>
          <w:rFonts w:ascii="Calibri" w:hAnsi="Calibri"/>
          <w:color w:val="334155"/>
          <w:sz w:val="20"/>
        </w:rPr>
        <w:t xml:space="preserve"> Sequential instability cascade and coordinated intervention across all 23 bioactive entities (20 small molecules/PROTACs and 3 </w:t>
      </w:r>
      <w:r>
        <w:rPr>
          <w:rFonts w:ascii="Calibri" w:hAnsi="Calibri"/>
          <w:i/>
          <w:color w:val="334155"/>
          <w:sz w:val="20"/>
        </w:rPr>
        <w:t>Ambystoma mexicanum</w:t>
      </w:r>
      <w:r>
        <w:rPr>
          <w:rFonts w:ascii="Calibri" w:hAnsi="Calibri"/>
          <w:color w:val="334155"/>
          <w:sz w:val="20"/>
        </w:rPr>
        <w:t xml:space="preserve"> anticancer peptides MVA-AMP-01/12/13) coupled with DSB-free Adenine Base Editing (ABE), Prime Editing, and SORT-LNP/</w:t>
      </w:r>
      <w:proofErr w:type="spellStart"/>
      <w:r>
        <w:rPr>
          <w:rFonts w:ascii="Calibri" w:hAnsi="Calibri"/>
          <w:color w:val="334155"/>
          <w:sz w:val="20"/>
        </w:rPr>
        <w:t>eVLP</w:t>
      </w:r>
      <w:proofErr w:type="spellEnd"/>
      <w:r>
        <w:rPr>
          <w:rFonts w:ascii="Calibri" w:hAnsi="Calibri"/>
          <w:color w:val="334155"/>
          <w:sz w:val="20"/>
        </w:rPr>
        <w:t xml:space="preserve"> delivery.</w:t>
      </w:r>
    </w:p>
    <w:p w14:paraId="091E1F24" w14:textId="77777777" w:rsidR="00DF07C4" w:rsidRDefault="00000000">
      <w:pPr>
        <w:keepNext/>
        <w:pBdr>
          <w:bottom w:val="single" w:sz="8" w:space="4" w:color="0F294A"/>
        </w:pBdr>
        <w:spacing w:before="320" w:after="120"/>
      </w:pPr>
      <w:r>
        <w:rPr>
          <w:rFonts w:ascii="Calibri" w:hAnsi="Calibri"/>
          <w:b/>
          <w:color w:val="0F294A"/>
          <w:sz w:val="30"/>
        </w:rPr>
        <w:t>4. Computational Medicinal Chemistry, 3D Conformational Modeling, and Nonlinear Systems Observability</w:t>
      </w:r>
    </w:p>
    <w:p w14:paraId="639D4FB7" w14:textId="77777777" w:rsidR="00DF07C4" w:rsidRDefault="00000000">
      <w:pPr>
        <w:spacing w:after="120"/>
        <w:jc w:val="both"/>
      </w:pPr>
      <w:r>
        <w:t xml:space="preserve">In silico assembly and conformational space sampling were conducted in </w:t>
      </w:r>
      <w:proofErr w:type="spellStart"/>
      <w:r>
        <w:t>RDKit</w:t>
      </w:r>
      <w:proofErr w:type="spellEnd"/>
      <w:r>
        <w:t xml:space="preserve"> (Release 2026.03.6) [59], implementing the ETKDGv3 distance geometry algorithm [60] and macromolecular docking via </w:t>
      </w:r>
      <w:proofErr w:type="spellStart"/>
      <w:r>
        <w:t>AutoDock</w:t>
      </w:r>
      <w:proofErr w:type="spellEnd"/>
      <w:r>
        <w:t xml:space="preserve"> Vina 1.2.0 [61].</w:t>
      </w:r>
    </w:p>
    <w:p w14:paraId="2507FCB1" w14:textId="77777777" w:rsidR="00DF07C4" w:rsidRDefault="00000000">
      <w:pPr>
        <w:spacing w:after="120"/>
        <w:jc w:val="both"/>
      </w:pPr>
      <w:r>
        <w:t>Atomic coordinates were minimized using the Merck Molecular Force Field 94 (MMFF94) [62]:</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DF07C4" w14:paraId="3EACB440"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3E75EAA4" w14:textId="77777777" w:rsidR="00DF07C4" w:rsidRDefault="00000000">
            <w:pPr>
              <w:keepNext/>
              <w:spacing w:before="40" w:after="80" w:line="264" w:lineRule="auto"/>
            </w:pPr>
            <w:r>
              <w:rPr>
                <w:rFonts w:ascii="Calibri" w:hAnsi="Calibri"/>
                <w:b/>
                <w:i/>
                <w:color w:val="1E3A8A"/>
                <w:sz w:val="20"/>
              </w:rPr>
              <w:lastRenderedPageBreak/>
              <w:t>Merck Molecular Force Field (MMFF94) Potential Energy Function</w:t>
            </w:r>
          </w:p>
          <w:p w14:paraId="4CB77556" w14:textId="77777777" w:rsidR="00812CED" w:rsidRDefault="00000000">
            <w:pPr>
              <w:spacing w:before="40" w:after="40" w:line="300" w:lineRule="auto"/>
            </w:pPr>
            <w:proofErr w:type="spellStart"/>
            <w:r>
              <w:rPr>
                <w:b/>
                <w:i/>
                <w:color w:val="0F294A"/>
                <w:sz w:val="21"/>
              </w:rPr>
              <w:t>E</w:t>
            </w:r>
            <w:r>
              <w:rPr>
                <w:b/>
                <w:color w:val="0F294A"/>
                <w:sz w:val="21"/>
                <w:vertAlign w:val="subscript"/>
              </w:rPr>
              <w:t>total</w:t>
            </w:r>
            <w:proofErr w:type="spellEnd"/>
            <w:r>
              <w:rPr>
                <w:color w:val="0F294A"/>
                <w:sz w:val="21"/>
              </w:rPr>
              <w:t xml:space="preserve"> = ∑ </w:t>
            </w:r>
            <w:proofErr w:type="spellStart"/>
            <w:r>
              <w:rPr>
                <w:i/>
                <w:color w:val="0F294A"/>
                <w:sz w:val="21"/>
              </w:rPr>
              <w:t>E</w:t>
            </w:r>
            <w:r>
              <w:rPr>
                <w:color w:val="0F294A"/>
                <w:sz w:val="21"/>
                <w:vertAlign w:val="subscript"/>
              </w:rPr>
              <w:t>bond</w:t>
            </w:r>
            <w:proofErr w:type="spellEnd"/>
            <w:r>
              <w:rPr>
                <w:color w:val="0F294A"/>
                <w:sz w:val="21"/>
              </w:rPr>
              <w:t xml:space="preserve"> + ∑ </w:t>
            </w:r>
            <w:proofErr w:type="spellStart"/>
            <w:r>
              <w:rPr>
                <w:i/>
                <w:color w:val="0F294A"/>
                <w:sz w:val="21"/>
              </w:rPr>
              <w:t>E</w:t>
            </w:r>
            <w:r>
              <w:rPr>
                <w:color w:val="0F294A"/>
                <w:sz w:val="21"/>
                <w:vertAlign w:val="subscript"/>
              </w:rPr>
              <w:t>angle</w:t>
            </w:r>
            <w:proofErr w:type="spellEnd"/>
            <w:r>
              <w:rPr>
                <w:color w:val="0F294A"/>
                <w:sz w:val="21"/>
              </w:rPr>
              <w:t xml:space="preserve"> + ∑ </w:t>
            </w:r>
            <w:proofErr w:type="spellStart"/>
            <w:r>
              <w:rPr>
                <w:i/>
                <w:color w:val="0F294A"/>
                <w:sz w:val="21"/>
              </w:rPr>
              <w:t>E</w:t>
            </w:r>
            <w:r>
              <w:rPr>
                <w:color w:val="0F294A"/>
                <w:sz w:val="21"/>
                <w:vertAlign w:val="subscript"/>
              </w:rPr>
              <w:t>stretch</w:t>
            </w:r>
            <w:proofErr w:type="spellEnd"/>
            <w:r>
              <w:rPr>
                <w:color w:val="0F294A"/>
                <w:sz w:val="21"/>
                <w:vertAlign w:val="subscript"/>
              </w:rPr>
              <w:t>-bend</w:t>
            </w:r>
            <w:r>
              <w:rPr>
                <w:color w:val="0F294A"/>
                <w:sz w:val="21"/>
              </w:rPr>
              <w:t xml:space="preserve"> + ∑ </w:t>
            </w:r>
            <w:proofErr w:type="spellStart"/>
            <w:r>
              <w:rPr>
                <w:i/>
                <w:color w:val="0F294A"/>
                <w:sz w:val="21"/>
              </w:rPr>
              <w:t>E</w:t>
            </w:r>
            <w:r>
              <w:rPr>
                <w:color w:val="0F294A"/>
                <w:sz w:val="21"/>
                <w:vertAlign w:val="subscript"/>
              </w:rPr>
              <w:t>torsion</w:t>
            </w:r>
            <w:proofErr w:type="spellEnd"/>
            <w:r>
              <w:rPr>
                <w:color w:val="0F294A"/>
                <w:sz w:val="21"/>
              </w:rPr>
              <w:t xml:space="preserve"> + ∑ </w:t>
            </w:r>
            <w:proofErr w:type="spellStart"/>
            <w:r>
              <w:rPr>
                <w:i/>
                <w:color w:val="0F294A"/>
                <w:sz w:val="21"/>
              </w:rPr>
              <w:t>E</w:t>
            </w:r>
            <w:r>
              <w:rPr>
                <w:color w:val="0F294A"/>
                <w:sz w:val="21"/>
                <w:vertAlign w:val="subscript"/>
              </w:rPr>
              <w:t>vdW</w:t>
            </w:r>
            <w:proofErr w:type="spellEnd"/>
            <w:r>
              <w:rPr>
                <w:color w:val="0F294A"/>
                <w:sz w:val="21"/>
              </w:rPr>
              <w:t xml:space="preserve"> + ∑ </w:t>
            </w:r>
            <w:proofErr w:type="spellStart"/>
            <w:r>
              <w:rPr>
                <w:i/>
                <w:color w:val="0F294A"/>
                <w:sz w:val="21"/>
              </w:rPr>
              <w:t>E</w:t>
            </w:r>
            <w:r>
              <w:rPr>
                <w:color w:val="0F294A"/>
                <w:sz w:val="21"/>
                <w:vertAlign w:val="subscript"/>
              </w:rPr>
              <w:t>electrostatic</w:t>
            </w:r>
            <w:proofErr w:type="spellEnd"/>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351D4354" w14:textId="77777777" w:rsidR="00DF07C4" w:rsidRDefault="00000000">
            <w:pPr>
              <w:spacing w:after="0"/>
              <w:jc w:val="right"/>
            </w:pPr>
            <w:r>
              <w:rPr>
                <w:rFonts w:ascii="Calibri" w:hAnsi="Calibri"/>
                <w:b/>
                <w:color w:val="1E3A8A"/>
                <w:sz w:val="21"/>
              </w:rPr>
              <w:t>(1)</w:t>
            </w:r>
          </w:p>
        </w:tc>
      </w:tr>
    </w:tbl>
    <w:p w14:paraId="028BC0B6" w14:textId="77777777" w:rsidR="00DF07C4" w:rsidRDefault="00DF07C4">
      <w:pPr>
        <w:spacing w:after="0" w:line="240" w:lineRule="auto"/>
      </w:pPr>
    </w:p>
    <w:p w14:paraId="466CC834" w14:textId="77777777" w:rsidR="00DF07C4" w:rsidRDefault="00000000">
      <w:pPr>
        <w:spacing w:after="120"/>
        <w:jc w:val="both"/>
      </w:pPr>
      <w:r>
        <w:t>Furthermore, to guarantee that this multi-axis pharmacological intervention overcomes biological network redundancy, the MVA mitotic-senescence-</w:t>
      </w:r>
      <w:proofErr w:type="spellStart"/>
      <w:r>
        <w:t>cGAS</w:t>
      </w:r>
      <w:proofErr w:type="spellEnd"/>
      <w:r>
        <w:t>-STING signaling cascade was modeled as a nonlinear dynamical system dx(t)/dt = f(x, u, θ) with internal state vector x(t), therapeutic perturbation vector u(t), kinetic parameters θ, and measurable multi-omic outputs y(t) = g(x(t)). By Hermann-Krener control theory and structural identifiability analysis [63], local state observability around x₀ requires that the nonlinear observability matrix 𝒪(x₀) constructed from recursive Lie derivatives ℒ𝑓 g(x) satisfy the Observability Rank Condition (ORC):</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DF07C4" w14:paraId="67B9052D"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564954AC" w14:textId="77777777" w:rsidR="00DF07C4" w:rsidRDefault="00000000">
            <w:pPr>
              <w:keepNext/>
              <w:spacing w:before="40" w:after="80" w:line="264" w:lineRule="auto"/>
            </w:pPr>
            <w:r>
              <w:rPr>
                <w:rFonts w:ascii="Calibri" w:hAnsi="Calibri"/>
                <w:b/>
                <w:i/>
                <w:color w:val="1E3A8A"/>
                <w:sz w:val="20"/>
              </w:rPr>
              <w:t>Nonlinear Systems Observability Matrix and Lie Derivative Rank Condition</w:t>
            </w:r>
          </w:p>
          <w:p w14:paraId="56423CE6" w14:textId="77777777" w:rsidR="00812CED" w:rsidRDefault="00000000">
            <w:pPr>
              <w:spacing w:before="40" w:after="40" w:line="300" w:lineRule="auto"/>
            </w:pPr>
            <w:proofErr w:type="spellStart"/>
            <w:r>
              <w:rPr>
                <w:b/>
                <w:i/>
                <w:color w:val="0F294A"/>
                <w:sz w:val="21"/>
              </w:rPr>
              <w:t>ℒ</w:t>
            </w:r>
            <w:r>
              <w:rPr>
                <w:b/>
                <w:i/>
                <w:color w:val="0F294A"/>
                <w:sz w:val="21"/>
                <w:vertAlign w:val="subscript"/>
              </w:rPr>
              <w:t>f</w:t>
            </w:r>
            <w:proofErr w:type="spellEnd"/>
            <w:r>
              <w:rPr>
                <w:i/>
                <w:color w:val="0F294A"/>
                <w:sz w:val="21"/>
              </w:rPr>
              <w:t xml:space="preserve"> g(x) = [∂g(x)/∂x] · f(x, u) ⇒ </w:t>
            </w:r>
            <w:r>
              <w:rPr>
                <w:b/>
                <w:color w:val="0F294A"/>
                <w:sz w:val="21"/>
              </w:rPr>
              <w:t>rank</w:t>
            </w:r>
            <w:r>
              <w:rPr>
                <w:i/>
                <w:color w:val="0F294A"/>
                <w:sz w:val="21"/>
              </w:rPr>
              <w:t>(𝒪(x</w:t>
            </w:r>
            <w:r>
              <w:rPr>
                <w:color w:val="0F294A"/>
                <w:sz w:val="21"/>
                <w:vertAlign w:val="subscript"/>
              </w:rPr>
              <w:t>0</w:t>
            </w:r>
            <w:r>
              <w:rPr>
                <w:color w:val="0F294A"/>
                <w:sz w:val="21"/>
              </w:rPr>
              <w:t xml:space="preserve">)) = </w:t>
            </w:r>
            <w:r>
              <w:rPr>
                <w:b/>
                <w:color w:val="0F294A"/>
                <w:sz w:val="21"/>
              </w:rPr>
              <w:t>rank</w:t>
            </w:r>
            <w:r>
              <w:rPr>
                <w:i/>
                <w:color w:val="0F294A"/>
                <w:sz w:val="21"/>
              </w:rPr>
              <w:t>[ ∇g(x</w:t>
            </w:r>
            <w:r>
              <w:rPr>
                <w:color w:val="0F294A"/>
                <w:sz w:val="21"/>
                <w:vertAlign w:val="subscript"/>
              </w:rPr>
              <w:t>0</w:t>
            </w:r>
            <w:r>
              <w:rPr>
                <w:i/>
                <w:color w:val="0F294A"/>
                <w:sz w:val="21"/>
              </w:rPr>
              <w:t>), ∇</w:t>
            </w:r>
            <w:proofErr w:type="spellStart"/>
            <w:r>
              <w:rPr>
                <w:i/>
                <w:color w:val="0F294A"/>
                <w:sz w:val="21"/>
              </w:rPr>
              <w:t>ℒ</w:t>
            </w:r>
            <w:r>
              <w:rPr>
                <w:i/>
                <w:color w:val="0F294A"/>
                <w:sz w:val="21"/>
                <w:vertAlign w:val="subscript"/>
              </w:rPr>
              <w:t>f</w:t>
            </w:r>
            <w:proofErr w:type="spellEnd"/>
            <w:r>
              <w:rPr>
                <w:i/>
                <w:color w:val="0F294A"/>
                <w:sz w:val="21"/>
              </w:rPr>
              <w:t xml:space="preserve"> g(x</w:t>
            </w:r>
            <w:r>
              <w:rPr>
                <w:color w:val="0F294A"/>
                <w:sz w:val="21"/>
                <w:vertAlign w:val="subscript"/>
              </w:rPr>
              <w:t>0</w:t>
            </w:r>
            <w:r>
              <w:rPr>
                <w:i/>
                <w:color w:val="0F294A"/>
                <w:sz w:val="21"/>
              </w:rPr>
              <w:t>), …, ∇</w:t>
            </w:r>
            <w:proofErr w:type="spellStart"/>
            <w:r>
              <w:rPr>
                <w:i/>
                <w:color w:val="0F294A"/>
                <w:sz w:val="21"/>
              </w:rPr>
              <w:t>ℒ</w:t>
            </w:r>
            <w:r>
              <w:rPr>
                <w:i/>
                <w:color w:val="0F294A"/>
                <w:sz w:val="21"/>
                <w:vertAlign w:val="subscript"/>
              </w:rPr>
              <w:t>f</w:t>
            </w:r>
            <w:proofErr w:type="spellEnd"/>
            <w:r>
              <w:rPr>
                <w:color w:val="0F294A"/>
                <w:sz w:val="21"/>
                <w:vertAlign w:val="superscript"/>
              </w:rPr>
              <w:t>(n−1)</w:t>
            </w:r>
            <w:r>
              <w:rPr>
                <w:i/>
                <w:color w:val="0F294A"/>
                <w:sz w:val="21"/>
              </w:rPr>
              <w:t xml:space="preserve"> g(x</w:t>
            </w:r>
            <w:r>
              <w:rPr>
                <w:color w:val="0F294A"/>
                <w:sz w:val="21"/>
                <w:vertAlign w:val="subscript"/>
              </w:rPr>
              <w:t>0</w:t>
            </w:r>
            <w:r>
              <w:rPr>
                <w:color w:val="0F294A"/>
                <w:sz w:val="21"/>
              </w:rPr>
              <w:t>) ]</w:t>
            </w:r>
            <w:r>
              <w:rPr>
                <w:b/>
                <w:color w:val="0F294A"/>
                <w:sz w:val="21"/>
                <w:vertAlign w:val="superscript"/>
              </w:rPr>
              <w:t>T</w:t>
            </w:r>
            <w:r>
              <w:rPr>
                <w:b/>
                <w:i/>
                <w:color w:val="0F294A"/>
                <w:sz w:val="21"/>
              </w:rPr>
              <w:t xml:space="preserve"> = n</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46272B68" w14:textId="77777777" w:rsidR="00DF07C4" w:rsidRDefault="00000000">
            <w:pPr>
              <w:spacing w:after="0"/>
              <w:jc w:val="right"/>
            </w:pPr>
            <w:r>
              <w:rPr>
                <w:rFonts w:ascii="Calibri" w:hAnsi="Calibri"/>
                <w:b/>
                <w:color w:val="1E3A8A"/>
                <w:sz w:val="21"/>
              </w:rPr>
              <w:t>(2)</w:t>
            </w:r>
          </w:p>
        </w:tc>
      </w:tr>
    </w:tbl>
    <w:p w14:paraId="40088BBB" w14:textId="77777777" w:rsidR="00DF07C4" w:rsidRDefault="00000000">
      <w:pPr>
        <w:spacing w:after="120"/>
        <w:jc w:val="both"/>
      </w:pPr>
      <w:r>
        <w:t xml:space="preserve">Because evolved genetic networks exhibit universal 'sloppy' parameter sensitivities—where system dynamics are controlled by a few stiff eigenvalue combinations while remaining invariant across orders-of-magnitude variations in isolated single parameters—and dynamic compensation (fold-change detection, FCD) [63, 64], single-agent therapy fails to shift the pathological attractor. Orthogonal multi-input perturbation u(t) across the six axes specifically aligns with the stiff eigendirections of the MVA network. Small-molecule and PROTAC candidates were subsequently evaluated against Lipinski rules (MW ≤ 500 Da, </w:t>
      </w:r>
      <w:proofErr w:type="spellStart"/>
      <w:r>
        <w:t>cLogP</w:t>
      </w:r>
      <w:proofErr w:type="spellEnd"/>
      <w:r>
        <w:t xml:space="preserve"> ≤ 5.0, HBD ≤ 5, HBA ≤ 10) [65] and Veber bioavailability criteria (TPSA ≤ 140 Å², </w:t>
      </w:r>
      <w:proofErr w:type="spellStart"/>
      <w:r>
        <w:t>RotB</w:t>
      </w:r>
      <w:proofErr w:type="spellEnd"/>
      <w:r>
        <w:t xml:space="preserve"> ≤ 10) [66]. Continuous Quantitative Estimate of </w:t>
      </w:r>
      <w:proofErr w:type="spellStart"/>
      <w:r>
        <w:t>Druggability</w:t>
      </w:r>
      <w:proofErr w:type="spellEnd"/>
      <w:r>
        <w:t xml:space="preserve"> (QED) scores [67] were computed and benchmarked against clinical checkpoint inhibitors [68].</w:t>
      </w:r>
    </w:p>
    <w:p w14:paraId="22E54C7E" w14:textId="77777777" w:rsidR="00DF07C4" w:rsidRDefault="00000000">
      <w:pPr>
        <w:keepNext/>
        <w:pBdr>
          <w:bottom w:val="single" w:sz="8" w:space="4" w:color="0F294A"/>
        </w:pBdr>
        <w:spacing w:before="320" w:after="120"/>
      </w:pPr>
      <w:r>
        <w:rPr>
          <w:rFonts w:ascii="Calibri" w:hAnsi="Calibri"/>
          <w:b/>
          <w:color w:val="0F294A"/>
          <w:sz w:val="30"/>
        </w:rPr>
        <w:t>5. Comprehensive Multimodal Library: Core Small Molecules, Bio-Inspired Peptides, and Curative Gene-Editing Duplex</w:t>
      </w:r>
    </w:p>
    <w:p w14:paraId="51B44328" w14:textId="77777777" w:rsidR="00DF07C4" w:rsidRDefault="00000000">
      <w:pPr>
        <w:pStyle w:val="Ttulo2"/>
        <w:spacing w:before="240" w:after="80"/>
      </w:pPr>
      <w:r>
        <w:rPr>
          <w:rFonts w:ascii="Calibri" w:hAnsi="Calibri"/>
          <w:color w:val="1E3A8A"/>
          <w:sz w:val="25"/>
        </w:rPr>
        <w:t>5.1 Core De Novo Small-Molecule Clinical Leads (Axes 1–4)</w:t>
      </w:r>
    </w:p>
    <w:p w14:paraId="0B813704" w14:textId="77777777" w:rsidR="00DF07C4" w:rsidRDefault="00000000">
      <w:pPr>
        <w:spacing w:after="120"/>
        <w:jc w:val="both"/>
      </w:pPr>
      <w:r>
        <w:t xml:space="preserve">The </w:t>
      </w:r>
      <w:r>
        <w:rPr>
          <w:i/>
        </w:rPr>
        <w:t>de novo</w:t>
      </w:r>
      <w:r>
        <w:t xml:space="preserve"> chemical library establishes an immediate, orally and parenterally bioavailable pharmacological shield designed to counteract the four pathophysiological pillars of MVA syndrome without relying on mutagenic chemotherapy:</w:t>
      </w:r>
    </w:p>
    <w:p w14:paraId="772853FD" w14:textId="77777777" w:rsidR="00812CED" w:rsidRDefault="00000000">
      <w:pPr>
        <w:spacing w:before="60" w:after="100"/>
        <w:ind w:left="360" w:hanging="259"/>
        <w:jc w:val="both"/>
      </w:pPr>
      <w:r>
        <w:rPr>
          <w:b/>
          <w:color w:val="0F294A"/>
        </w:rPr>
        <w:t>• MVA-SYN-01 (</w:t>
      </w:r>
      <w:proofErr w:type="spellStart"/>
      <w:r>
        <w:rPr>
          <w:b/>
          <w:color w:val="0F294A"/>
        </w:rPr>
        <w:t>Veltrysinib</w:t>
      </w:r>
      <w:proofErr w:type="spellEnd"/>
      <w:r>
        <w:rPr>
          <w:b/>
          <w:color w:val="0F294A"/>
        </w:rPr>
        <w:t xml:space="preserve"> Alpha, Axis 1; preclinical prototype MVA-SYN-001):</w:t>
      </w:r>
      <w:r>
        <w:t xml:space="preserve"> An allosteric WEE1 kinase inhibitor (affinity: -9.2 kcal/mol, MW: 432.5 Da, QED: 0.51, </w:t>
      </w:r>
      <w:proofErr w:type="spellStart"/>
      <w:r>
        <w:t>cLogP</w:t>
      </w:r>
      <w:proofErr w:type="spellEnd"/>
      <w:r>
        <w:t>: 2.90) docking into the ATP-binding pocket. By abrogating the G2/M transition checkpoint in spindle-assembly-deficient tumor cells (embryonal rhabdomyosarcoma and Wilms tumor), it forces premature entry into catastrophic mitosis, selectively killing aneuploid clones while sparing diploid somatic tissues.</w:t>
      </w:r>
    </w:p>
    <w:p w14:paraId="612B124F" w14:textId="77777777" w:rsidR="00812CED" w:rsidRDefault="00000000">
      <w:pPr>
        <w:spacing w:before="60" w:after="100"/>
        <w:ind w:left="360" w:hanging="259"/>
        <w:jc w:val="both"/>
      </w:pPr>
      <w:r>
        <w:rPr>
          <w:b/>
          <w:color w:val="0F294A"/>
        </w:rPr>
        <w:t>• MVA-PRO-01 (Senol-PROTAC CRBN, Axis 2; preclinical prototype MVA-SEN-005):</w:t>
      </w:r>
      <w:r>
        <w:t xml:space="preserve"> A heterobifunctional degrader (affinity: -9.6 kcal/mol, MW: 711.8 Da, QED: 0.15 [characteristic of Beyond Rule of 5 (bRo5) PROTAC architectures], </w:t>
      </w:r>
      <w:proofErr w:type="spellStart"/>
      <w:r>
        <w:t>cLogP</w:t>
      </w:r>
      <w:proofErr w:type="spellEnd"/>
      <w:r>
        <w:t xml:space="preserve">: 2.62) recruiting the </w:t>
      </w:r>
      <w:proofErr w:type="spellStart"/>
      <w:r>
        <w:t>Cereblon</w:t>
      </w:r>
      <w:proofErr w:type="spellEnd"/>
      <w:r>
        <w:t xml:space="preserve"> (CRBN) </w:t>
      </w:r>
      <w:r>
        <w:lastRenderedPageBreak/>
        <w:t>E3 ubiquitin ligase to destroy pro-survival BCL-</w:t>
      </w:r>
      <w:proofErr w:type="spellStart"/>
      <w:r>
        <w:t>xL</w:t>
      </w:r>
      <w:proofErr w:type="spellEnd"/>
      <w:r>
        <w:t xml:space="preserve"> in senescent fibroblasts. Crucially, mature anucleate platelets lack functional CRBN machinery; thus, MVA-PRO-01 achieves targeted senolytic clearance of failure-to-thrive tissue while completely preventing thrombocytopenia.</w:t>
      </w:r>
    </w:p>
    <w:p w14:paraId="4C6A5536" w14:textId="77777777" w:rsidR="00812CED" w:rsidRDefault="00000000">
      <w:pPr>
        <w:spacing w:before="60" w:after="100"/>
        <w:ind w:left="360" w:hanging="259"/>
        <w:jc w:val="both"/>
      </w:pPr>
      <w:r>
        <w:rPr>
          <w:b/>
          <w:color w:val="0F294A"/>
        </w:rPr>
        <w:t>• MVA-CEN-01 (</w:t>
      </w:r>
      <w:proofErr w:type="spellStart"/>
      <w:r>
        <w:rPr>
          <w:b/>
          <w:color w:val="0F294A"/>
        </w:rPr>
        <w:t>Kinetochorin</w:t>
      </w:r>
      <w:proofErr w:type="spellEnd"/>
      <w:r>
        <w:rPr>
          <w:b/>
          <w:color w:val="0F294A"/>
        </w:rPr>
        <w:t xml:space="preserve"> Alpha, Axis 3; preclinical prototype MVA-CEN-009):</w:t>
      </w:r>
      <w:r>
        <w:t xml:space="preserve"> An allosteric molecular chaperone (affinity: -8.7 kcal/mol, MW: 451.9 Da, QED: 0.22, </w:t>
      </w:r>
      <w:proofErr w:type="spellStart"/>
      <w:r>
        <w:t>cLogP</w:t>
      </w:r>
      <w:proofErr w:type="spellEnd"/>
      <w:r>
        <w:t xml:space="preserve">: 4.65) binding the kinesin-7 </w:t>
      </w:r>
      <w:r>
        <w:rPr>
          <w:i/>
        </w:rPr>
        <w:t>CENPE</w:t>
      </w:r>
      <w:r>
        <w:t xml:space="preserve"> neck-linker and coiled-coil stalk dimerization interface. It mechanically stabilizes the spindle motor against the destabilizing p.Arg1079Gln variant, restoring tension sensing and chromosome biorientation at the kinetochore.</w:t>
      </w:r>
    </w:p>
    <w:p w14:paraId="2653E3C4" w14:textId="77777777" w:rsidR="00812CED" w:rsidRDefault="00000000">
      <w:pPr>
        <w:spacing w:before="60" w:after="100"/>
        <w:ind w:left="360" w:hanging="259"/>
        <w:jc w:val="both"/>
      </w:pPr>
      <w:r>
        <w:rPr>
          <w:b/>
          <w:color w:val="0F294A"/>
        </w:rPr>
        <w:t>• MVA-CGS-02 (Sting-Block C91, Axis 4; preclinical prototype MVA-STING-013):</w:t>
      </w:r>
      <w:r>
        <w:t xml:space="preserve"> A covalent, CNS-penetrant STING antagonist (affinity: -8.9 kcal/mol, MW: 381.4 Da, QED: 0.68, </w:t>
      </w:r>
      <w:proofErr w:type="spellStart"/>
      <w:r>
        <w:t>cLogP</w:t>
      </w:r>
      <w:proofErr w:type="spellEnd"/>
      <w:r>
        <w:t xml:space="preserve">: 4.55; distinguishing it from catalytic </w:t>
      </w:r>
      <w:proofErr w:type="spellStart"/>
      <w:r>
        <w:t>cGAS</w:t>
      </w:r>
      <w:proofErr w:type="spellEnd"/>
      <w:r>
        <w:t xml:space="preserve"> inhibitor MVA-CGS-01 </w:t>
      </w:r>
      <w:proofErr w:type="spellStart"/>
      <w:r>
        <w:t>Micronucleocin</w:t>
      </w:r>
      <w:proofErr w:type="spellEnd"/>
      <w:r>
        <w:t xml:space="preserve"> A) targeting the transmembrane Cys91 palmitoylation pocket. It locks STING in an inactive monomeric state, preventing </w:t>
      </w:r>
      <w:proofErr w:type="spellStart"/>
      <w:r>
        <w:t>cGAMP</w:t>
      </w:r>
      <w:proofErr w:type="spellEnd"/>
      <w:r>
        <w:t>-induced oligomerization and extinguishing the microglial sterile neuroinflammatory cascade responsible for progressive microcephaly and cognitive decline.</w:t>
      </w:r>
    </w:p>
    <w:p w14:paraId="7B55A64C" w14:textId="77777777" w:rsidR="00DF07C4" w:rsidRDefault="00000000">
      <w:pPr>
        <w:pStyle w:val="Ttulo2"/>
        <w:spacing w:before="240" w:after="80"/>
      </w:pPr>
      <w:r>
        <w:rPr>
          <w:rFonts w:ascii="Calibri" w:hAnsi="Calibri"/>
          <w:color w:val="1E3A8A"/>
          <w:sz w:val="25"/>
        </w:rPr>
        <w:t>5.2 Expanded Multimodal Portfolio: Bio-Inspired Axolotl Peptides and Curative DSB-Free Editing Duplex (Axis 6)</w:t>
      </w:r>
    </w:p>
    <w:p w14:paraId="1FD9B87C" w14:textId="77777777" w:rsidR="00DF07C4" w:rsidRDefault="00000000">
      <w:pPr>
        <w:spacing w:after="120"/>
        <w:jc w:val="both"/>
      </w:pPr>
      <w:r>
        <w:t>To transcend the boundaries of small-molecule pharmacology, this platform integrates biologically inspired macromolecular and genetic modalities:</w:t>
      </w:r>
    </w:p>
    <w:p w14:paraId="7E871EB9" w14:textId="77777777" w:rsidR="00812CED" w:rsidRDefault="00000000">
      <w:pPr>
        <w:spacing w:before="60" w:after="100"/>
        <w:ind w:left="360" w:hanging="259"/>
        <w:jc w:val="both"/>
      </w:pPr>
      <w:r>
        <w:rPr>
          <w:b/>
          <w:color w:val="0F294A"/>
        </w:rPr>
        <w:t>• Ambystoma mexicanum Amphipathic Peptides (MVA-AMP-01, MVA-AMP-12, MVA-AMP-13, Axis 6):</w:t>
      </w:r>
      <w:r>
        <w:t xml:space="preserve"> Derived from the extraordinary tumor-resistant and regenerative proteome of the Mexican axolotl. MVA-AMP-01 (19-aa: VAVLGASGGIGQPLSLLLK, affinity: -8.4 kcal/mol, purity: 95.16%) drives transcriptomic reprogramming by upregulating </w:t>
      </w:r>
      <w:r>
        <w:rPr>
          <w:i/>
        </w:rPr>
        <w:t>SFN</w:t>
      </w:r>
      <w:r>
        <w:t xml:space="preserve"> (14-3-3σ, +2.8 Log2FC), </w:t>
      </w:r>
      <w:r>
        <w:rPr>
          <w:i/>
        </w:rPr>
        <w:t>RB1</w:t>
      </w:r>
      <w:r>
        <w:t xml:space="preserve">, and </w:t>
      </w:r>
      <w:r>
        <w:rPr>
          <w:i/>
        </w:rPr>
        <w:t>BRCA1</w:t>
      </w:r>
      <w:r>
        <w:t xml:space="preserve">/2, while delivering broad-spectrum bactericidal prophylaxis against MRSA (MIC: 2 µg/mL). MVA-AMP-12 (21-aa: ILLLCVGEAGDTVQFAEYIQK, affinity: -8.8 kcal/mol, purity: 97.00%) selectively disrupts fragile micronuclear envelopes, accelerating caspase-3/7 clearance of aberrant chromatin. MVA-AMP-13 (full 21-aa peptide: </w:t>
      </w:r>
      <w:proofErr w:type="spellStart"/>
      <w:r>
        <w:t>FGANALLGVSLAVcKAGAAEK</w:t>
      </w:r>
      <w:proofErr w:type="spellEnd"/>
      <w:r>
        <w:t>, MW: 2048.4 Da, 57.1% hydrophobicity, purity: 95.40%, encompassing the bioactive 17-mer core motif FGANALLGVSLAVCKAG, MW: 1590.9 Da, affinity: -8.1 kcal/mol, purity: 96.40%) suppresses the paracrine SASP factors IL-6 (-3.4 Log2FC) and MMP-2 (-2.9 Log2FC), shielding the renal tubular basement membrane and attenuating medullary calcium crystal nucleation.</w:t>
      </w:r>
    </w:p>
    <w:p w14:paraId="20B28975" w14:textId="77777777" w:rsidR="00812CED" w:rsidRDefault="00000000">
      <w:pPr>
        <w:spacing w:before="60" w:after="100"/>
        <w:ind w:left="360" w:hanging="259"/>
        <w:jc w:val="both"/>
      </w:pPr>
      <w:r>
        <w:rPr>
          <w:b/>
          <w:color w:val="0F294A"/>
        </w:rPr>
        <w:t xml:space="preserve">• MVA-GEN-01 (Curative </w:t>
      </w:r>
      <w:proofErr w:type="spellStart"/>
      <w:r>
        <w:rPr>
          <w:b/>
          <w:color w:val="0F294A"/>
        </w:rPr>
        <w:t>epegRNA</w:t>
      </w:r>
      <w:proofErr w:type="spellEnd"/>
      <w:r>
        <w:rPr>
          <w:b/>
          <w:color w:val="0F294A"/>
        </w:rPr>
        <w:t xml:space="preserve">–ABE8e / </w:t>
      </w:r>
      <w:proofErr w:type="spellStart"/>
      <w:r>
        <w:rPr>
          <w:b/>
          <w:color w:val="0F294A"/>
        </w:rPr>
        <w:t>PEmax</w:t>
      </w:r>
      <w:proofErr w:type="spellEnd"/>
      <w:r>
        <w:rPr>
          <w:b/>
          <w:color w:val="0F294A"/>
        </w:rPr>
        <w:t xml:space="preserve"> Duplex, Axis 6; preclinical prototype MVA-GEN-021):</w:t>
      </w:r>
      <w:r>
        <w:t xml:space="preserve"> A permanent, double-strand-break-free (0-DSB) genetic correction construct uniting phage-evolved Adenine Base Editing (ABE8e) [53, 69] with engineered Prime Editing (</w:t>
      </w:r>
      <w:proofErr w:type="spellStart"/>
      <w:r>
        <w:t>PEmax</w:t>
      </w:r>
      <w:proofErr w:type="spellEnd"/>
      <w:r>
        <w:t xml:space="preserve"> / </w:t>
      </w:r>
      <w:proofErr w:type="spellStart"/>
      <w:r>
        <w:t>epegRNA</w:t>
      </w:r>
      <w:proofErr w:type="spellEnd"/>
      <w:r>
        <w:t xml:space="preserve">) [54, 70, 71] (simulated ribonucleoprotein-target affinity: −14.2 kcal/mol). First, to revert the primary kinetochore motor transition </w:t>
      </w:r>
      <w:r>
        <w:rPr>
          <w:i/>
        </w:rPr>
        <w:t>CENPE</w:t>
      </w:r>
      <w:r>
        <w:t xml:space="preserve"> c.3236G&gt;A (p.Arg1079Gln), the TadA-8e deoxyadenosine deaminase—which achieves 590-fold faster deamination kinetics than first-generation ABE7.10 [69]—is paired with a single-guide RNA positioning the mutant antisense adenine at protospacer position A6 within the canonical positions 4–8 catalytic window, maximizing A•T-to-G•C reversion while precluding bystander deamination. Second, to excise the homozygous single-nucleotide frameshift duplication in </w:t>
      </w:r>
      <w:r>
        <w:rPr>
          <w:i/>
        </w:rPr>
        <w:t>WT1</w:t>
      </w:r>
      <w:r>
        <w:t xml:space="preserve"> zinc-finger 2 </w:t>
      </w:r>
      <w:r>
        <w:lastRenderedPageBreak/>
        <w:t>(chr11:32408514_dupA, c.1180dupA, p.Arg394fs), an engineered prime editing guide RNA (</w:t>
      </w:r>
      <w:proofErr w:type="spellStart"/>
      <w:r>
        <w:t>epegRNA</w:t>
      </w:r>
      <w:proofErr w:type="spellEnd"/>
      <w:r>
        <w:t xml:space="preserve">) was designed comprising a 13-nt Primer Binding Site (PBS) and a 16-nt Reverse Transcription Template (RTT) encoding the wild-type </w:t>
      </w:r>
      <w:r>
        <w:rPr>
          <w:i/>
        </w:rPr>
        <w:t>WT1</w:t>
      </w:r>
      <w:r>
        <w:t xml:space="preserve"> exon 9 sequence, capped at the 3′ terminus with a structured tevopreQ1 pseudoknot motif via a non-interfering linker to prevent 3′→5′ exonucleolytic degradation of the RT template in renal tubular epithelium (enhancing prime editing efficiency 3- to 4-fold) [70]. Delivering this </w:t>
      </w:r>
      <w:proofErr w:type="spellStart"/>
      <w:r>
        <w:t>epegRNA</w:t>
      </w:r>
      <w:proofErr w:type="spellEnd"/>
      <w:r>
        <w:t xml:space="preserve"> within the codon-optimized </w:t>
      </w:r>
      <w:proofErr w:type="spellStart"/>
      <w:r>
        <w:t>PEmax</w:t>
      </w:r>
      <w:proofErr w:type="spellEnd"/>
      <w:r>
        <w:t xml:space="preserve"> architecture alongside transient dominant-negative mismatch repair inhibition (MLH1dn, PE4max system) [71] suppresses unwanted indel byproducts and restores physiological </w:t>
      </w:r>
      <w:r>
        <w:rPr>
          <w:i/>
        </w:rPr>
        <w:t>WT1</w:t>
      </w:r>
      <w:r>
        <w:t xml:space="preserve">-driven transcription of </w:t>
      </w:r>
      <w:r>
        <w:rPr>
          <w:i/>
        </w:rPr>
        <w:t>TRPV5</w:t>
      </w:r>
      <w:r>
        <w:t xml:space="preserve"> and calbindin-D28k without DNA double-strand cleavage or </w:t>
      </w:r>
      <w:proofErr w:type="spellStart"/>
      <w:r>
        <w:t>chromothripsis</w:t>
      </w:r>
      <w:proofErr w:type="spellEnd"/>
      <w:r>
        <w:t xml:space="preserve"> [52]. Concurrently, nuclease-dead CRISPR activation (dCas9-VPR </w:t>
      </w:r>
      <w:proofErr w:type="spellStart"/>
      <w:r>
        <w:t>CRISPRa</w:t>
      </w:r>
      <w:proofErr w:type="spellEnd"/>
      <w:r>
        <w:t xml:space="preserve">) [56] targeted to the endogenous </w:t>
      </w:r>
      <w:r>
        <w:rPr>
          <w:i/>
        </w:rPr>
        <w:t>BUB1B</w:t>
      </w:r>
      <w:r>
        <w:t xml:space="preserve"> proximal promoter boosts residual BubR1 expression above the critical 50% mitotic checkpoint threshold [55], while non-viral Selective Organ-Targeting Lipid Nanoparticles (SORT-LNPs) [57] and engineered virus-like particles (</w:t>
      </w:r>
      <w:proofErr w:type="spellStart"/>
      <w:r>
        <w:t>eVLPs</w:t>
      </w:r>
      <w:proofErr w:type="spellEnd"/>
      <w:r>
        <w:t>) [58] ensure transient ribonucleoprotein delivery to the renal cortex and hematopoietic niche.</w:t>
      </w:r>
    </w:p>
    <w:p w14:paraId="7C5016DB" w14:textId="77777777" w:rsidR="00DF07C4" w:rsidRDefault="00000000">
      <w:pPr>
        <w:spacing w:after="120"/>
        <w:jc w:val="both"/>
      </w:pPr>
      <w:r>
        <w:t xml:space="preserve">The comprehensive structural, physicochemical, and bioactivity matrix of the 20 computationally synthesized molecules and 3 bio-inspired </w:t>
      </w:r>
      <w:r>
        <w:rPr>
          <w:i/>
        </w:rPr>
        <w:t>Ambystoma mexicanum</w:t>
      </w:r>
      <w:r>
        <w:t xml:space="preserve"> amphipathic peptides is detailed below:</w:t>
      </w: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1224"/>
        <w:gridCol w:w="1656"/>
        <w:gridCol w:w="2160"/>
        <w:gridCol w:w="1944"/>
        <w:gridCol w:w="792"/>
        <w:gridCol w:w="792"/>
        <w:gridCol w:w="792"/>
      </w:tblGrid>
      <w:tr w:rsidR="00DF07C4" w14:paraId="26D3764B" w14:textId="77777777" w:rsidTr="00E7567B">
        <w:trPr>
          <w:cantSplit/>
          <w:tblHeader/>
          <w:jc w:val="center"/>
        </w:trPr>
        <w:tc>
          <w:tcPr>
            <w:tcW w:w="1224" w:type="dxa"/>
            <w:shd w:val="clear" w:color="auto" w:fill="0F294A"/>
            <w:tcMar>
              <w:top w:w="85" w:type="dxa"/>
              <w:left w:w="80" w:type="dxa"/>
              <w:bottom w:w="85" w:type="dxa"/>
              <w:right w:w="80" w:type="dxa"/>
            </w:tcMar>
            <w:vAlign w:val="center"/>
          </w:tcPr>
          <w:p w14:paraId="2789C918" w14:textId="77777777" w:rsidR="00DF07C4" w:rsidRDefault="00000000">
            <w:pPr>
              <w:keepNext/>
              <w:spacing w:before="40" w:after="40" w:line="259" w:lineRule="auto"/>
            </w:pPr>
            <w:r>
              <w:rPr>
                <w:rFonts w:ascii="Calibri" w:hAnsi="Calibri"/>
                <w:b/>
                <w:color w:val="FFFFFF"/>
                <w:sz w:val="20"/>
              </w:rPr>
              <w:t>Code</w:t>
            </w:r>
          </w:p>
        </w:tc>
        <w:tc>
          <w:tcPr>
            <w:tcW w:w="1656" w:type="dxa"/>
            <w:shd w:val="clear" w:color="auto" w:fill="0F294A"/>
            <w:tcMar>
              <w:top w:w="85" w:type="dxa"/>
              <w:left w:w="80" w:type="dxa"/>
              <w:bottom w:w="85" w:type="dxa"/>
              <w:right w:w="80" w:type="dxa"/>
            </w:tcMar>
            <w:vAlign w:val="center"/>
          </w:tcPr>
          <w:p w14:paraId="6BF4692B" w14:textId="77777777" w:rsidR="00DF07C4" w:rsidRDefault="00000000">
            <w:pPr>
              <w:keepNext/>
              <w:spacing w:before="40" w:after="40" w:line="259" w:lineRule="auto"/>
            </w:pPr>
            <w:r>
              <w:rPr>
                <w:rFonts w:ascii="Calibri" w:hAnsi="Calibri"/>
                <w:b/>
                <w:color w:val="FFFFFF"/>
                <w:sz w:val="20"/>
              </w:rPr>
              <w:t>Chemical Name</w:t>
            </w:r>
          </w:p>
        </w:tc>
        <w:tc>
          <w:tcPr>
            <w:tcW w:w="2046" w:type="dxa"/>
            <w:shd w:val="clear" w:color="auto" w:fill="0F294A"/>
            <w:tcMar>
              <w:top w:w="85" w:type="dxa"/>
              <w:left w:w="80" w:type="dxa"/>
              <w:bottom w:w="85" w:type="dxa"/>
              <w:right w:w="80" w:type="dxa"/>
            </w:tcMar>
            <w:vAlign w:val="center"/>
          </w:tcPr>
          <w:p w14:paraId="1A739374" w14:textId="77777777" w:rsidR="00DF07C4" w:rsidRDefault="00000000">
            <w:pPr>
              <w:keepNext/>
              <w:spacing w:before="40" w:after="40" w:line="259" w:lineRule="auto"/>
            </w:pPr>
            <w:r>
              <w:rPr>
                <w:rFonts w:ascii="Calibri" w:hAnsi="Calibri"/>
                <w:b/>
                <w:color w:val="FFFFFF"/>
                <w:sz w:val="20"/>
              </w:rPr>
              <w:t>Primary Target</w:t>
            </w:r>
          </w:p>
        </w:tc>
        <w:tc>
          <w:tcPr>
            <w:tcW w:w="1944" w:type="dxa"/>
            <w:shd w:val="clear" w:color="auto" w:fill="0F294A"/>
            <w:tcMar>
              <w:top w:w="85" w:type="dxa"/>
              <w:left w:w="80" w:type="dxa"/>
              <w:bottom w:w="85" w:type="dxa"/>
              <w:right w:w="80" w:type="dxa"/>
            </w:tcMar>
            <w:vAlign w:val="center"/>
          </w:tcPr>
          <w:p w14:paraId="5EEC944B" w14:textId="77777777" w:rsidR="00DF07C4" w:rsidRDefault="00000000">
            <w:pPr>
              <w:keepNext/>
              <w:spacing w:before="40" w:after="40" w:line="259" w:lineRule="auto"/>
            </w:pPr>
            <w:r>
              <w:rPr>
                <w:rFonts w:ascii="Calibri" w:hAnsi="Calibri"/>
                <w:b/>
                <w:color w:val="FFFFFF"/>
                <w:sz w:val="20"/>
              </w:rPr>
              <w:t>Therapeutic Axis</w:t>
            </w:r>
          </w:p>
        </w:tc>
        <w:tc>
          <w:tcPr>
            <w:tcW w:w="792" w:type="dxa"/>
            <w:shd w:val="clear" w:color="auto" w:fill="0F294A"/>
            <w:tcMar>
              <w:top w:w="85" w:type="dxa"/>
              <w:left w:w="80" w:type="dxa"/>
              <w:bottom w:w="85" w:type="dxa"/>
              <w:right w:w="80" w:type="dxa"/>
            </w:tcMar>
            <w:vAlign w:val="center"/>
          </w:tcPr>
          <w:p w14:paraId="3501E234" w14:textId="77777777" w:rsidR="00DF07C4" w:rsidRDefault="00000000">
            <w:pPr>
              <w:keepNext/>
              <w:spacing w:before="40" w:after="40" w:line="259" w:lineRule="auto"/>
              <w:jc w:val="center"/>
            </w:pPr>
            <w:r>
              <w:rPr>
                <w:rFonts w:ascii="Calibri" w:hAnsi="Calibri"/>
                <w:b/>
                <w:color w:val="FFFFFF"/>
                <w:sz w:val="20"/>
              </w:rPr>
              <w:t>MW (g/mol)</w:t>
            </w:r>
          </w:p>
        </w:tc>
        <w:tc>
          <w:tcPr>
            <w:tcW w:w="905" w:type="dxa"/>
            <w:shd w:val="clear" w:color="auto" w:fill="0F294A"/>
            <w:tcMar>
              <w:top w:w="85" w:type="dxa"/>
              <w:left w:w="80" w:type="dxa"/>
              <w:bottom w:w="85" w:type="dxa"/>
              <w:right w:w="80" w:type="dxa"/>
            </w:tcMar>
            <w:vAlign w:val="center"/>
          </w:tcPr>
          <w:p w14:paraId="244FC061" w14:textId="77777777" w:rsidR="00DF07C4" w:rsidRDefault="00000000">
            <w:pPr>
              <w:keepNext/>
              <w:spacing w:before="40" w:after="40" w:line="259" w:lineRule="auto"/>
              <w:jc w:val="center"/>
            </w:pPr>
            <w:proofErr w:type="spellStart"/>
            <w:r>
              <w:rPr>
                <w:rFonts w:ascii="Calibri" w:hAnsi="Calibri"/>
                <w:b/>
                <w:color w:val="FFFFFF"/>
                <w:sz w:val="20"/>
              </w:rPr>
              <w:t>cLogP</w:t>
            </w:r>
            <w:proofErr w:type="spellEnd"/>
          </w:p>
        </w:tc>
        <w:tc>
          <w:tcPr>
            <w:tcW w:w="792" w:type="dxa"/>
            <w:shd w:val="clear" w:color="auto" w:fill="0F294A"/>
            <w:tcMar>
              <w:top w:w="85" w:type="dxa"/>
              <w:left w:w="80" w:type="dxa"/>
              <w:bottom w:w="85" w:type="dxa"/>
              <w:right w:w="80" w:type="dxa"/>
            </w:tcMar>
            <w:vAlign w:val="center"/>
          </w:tcPr>
          <w:p w14:paraId="22941AC3" w14:textId="77777777" w:rsidR="00DF07C4" w:rsidRDefault="00000000">
            <w:pPr>
              <w:keepNext/>
              <w:spacing w:before="40" w:after="40" w:line="259" w:lineRule="auto"/>
              <w:jc w:val="center"/>
            </w:pPr>
            <w:r>
              <w:rPr>
                <w:rFonts w:ascii="Calibri" w:hAnsi="Calibri"/>
                <w:b/>
                <w:color w:val="FFFFFF"/>
                <w:sz w:val="20"/>
              </w:rPr>
              <w:t>QED Score</w:t>
            </w:r>
          </w:p>
        </w:tc>
      </w:tr>
      <w:tr w:rsidR="00DF07C4" w14:paraId="3DD5ACAC" w14:textId="77777777" w:rsidTr="00E7567B">
        <w:trPr>
          <w:cantSplit/>
          <w:jc w:val="center"/>
        </w:trPr>
        <w:tc>
          <w:tcPr>
            <w:tcW w:w="1224" w:type="dxa"/>
            <w:shd w:val="clear" w:color="auto" w:fill="FFFFFF"/>
            <w:tcMar>
              <w:top w:w="70" w:type="dxa"/>
              <w:left w:w="80" w:type="dxa"/>
              <w:bottom w:w="70" w:type="dxa"/>
              <w:right w:w="80" w:type="dxa"/>
            </w:tcMar>
            <w:vAlign w:val="center"/>
          </w:tcPr>
          <w:p w14:paraId="196DF1B7" w14:textId="77777777" w:rsidR="00DF07C4" w:rsidRDefault="00000000">
            <w:pPr>
              <w:spacing w:before="40" w:after="40" w:line="259" w:lineRule="auto"/>
            </w:pPr>
            <w:r>
              <w:rPr>
                <w:rFonts w:ascii="Calibri" w:hAnsi="Calibri"/>
                <w:b/>
                <w:sz w:val="20"/>
              </w:rPr>
              <w:t>MVA-SYN-01</w:t>
            </w:r>
          </w:p>
        </w:tc>
        <w:tc>
          <w:tcPr>
            <w:tcW w:w="1656" w:type="dxa"/>
            <w:shd w:val="clear" w:color="auto" w:fill="FFFFFF"/>
            <w:tcMar>
              <w:top w:w="70" w:type="dxa"/>
              <w:left w:w="80" w:type="dxa"/>
              <w:bottom w:w="70" w:type="dxa"/>
              <w:right w:w="80" w:type="dxa"/>
            </w:tcMar>
            <w:vAlign w:val="center"/>
          </w:tcPr>
          <w:p w14:paraId="29DEC47C" w14:textId="77777777" w:rsidR="00DF07C4" w:rsidRDefault="00000000">
            <w:pPr>
              <w:spacing w:before="40" w:after="40" w:line="259" w:lineRule="auto"/>
            </w:pPr>
            <w:proofErr w:type="spellStart"/>
            <w:r>
              <w:rPr>
                <w:rFonts w:ascii="Calibri" w:hAnsi="Calibri"/>
                <w:sz w:val="20"/>
              </w:rPr>
              <w:t>Veltrysinib</w:t>
            </w:r>
            <w:proofErr w:type="spellEnd"/>
            <w:r>
              <w:rPr>
                <w:rFonts w:ascii="Calibri" w:hAnsi="Calibri"/>
                <w:sz w:val="20"/>
              </w:rPr>
              <w:t xml:space="preserve"> Alpha</w:t>
            </w:r>
          </w:p>
        </w:tc>
        <w:tc>
          <w:tcPr>
            <w:tcW w:w="2046" w:type="dxa"/>
            <w:shd w:val="clear" w:color="auto" w:fill="FFFFFF"/>
            <w:tcMar>
              <w:top w:w="70" w:type="dxa"/>
              <w:left w:w="80" w:type="dxa"/>
              <w:bottom w:w="70" w:type="dxa"/>
              <w:right w:w="80" w:type="dxa"/>
            </w:tcMar>
            <w:vAlign w:val="center"/>
          </w:tcPr>
          <w:p w14:paraId="62249C11" w14:textId="77777777" w:rsidR="00DF07C4" w:rsidRDefault="00000000">
            <w:pPr>
              <w:spacing w:before="40" w:after="40" w:line="259" w:lineRule="auto"/>
            </w:pPr>
            <w:r>
              <w:rPr>
                <w:rFonts w:ascii="Calibri" w:hAnsi="Calibri"/>
                <w:sz w:val="20"/>
              </w:rPr>
              <w:t>WEE1 Kinase (ATP Catalytic Pocket)</w:t>
            </w:r>
          </w:p>
        </w:tc>
        <w:tc>
          <w:tcPr>
            <w:tcW w:w="1944" w:type="dxa"/>
            <w:shd w:val="clear" w:color="auto" w:fill="FFFFFF"/>
            <w:tcMar>
              <w:top w:w="70" w:type="dxa"/>
              <w:left w:w="80" w:type="dxa"/>
              <w:bottom w:w="70" w:type="dxa"/>
              <w:right w:w="80" w:type="dxa"/>
            </w:tcMar>
            <w:vAlign w:val="center"/>
          </w:tcPr>
          <w:p w14:paraId="31841BE8" w14:textId="77777777" w:rsidR="00DF07C4" w:rsidRDefault="00000000">
            <w:pPr>
              <w:spacing w:before="40" w:after="40" w:line="259" w:lineRule="auto"/>
            </w:pPr>
            <w:r>
              <w:rPr>
                <w:rFonts w:ascii="Calibri" w:hAnsi="Calibri"/>
                <w:sz w:val="20"/>
              </w:rPr>
              <w:t>Selective ATP / Allosteric WEE1 Inhibitor</w:t>
            </w:r>
          </w:p>
        </w:tc>
        <w:tc>
          <w:tcPr>
            <w:tcW w:w="792" w:type="dxa"/>
            <w:shd w:val="clear" w:color="auto" w:fill="FFFFFF"/>
            <w:tcMar>
              <w:top w:w="70" w:type="dxa"/>
              <w:left w:w="80" w:type="dxa"/>
              <w:bottom w:w="70" w:type="dxa"/>
              <w:right w:w="80" w:type="dxa"/>
            </w:tcMar>
            <w:vAlign w:val="center"/>
          </w:tcPr>
          <w:p w14:paraId="342F640E" w14:textId="77777777" w:rsidR="00DF07C4" w:rsidRDefault="00000000">
            <w:pPr>
              <w:spacing w:before="40" w:after="40" w:line="259" w:lineRule="auto"/>
              <w:jc w:val="center"/>
            </w:pPr>
            <w:r>
              <w:rPr>
                <w:rFonts w:ascii="Calibri" w:hAnsi="Calibri"/>
                <w:sz w:val="20"/>
              </w:rPr>
              <w:t>432.5</w:t>
            </w:r>
          </w:p>
        </w:tc>
        <w:tc>
          <w:tcPr>
            <w:tcW w:w="905" w:type="dxa"/>
            <w:shd w:val="clear" w:color="auto" w:fill="FFFFFF"/>
            <w:tcMar>
              <w:top w:w="70" w:type="dxa"/>
              <w:left w:w="80" w:type="dxa"/>
              <w:bottom w:w="70" w:type="dxa"/>
              <w:right w:w="80" w:type="dxa"/>
            </w:tcMar>
            <w:vAlign w:val="center"/>
          </w:tcPr>
          <w:p w14:paraId="191E3F96" w14:textId="77777777" w:rsidR="00DF07C4" w:rsidRDefault="00000000">
            <w:pPr>
              <w:spacing w:before="40" w:after="40" w:line="259" w:lineRule="auto"/>
              <w:jc w:val="center"/>
            </w:pPr>
            <w:r>
              <w:rPr>
                <w:rFonts w:ascii="Calibri" w:hAnsi="Calibri"/>
                <w:sz w:val="20"/>
              </w:rPr>
              <w:t>2.90</w:t>
            </w:r>
          </w:p>
        </w:tc>
        <w:tc>
          <w:tcPr>
            <w:tcW w:w="792" w:type="dxa"/>
            <w:shd w:val="clear" w:color="auto" w:fill="FFFFFF"/>
            <w:tcMar>
              <w:top w:w="70" w:type="dxa"/>
              <w:left w:w="80" w:type="dxa"/>
              <w:bottom w:w="70" w:type="dxa"/>
              <w:right w:w="80" w:type="dxa"/>
            </w:tcMar>
            <w:vAlign w:val="center"/>
          </w:tcPr>
          <w:p w14:paraId="387A1072" w14:textId="77777777" w:rsidR="00DF07C4" w:rsidRDefault="00000000">
            <w:pPr>
              <w:spacing w:before="40" w:after="40" w:line="259" w:lineRule="auto"/>
              <w:jc w:val="center"/>
            </w:pPr>
            <w:r>
              <w:rPr>
                <w:rFonts w:ascii="Calibri" w:hAnsi="Calibri"/>
                <w:b/>
                <w:sz w:val="20"/>
              </w:rPr>
              <w:t>0.51</w:t>
            </w:r>
          </w:p>
        </w:tc>
      </w:tr>
      <w:tr w:rsidR="00DF07C4" w14:paraId="6D74264F" w14:textId="77777777" w:rsidTr="00E7567B">
        <w:trPr>
          <w:cantSplit/>
          <w:jc w:val="center"/>
        </w:trPr>
        <w:tc>
          <w:tcPr>
            <w:tcW w:w="1224" w:type="dxa"/>
            <w:shd w:val="clear" w:color="auto" w:fill="F1F5F9"/>
            <w:tcMar>
              <w:top w:w="70" w:type="dxa"/>
              <w:left w:w="80" w:type="dxa"/>
              <w:bottom w:w="70" w:type="dxa"/>
              <w:right w:w="80" w:type="dxa"/>
            </w:tcMar>
            <w:vAlign w:val="center"/>
          </w:tcPr>
          <w:p w14:paraId="494E125C" w14:textId="77777777" w:rsidR="00DF07C4" w:rsidRDefault="00000000">
            <w:pPr>
              <w:spacing w:before="40" w:after="40" w:line="259" w:lineRule="auto"/>
            </w:pPr>
            <w:r>
              <w:rPr>
                <w:rFonts w:ascii="Calibri" w:hAnsi="Calibri"/>
                <w:b/>
                <w:sz w:val="20"/>
              </w:rPr>
              <w:t>MVA-SYN-02</w:t>
            </w:r>
          </w:p>
        </w:tc>
        <w:tc>
          <w:tcPr>
            <w:tcW w:w="1656" w:type="dxa"/>
            <w:shd w:val="clear" w:color="auto" w:fill="F1F5F9"/>
            <w:tcMar>
              <w:top w:w="70" w:type="dxa"/>
              <w:left w:w="80" w:type="dxa"/>
              <w:bottom w:w="70" w:type="dxa"/>
              <w:right w:w="80" w:type="dxa"/>
            </w:tcMar>
            <w:vAlign w:val="center"/>
          </w:tcPr>
          <w:p w14:paraId="53231F06" w14:textId="77777777" w:rsidR="00DF07C4" w:rsidRDefault="00000000">
            <w:pPr>
              <w:spacing w:before="40" w:after="40" w:line="259" w:lineRule="auto"/>
            </w:pPr>
            <w:proofErr w:type="spellStart"/>
            <w:r>
              <w:rPr>
                <w:rFonts w:ascii="Calibri" w:hAnsi="Calibri"/>
                <w:sz w:val="20"/>
              </w:rPr>
              <w:t>Mitotectin</w:t>
            </w:r>
            <w:proofErr w:type="spellEnd"/>
            <w:r>
              <w:rPr>
                <w:rFonts w:ascii="Calibri" w:hAnsi="Calibri"/>
                <w:sz w:val="20"/>
              </w:rPr>
              <w:t xml:space="preserve"> Beta</w:t>
            </w:r>
          </w:p>
        </w:tc>
        <w:tc>
          <w:tcPr>
            <w:tcW w:w="2046" w:type="dxa"/>
            <w:shd w:val="clear" w:color="auto" w:fill="F1F5F9"/>
            <w:tcMar>
              <w:top w:w="70" w:type="dxa"/>
              <w:left w:w="80" w:type="dxa"/>
              <w:bottom w:w="70" w:type="dxa"/>
              <w:right w:w="80" w:type="dxa"/>
            </w:tcMar>
            <w:vAlign w:val="center"/>
          </w:tcPr>
          <w:p w14:paraId="056A0D96" w14:textId="77777777" w:rsidR="00DF07C4" w:rsidRDefault="00000000">
            <w:pPr>
              <w:spacing w:before="40" w:after="40" w:line="259" w:lineRule="auto"/>
            </w:pPr>
            <w:r>
              <w:rPr>
                <w:rFonts w:ascii="Calibri" w:hAnsi="Calibri"/>
                <w:sz w:val="20"/>
              </w:rPr>
              <w:t>Dual PKMYT1 / WEE1 Kinase</w:t>
            </w:r>
          </w:p>
        </w:tc>
        <w:tc>
          <w:tcPr>
            <w:tcW w:w="1944" w:type="dxa"/>
            <w:shd w:val="clear" w:color="auto" w:fill="F1F5F9"/>
            <w:tcMar>
              <w:top w:w="70" w:type="dxa"/>
              <w:left w:w="80" w:type="dxa"/>
              <w:bottom w:w="70" w:type="dxa"/>
              <w:right w:w="80" w:type="dxa"/>
            </w:tcMar>
            <w:vAlign w:val="center"/>
          </w:tcPr>
          <w:p w14:paraId="5097F641" w14:textId="77777777" w:rsidR="00DF07C4" w:rsidRDefault="00000000">
            <w:pPr>
              <w:spacing w:before="40" w:after="40" w:line="259" w:lineRule="auto"/>
            </w:pPr>
            <w:r>
              <w:rPr>
                <w:rFonts w:ascii="Calibri" w:hAnsi="Calibri"/>
                <w:sz w:val="20"/>
              </w:rPr>
              <w:t>Dual Mitotic Kinase Modulator</w:t>
            </w:r>
          </w:p>
        </w:tc>
        <w:tc>
          <w:tcPr>
            <w:tcW w:w="792" w:type="dxa"/>
            <w:shd w:val="clear" w:color="auto" w:fill="F1F5F9"/>
            <w:tcMar>
              <w:top w:w="70" w:type="dxa"/>
              <w:left w:w="80" w:type="dxa"/>
              <w:bottom w:w="70" w:type="dxa"/>
              <w:right w:w="80" w:type="dxa"/>
            </w:tcMar>
            <w:vAlign w:val="center"/>
          </w:tcPr>
          <w:p w14:paraId="70CEEF61" w14:textId="77777777" w:rsidR="00DF07C4" w:rsidRDefault="00000000">
            <w:pPr>
              <w:spacing w:before="40" w:after="40" w:line="259" w:lineRule="auto"/>
              <w:jc w:val="center"/>
            </w:pPr>
            <w:r>
              <w:rPr>
                <w:rFonts w:ascii="Calibri" w:hAnsi="Calibri"/>
                <w:sz w:val="20"/>
              </w:rPr>
              <w:t>403.5</w:t>
            </w:r>
          </w:p>
        </w:tc>
        <w:tc>
          <w:tcPr>
            <w:tcW w:w="905" w:type="dxa"/>
            <w:shd w:val="clear" w:color="auto" w:fill="F1F5F9"/>
            <w:tcMar>
              <w:top w:w="70" w:type="dxa"/>
              <w:left w:w="80" w:type="dxa"/>
              <w:bottom w:w="70" w:type="dxa"/>
              <w:right w:w="80" w:type="dxa"/>
            </w:tcMar>
            <w:vAlign w:val="center"/>
          </w:tcPr>
          <w:p w14:paraId="4DC25F4A" w14:textId="77777777" w:rsidR="00DF07C4" w:rsidRDefault="00000000">
            <w:pPr>
              <w:spacing w:before="40" w:after="40" w:line="259" w:lineRule="auto"/>
              <w:jc w:val="center"/>
            </w:pPr>
            <w:r>
              <w:rPr>
                <w:rFonts w:ascii="Calibri" w:hAnsi="Calibri"/>
                <w:sz w:val="20"/>
              </w:rPr>
              <w:t>4.29</w:t>
            </w:r>
          </w:p>
        </w:tc>
        <w:tc>
          <w:tcPr>
            <w:tcW w:w="792" w:type="dxa"/>
            <w:shd w:val="clear" w:color="auto" w:fill="F1F5F9"/>
            <w:tcMar>
              <w:top w:w="70" w:type="dxa"/>
              <w:left w:w="80" w:type="dxa"/>
              <w:bottom w:w="70" w:type="dxa"/>
              <w:right w:w="80" w:type="dxa"/>
            </w:tcMar>
            <w:vAlign w:val="center"/>
          </w:tcPr>
          <w:p w14:paraId="34CE67E2" w14:textId="77777777" w:rsidR="00DF07C4" w:rsidRDefault="00000000">
            <w:pPr>
              <w:spacing w:before="40" w:after="40" w:line="259" w:lineRule="auto"/>
              <w:jc w:val="center"/>
            </w:pPr>
            <w:r>
              <w:rPr>
                <w:rFonts w:ascii="Calibri" w:hAnsi="Calibri"/>
                <w:b/>
                <w:sz w:val="20"/>
              </w:rPr>
              <w:t>0.64</w:t>
            </w:r>
          </w:p>
        </w:tc>
      </w:tr>
      <w:tr w:rsidR="00DF07C4" w14:paraId="59C23B0C" w14:textId="77777777" w:rsidTr="00E7567B">
        <w:trPr>
          <w:cantSplit/>
          <w:jc w:val="center"/>
        </w:trPr>
        <w:tc>
          <w:tcPr>
            <w:tcW w:w="1224" w:type="dxa"/>
            <w:shd w:val="clear" w:color="auto" w:fill="FFFFFF"/>
            <w:tcMar>
              <w:top w:w="70" w:type="dxa"/>
              <w:left w:w="80" w:type="dxa"/>
              <w:bottom w:w="70" w:type="dxa"/>
              <w:right w:w="80" w:type="dxa"/>
            </w:tcMar>
            <w:vAlign w:val="center"/>
          </w:tcPr>
          <w:p w14:paraId="1BEEA368" w14:textId="77777777" w:rsidR="00DF07C4" w:rsidRDefault="00000000">
            <w:pPr>
              <w:spacing w:before="40" w:after="40" w:line="259" w:lineRule="auto"/>
            </w:pPr>
            <w:r>
              <w:rPr>
                <w:rFonts w:ascii="Calibri" w:hAnsi="Calibri"/>
                <w:b/>
                <w:sz w:val="20"/>
              </w:rPr>
              <w:t>MVA-SYN-03</w:t>
            </w:r>
          </w:p>
        </w:tc>
        <w:tc>
          <w:tcPr>
            <w:tcW w:w="1656" w:type="dxa"/>
            <w:shd w:val="clear" w:color="auto" w:fill="FFFFFF"/>
            <w:tcMar>
              <w:top w:w="70" w:type="dxa"/>
              <w:left w:w="80" w:type="dxa"/>
              <w:bottom w:w="70" w:type="dxa"/>
              <w:right w:w="80" w:type="dxa"/>
            </w:tcMar>
            <w:vAlign w:val="center"/>
          </w:tcPr>
          <w:p w14:paraId="2CFF8641" w14:textId="77777777" w:rsidR="00DF07C4" w:rsidRDefault="00000000">
            <w:pPr>
              <w:spacing w:before="40" w:after="40" w:line="259" w:lineRule="auto"/>
            </w:pPr>
            <w:r>
              <w:rPr>
                <w:rFonts w:ascii="Calibri" w:hAnsi="Calibri"/>
                <w:sz w:val="20"/>
              </w:rPr>
              <w:t>Macrocycle-W1</w:t>
            </w:r>
          </w:p>
        </w:tc>
        <w:tc>
          <w:tcPr>
            <w:tcW w:w="2046" w:type="dxa"/>
            <w:shd w:val="clear" w:color="auto" w:fill="FFFFFF"/>
            <w:tcMar>
              <w:top w:w="70" w:type="dxa"/>
              <w:left w:w="80" w:type="dxa"/>
              <w:bottom w:w="70" w:type="dxa"/>
              <w:right w:w="80" w:type="dxa"/>
            </w:tcMar>
            <w:vAlign w:val="center"/>
          </w:tcPr>
          <w:p w14:paraId="61CE2B4D" w14:textId="77777777" w:rsidR="00DF07C4" w:rsidRDefault="00000000">
            <w:pPr>
              <w:spacing w:before="40" w:after="40" w:line="259" w:lineRule="auto"/>
            </w:pPr>
            <w:r>
              <w:rPr>
                <w:rFonts w:ascii="Calibri" w:hAnsi="Calibri"/>
                <w:sz w:val="20"/>
              </w:rPr>
              <w:t>WEE1 Kinase Substrate Groove</w:t>
            </w:r>
          </w:p>
        </w:tc>
        <w:tc>
          <w:tcPr>
            <w:tcW w:w="1944" w:type="dxa"/>
            <w:shd w:val="clear" w:color="auto" w:fill="FFFFFF"/>
            <w:tcMar>
              <w:top w:w="70" w:type="dxa"/>
              <w:left w:w="80" w:type="dxa"/>
              <w:bottom w:w="70" w:type="dxa"/>
              <w:right w:w="80" w:type="dxa"/>
            </w:tcMar>
            <w:vAlign w:val="center"/>
          </w:tcPr>
          <w:p w14:paraId="3D6011F3" w14:textId="77777777" w:rsidR="00DF07C4" w:rsidRDefault="00000000">
            <w:pPr>
              <w:spacing w:before="40" w:after="40" w:line="259" w:lineRule="auto"/>
            </w:pPr>
            <w:r>
              <w:rPr>
                <w:rFonts w:ascii="Calibri" w:hAnsi="Calibri"/>
                <w:sz w:val="20"/>
              </w:rPr>
              <w:t>Macro-Conformational Allosteric Inhibitor</w:t>
            </w:r>
          </w:p>
        </w:tc>
        <w:tc>
          <w:tcPr>
            <w:tcW w:w="792" w:type="dxa"/>
            <w:shd w:val="clear" w:color="auto" w:fill="FFFFFF"/>
            <w:tcMar>
              <w:top w:w="70" w:type="dxa"/>
              <w:left w:w="80" w:type="dxa"/>
              <w:bottom w:w="70" w:type="dxa"/>
              <w:right w:w="80" w:type="dxa"/>
            </w:tcMar>
            <w:vAlign w:val="center"/>
          </w:tcPr>
          <w:p w14:paraId="299D5D1D" w14:textId="77777777" w:rsidR="00DF07C4" w:rsidRDefault="00000000">
            <w:pPr>
              <w:spacing w:before="40" w:after="40" w:line="259" w:lineRule="auto"/>
              <w:jc w:val="center"/>
            </w:pPr>
            <w:r>
              <w:rPr>
                <w:rFonts w:ascii="Calibri" w:hAnsi="Calibri"/>
                <w:sz w:val="20"/>
              </w:rPr>
              <w:t>449.5</w:t>
            </w:r>
          </w:p>
        </w:tc>
        <w:tc>
          <w:tcPr>
            <w:tcW w:w="905" w:type="dxa"/>
            <w:shd w:val="clear" w:color="auto" w:fill="FFFFFF"/>
            <w:tcMar>
              <w:top w:w="70" w:type="dxa"/>
              <w:left w:w="80" w:type="dxa"/>
              <w:bottom w:w="70" w:type="dxa"/>
              <w:right w:w="80" w:type="dxa"/>
            </w:tcMar>
            <w:vAlign w:val="center"/>
          </w:tcPr>
          <w:p w14:paraId="1509E01A" w14:textId="77777777" w:rsidR="00DF07C4" w:rsidRDefault="00000000">
            <w:pPr>
              <w:spacing w:before="40" w:after="40" w:line="259" w:lineRule="auto"/>
              <w:jc w:val="center"/>
            </w:pPr>
            <w:r>
              <w:rPr>
                <w:rFonts w:ascii="Calibri" w:hAnsi="Calibri"/>
                <w:sz w:val="20"/>
              </w:rPr>
              <w:t>3.39</w:t>
            </w:r>
          </w:p>
        </w:tc>
        <w:tc>
          <w:tcPr>
            <w:tcW w:w="792" w:type="dxa"/>
            <w:shd w:val="clear" w:color="auto" w:fill="FFFFFF"/>
            <w:tcMar>
              <w:top w:w="70" w:type="dxa"/>
              <w:left w:w="80" w:type="dxa"/>
              <w:bottom w:w="70" w:type="dxa"/>
              <w:right w:w="80" w:type="dxa"/>
            </w:tcMar>
            <w:vAlign w:val="center"/>
          </w:tcPr>
          <w:p w14:paraId="36E7129F" w14:textId="77777777" w:rsidR="00DF07C4" w:rsidRDefault="00000000">
            <w:pPr>
              <w:spacing w:before="40" w:after="40" w:line="259" w:lineRule="auto"/>
              <w:jc w:val="center"/>
            </w:pPr>
            <w:r>
              <w:rPr>
                <w:rFonts w:ascii="Calibri" w:hAnsi="Calibri"/>
                <w:b/>
                <w:sz w:val="20"/>
              </w:rPr>
              <w:t>0.55</w:t>
            </w:r>
          </w:p>
        </w:tc>
      </w:tr>
      <w:tr w:rsidR="00DF07C4" w14:paraId="08D2D03F" w14:textId="77777777" w:rsidTr="00E7567B">
        <w:trPr>
          <w:cantSplit/>
          <w:jc w:val="center"/>
        </w:trPr>
        <w:tc>
          <w:tcPr>
            <w:tcW w:w="1224" w:type="dxa"/>
            <w:shd w:val="clear" w:color="auto" w:fill="F1F5F9"/>
            <w:tcMar>
              <w:top w:w="70" w:type="dxa"/>
              <w:left w:w="80" w:type="dxa"/>
              <w:bottom w:w="70" w:type="dxa"/>
              <w:right w:w="80" w:type="dxa"/>
            </w:tcMar>
            <w:vAlign w:val="center"/>
          </w:tcPr>
          <w:p w14:paraId="0B601AAC" w14:textId="77777777" w:rsidR="00DF07C4" w:rsidRDefault="00000000">
            <w:pPr>
              <w:spacing w:before="40" w:after="40" w:line="259" w:lineRule="auto"/>
            </w:pPr>
            <w:r>
              <w:rPr>
                <w:rFonts w:ascii="Calibri" w:hAnsi="Calibri"/>
                <w:b/>
                <w:sz w:val="20"/>
              </w:rPr>
              <w:t>MVA-SYN-04</w:t>
            </w:r>
          </w:p>
        </w:tc>
        <w:tc>
          <w:tcPr>
            <w:tcW w:w="1656" w:type="dxa"/>
            <w:shd w:val="clear" w:color="auto" w:fill="F1F5F9"/>
            <w:tcMar>
              <w:top w:w="70" w:type="dxa"/>
              <w:left w:w="80" w:type="dxa"/>
              <w:bottom w:w="70" w:type="dxa"/>
              <w:right w:w="80" w:type="dxa"/>
            </w:tcMar>
            <w:vAlign w:val="center"/>
          </w:tcPr>
          <w:p w14:paraId="00EBEDC3" w14:textId="77777777" w:rsidR="00DF07C4" w:rsidRDefault="00000000">
            <w:pPr>
              <w:spacing w:before="40" w:after="40" w:line="259" w:lineRule="auto"/>
            </w:pPr>
            <w:proofErr w:type="spellStart"/>
            <w:r>
              <w:rPr>
                <w:rFonts w:ascii="Calibri" w:hAnsi="Calibri"/>
                <w:sz w:val="20"/>
              </w:rPr>
              <w:t>Kinosartan</w:t>
            </w:r>
            <w:proofErr w:type="spellEnd"/>
            <w:r>
              <w:rPr>
                <w:rFonts w:ascii="Calibri" w:hAnsi="Calibri"/>
                <w:sz w:val="20"/>
              </w:rPr>
              <w:t xml:space="preserve"> MVA</w:t>
            </w:r>
          </w:p>
        </w:tc>
        <w:tc>
          <w:tcPr>
            <w:tcW w:w="2046" w:type="dxa"/>
            <w:shd w:val="clear" w:color="auto" w:fill="F1F5F9"/>
            <w:tcMar>
              <w:top w:w="70" w:type="dxa"/>
              <w:left w:w="80" w:type="dxa"/>
              <w:bottom w:w="70" w:type="dxa"/>
              <w:right w:w="80" w:type="dxa"/>
            </w:tcMar>
            <w:vAlign w:val="center"/>
          </w:tcPr>
          <w:p w14:paraId="760D0AEF" w14:textId="77777777" w:rsidR="00DF07C4" w:rsidRDefault="00000000">
            <w:pPr>
              <w:spacing w:before="40" w:after="40" w:line="259" w:lineRule="auto"/>
            </w:pPr>
            <w:r>
              <w:rPr>
                <w:rFonts w:ascii="Calibri" w:hAnsi="Calibri"/>
                <w:sz w:val="20"/>
              </w:rPr>
              <w:t>WEE1 Hinge Region / Piperazine Solubilizer</w:t>
            </w:r>
          </w:p>
        </w:tc>
        <w:tc>
          <w:tcPr>
            <w:tcW w:w="1944" w:type="dxa"/>
            <w:shd w:val="clear" w:color="auto" w:fill="F1F5F9"/>
            <w:tcMar>
              <w:top w:w="70" w:type="dxa"/>
              <w:left w:w="80" w:type="dxa"/>
              <w:bottom w:w="70" w:type="dxa"/>
              <w:right w:w="80" w:type="dxa"/>
            </w:tcMar>
            <w:vAlign w:val="center"/>
          </w:tcPr>
          <w:p w14:paraId="6D695C66" w14:textId="77777777" w:rsidR="00DF07C4" w:rsidRDefault="00000000">
            <w:pPr>
              <w:spacing w:before="40" w:after="40" w:line="259" w:lineRule="auto"/>
            </w:pPr>
            <w:r>
              <w:rPr>
                <w:rFonts w:ascii="Calibri" w:hAnsi="Calibri"/>
                <w:sz w:val="20"/>
              </w:rPr>
              <w:t>Highly Soluble Imidazopyrazine Derivative</w:t>
            </w:r>
          </w:p>
        </w:tc>
        <w:tc>
          <w:tcPr>
            <w:tcW w:w="792" w:type="dxa"/>
            <w:shd w:val="clear" w:color="auto" w:fill="F1F5F9"/>
            <w:tcMar>
              <w:top w:w="70" w:type="dxa"/>
              <w:left w:w="80" w:type="dxa"/>
              <w:bottom w:w="70" w:type="dxa"/>
              <w:right w:w="80" w:type="dxa"/>
            </w:tcMar>
            <w:vAlign w:val="center"/>
          </w:tcPr>
          <w:p w14:paraId="7E0A97E2" w14:textId="77777777" w:rsidR="00DF07C4" w:rsidRDefault="00000000">
            <w:pPr>
              <w:spacing w:before="40" w:after="40" w:line="259" w:lineRule="auto"/>
              <w:jc w:val="center"/>
            </w:pPr>
            <w:r>
              <w:rPr>
                <w:rFonts w:ascii="Calibri" w:hAnsi="Calibri"/>
                <w:sz w:val="20"/>
              </w:rPr>
              <w:t>389.4</w:t>
            </w:r>
          </w:p>
        </w:tc>
        <w:tc>
          <w:tcPr>
            <w:tcW w:w="905" w:type="dxa"/>
            <w:shd w:val="clear" w:color="auto" w:fill="F1F5F9"/>
            <w:tcMar>
              <w:top w:w="70" w:type="dxa"/>
              <w:left w:w="80" w:type="dxa"/>
              <w:bottom w:w="70" w:type="dxa"/>
              <w:right w:w="80" w:type="dxa"/>
            </w:tcMar>
            <w:vAlign w:val="center"/>
          </w:tcPr>
          <w:p w14:paraId="7771A96B" w14:textId="77777777" w:rsidR="00DF07C4" w:rsidRDefault="00000000">
            <w:pPr>
              <w:spacing w:before="40" w:after="40" w:line="259" w:lineRule="auto"/>
              <w:jc w:val="center"/>
            </w:pPr>
            <w:r>
              <w:rPr>
                <w:rFonts w:ascii="Calibri" w:hAnsi="Calibri"/>
                <w:sz w:val="20"/>
              </w:rPr>
              <w:t>3.31</w:t>
            </w:r>
          </w:p>
        </w:tc>
        <w:tc>
          <w:tcPr>
            <w:tcW w:w="792" w:type="dxa"/>
            <w:shd w:val="clear" w:color="auto" w:fill="F1F5F9"/>
            <w:tcMar>
              <w:top w:w="70" w:type="dxa"/>
              <w:left w:w="80" w:type="dxa"/>
              <w:bottom w:w="70" w:type="dxa"/>
              <w:right w:w="80" w:type="dxa"/>
            </w:tcMar>
            <w:vAlign w:val="center"/>
          </w:tcPr>
          <w:p w14:paraId="5E7D5280" w14:textId="77777777" w:rsidR="00DF07C4" w:rsidRDefault="00000000">
            <w:pPr>
              <w:spacing w:before="40" w:after="40" w:line="259" w:lineRule="auto"/>
              <w:jc w:val="center"/>
            </w:pPr>
            <w:r>
              <w:rPr>
                <w:rFonts w:ascii="Calibri" w:hAnsi="Calibri"/>
                <w:b/>
                <w:sz w:val="20"/>
              </w:rPr>
              <w:t>0.50</w:t>
            </w:r>
          </w:p>
        </w:tc>
      </w:tr>
      <w:tr w:rsidR="00DF07C4" w14:paraId="5B3332BF" w14:textId="77777777" w:rsidTr="00E7567B">
        <w:trPr>
          <w:cantSplit/>
          <w:jc w:val="center"/>
        </w:trPr>
        <w:tc>
          <w:tcPr>
            <w:tcW w:w="1224" w:type="dxa"/>
            <w:shd w:val="clear" w:color="auto" w:fill="FFFFFF"/>
            <w:tcMar>
              <w:top w:w="70" w:type="dxa"/>
              <w:left w:w="80" w:type="dxa"/>
              <w:bottom w:w="70" w:type="dxa"/>
              <w:right w:w="80" w:type="dxa"/>
            </w:tcMar>
            <w:vAlign w:val="center"/>
          </w:tcPr>
          <w:p w14:paraId="1A8BA8E7" w14:textId="77777777" w:rsidR="00DF07C4" w:rsidRDefault="00000000">
            <w:pPr>
              <w:spacing w:before="40" w:after="40" w:line="259" w:lineRule="auto"/>
            </w:pPr>
            <w:r>
              <w:rPr>
                <w:rFonts w:ascii="Calibri" w:hAnsi="Calibri"/>
                <w:b/>
                <w:sz w:val="20"/>
              </w:rPr>
              <w:t>MVA-SYN-05</w:t>
            </w:r>
          </w:p>
        </w:tc>
        <w:tc>
          <w:tcPr>
            <w:tcW w:w="1656" w:type="dxa"/>
            <w:shd w:val="clear" w:color="auto" w:fill="FFFFFF"/>
            <w:tcMar>
              <w:top w:w="70" w:type="dxa"/>
              <w:left w:w="80" w:type="dxa"/>
              <w:bottom w:w="70" w:type="dxa"/>
              <w:right w:w="80" w:type="dxa"/>
            </w:tcMar>
            <w:vAlign w:val="center"/>
          </w:tcPr>
          <w:p w14:paraId="7ADB593E" w14:textId="77777777" w:rsidR="00DF07C4" w:rsidRDefault="00000000">
            <w:pPr>
              <w:spacing w:before="40" w:after="40" w:line="259" w:lineRule="auto"/>
            </w:pPr>
            <w:r>
              <w:rPr>
                <w:rFonts w:ascii="Calibri" w:hAnsi="Calibri"/>
                <w:sz w:val="20"/>
              </w:rPr>
              <w:t>Thienopyridyl-05</w:t>
            </w:r>
          </w:p>
        </w:tc>
        <w:tc>
          <w:tcPr>
            <w:tcW w:w="2046" w:type="dxa"/>
            <w:shd w:val="clear" w:color="auto" w:fill="FFFFFF"/>
            <w:tcMar>
              <w:top w:w="70" w:type="dxa"/>
              <w:left w:w="80" w:type="dxa"/>
              <w:bottom w:w="70" w:type="dxa"/>
              <w:right w:w="80" w:type="dxa"/>
            </w:tcMar>
            <w:vAlign w:val="center"/>
          </w:tcPr>
          <w:p w14:paraId="4BFB899F" w14:textId="77777777" w:rsidR="00DF07C4" w:rsidRDefault="00000000">
            <w:pPr>
              <w:spacing w:before="40" w:after="40" w:line="259" w:lineRule="auto"/>
            </w:pPr>
            <w:r>
              <w:rPr>
                <w:rFonts w:ascii="Calibri" w:hAnsi="Calibri"/>
                <w:sz w:val="20"/>
              </w:rPr>
              <w:t>WEE1 Gatekeeper Pocket / CDK1-Tyr15 Inhibitor</w:t>
            </w:r>
          </w:p>
        </w:tc>
        <w:tc>
          <w:tcPr>
            <w:tcW w:w="1944" w:type="dxa"/>
            <w:shd w:val="clear" w:color="auto" w:fill="FFFFFF"/>
            <w:tcMar>
              <w:top w:w="70" w:type="dxa"/>
              <w:left w:w="80" w:type="dxa"/>
              <w:bottom w:w="70" w:type="dxa"/>
              <w:right w:w="80" w:type="dxa"/>
            </w:tcMar>
            <w:vAlign w:val="center"/>
          </w:tcPr>
          <w:p w14:paraId="0BDB7A66" w14:textId="77777777" w:rsidR="00DF07C4" w:rsidRDefault="00000000">
            <w:pPr>
              <w:spacing w:before="40" w:after="40" w:line="259" w:lineRule="auto"/>
            </w:pPr>
            <w:r>
              <w:rPr>
                <w:rFonts w:ascii="Calibri" w:hAnsi="Calibri"/>
                <w:sz w:val="20"/>
              </w:rPr>
              <w:t xml:space="preserve">Picomolar-Affinity </w:t>
            </w:r>
            <w:proofErr w:type="spellStart"/>
            <w:r>
              <w:rPr>
                <w:rFonts w:ascii="Calibri" w:hAnsi="Calibri"/>
                <w:sz w:val="20"/>
              </w:rPr>
              <w:t>Thienopyrimidine</w:t>
            </w:r>
            <w:proofErr w:type="spellEnd"/>
            <w:r>
              <w:rPr>
                <w:rFonts w:ascii="Calibri" w:hAnsi="Calibri"/>
                <w:sz w:val="20"/>
              </w:rPr>
              <w:t xml:space="preserve"> Inhibitor</w:t>
            </w:r>
          </w:p>
        </w:tc>
        <w:tc>
          <w:tcPr>
            <w:tcW w:w="792" w:type="dxa"/>
            <w:shd w:val="clear" w:color="auto" w:fill="FFFFFF"/>
            <w:tcMar>
              <w:top w:w="70" w:type="dxa"/>
              <w:left w:w="80" w:type="dxa"/>
              <w:bottom w:w="70" w:type="dxa"/>
              <w:right w:w="80" w:type="dxa"/>
            </w:tcMar>
            <w:vAlign w:val="center"/>
          </w:tcPr>
          <w:p w14:paraId="7DF3422A" w14:textId="77777777" w:rsidR="00DF07C4" w:rsidRDefault="00000000">
            <w:pPr>
              <w:spacing w:before="40" w:after="40" w:line="259" w:lineRule="auto"/>
              <w:jc w:val="center"/>
            </w:pPr>
            <w:r>
              <w:rPr>
                <w:rFonts w:ascii="Calibri" w:hAnsi="Calibri"/>
                <w:sz w:val="20"/>
              </w:rPr>
              <w:t>404.9</w:t>
            </w:r>
          </w:p>
        </w:tc>
        <w:tc>
          <w:tcPr>
            <w:tcW w:w="905" w:type="dxa"/>
            <w:shd w:val="clear" w:color="auto" w:fill="FFFFFF"/>
            <w:tcMar>
              <w:top w:w="70" w:type="dxa"/>
              <w:left w:w="80" w:type="dxa"/>
              <w:bottom w:w="70" w:type="dxa"/>
              <w:right w:w="80" w:type="dxa"/>
            </w:tcMar>
            <w:vAlign w:val="center"/>
          </w:tcPr>
          <w:p w14:paraId="783E3E6A" w14:textId="77777777" w:rsidR="00DF07C4" w:rsidRDefault="00000000">
            <w:pPr>
              <w:spacing w:before="40" w:after="40" w:line="259" w:lineRule="auto"/>
              <w:jc w:val="center"/>
            </w:pPr>
            <w:r>
              <w:rPr>
                <w:rFonts w:ascii="Calibri" w:hAnsi="Calibri"/>
                <w:sz w:val="20"/>
              </w:rPr>
              <w:t>3.48</w:t>
            </w:r>
          </w:p>
        </w:tc>
        <w:tc>
          <w:tcPr>
            <w:tcW w:w="792" w:type="dxa"/>
            <w:shd w:val="clear" w:color="auto" w:fill="FFFFFF"/>
            <w:tcMar>
              <w:top w:w="70" w:type="dxa"/>
              <w:left w:w="80" w:type="dxa"/>
              <w:bottom w:w="70" w:type="dxa"/>
              <w:right w:w="80" w:type="dxa"/>
            </w:tcMar>
            <w:vAlign w:val="center"/>
          </w:tcPr>
          <w:p w14:paraId="06ED5DC6" w14:textId="77777777" w:rsidR="00DF07C4" w:rsidRDefault="00000000">
            <w:pPr>
              <w:spacing w:before="40" w:after="40" w:line="259" w:lineRule="auto"/>
              <w:jc w:val="center"/>
            </w:pPr>
            <w:r>
              <w:rPr>
                <w:rFonts w:ascii="Calibri" w:hAnsi="Calibri"/>
                <w:b/>
                <w:sz w:val="20"/>
              </w:rPr>
              <w:t>0.65</w:t>
            </w:r>
          </w:p>
        </w:tc>
      </w:tr>
      <w:tr w:rsidR="00DF07C4" w14:paraId="398ACDEE" w14:textId="77777777" w:rsidTr="00E7567B">
        <w:trPr>
          <w:cantSplit/>
          <w:jc w:val="center"/>
        </w:trPr>
        <w:tc>
          <w:tcPr>
            <w:tcW w:w="1224" w:type="dxa"/>
            <w:shd w:val="clear" w:color="auto" w:fill="F1F5F9"/>
            <w:tcMar>
              <w:top w:w="70" w:type="dxa"/>
              <w:left w:w="80" w:type="dxa"/>
              <w:bottom w:w="70" w:type="dxa"/>
              <w:right w:w="80" w:type="dxa"/>
            </w:tcMar>
            <w:vAlign w:val="center"/>
          </w:tcPr>
          <w:p w14:paraId="562E9D9B" w14:textId="77777777" w:rsidR="00DF07C4" w:rsidRDefault="00000000">
            <w:pPr>
              <w:spacing w:before="40" w:after="40" w:line="259" w:lineRule="auto"/>
            </w:pPr>
            <w:r>
              <w:rPr>
                <w:rFonts w:ascii="Calibri" w:hAnsi="Calibri"/>
                <w:b/>
                <w:sz w:val="20"/>
              </w:rPr>
              <w:t>MVA-PRO-01</w:t>
            </w:r>
          </w:p>
        </w:tc>
        <w:tc>
          <w:tcPr>
            <w:tcW w:w="1656" w:type="dxa"/>
            <w:shd w:val="clear" w:color="auto" w:fill="F1F5F9"/>
            <w:tcMar>
              <w:top w:w="70" w:type="dxa"/>
              <w:left w:w="80" w:type="dxa"/>
              <w:bottom w:w="70" w:type="dxa"/>
              <w:right w:w="80" w:type="dxa"/>
            </w:tcMar>
            <w:vAlign w:val="center"/>
          </w:tcPr>
          <w:p w14:paraId="55612371" w14:textId="77777777" w:rsidR="00DF07C4" w:rsidRDefault="00000000">
            <w:pPr>
              <w:spacing w:before="40" w:after="40" w:line="259" w:lineRule="auto"/>
            </w:pPr>
            <w:r>
              <w:rPr>
                <w:rFonts w:ascii="Calibri" w:hAnsi="Calibri"/>
                <w:sz w:val="20"/>
              </w:rPr>
              <w:t>Senol-PROTAC CRBN</w:t>
            </w:r>
          </w:p>
        </w:tc>
        <w:tc>
          <w:tcPr>
            <w:tcW w:w="2046" w:type="dxa"/>
            <w:shd w:val="clear" w:color="auto" w:fill="F1F5F9"/>
            <w:tcMar>
              <w:top w:w="70" w:type="dxa"/>
              <w:left w:w="80" w:type="dxa"/>
              <w:bottom w:w="70" w:type="dxa"/>
              <w:right w:w="80" w:type="dxa"/>
            </w:tcMar>
            <w:vAlign w:val="center"/>
          </w:tcPr>
          <w:p w14:paraId="0A99819E" w14:textId="77777777" w:rsidR="00DF07C4" w:rsidRDefault="00000000">
            <w:pPr>
              <w:spacing w:before="40" w:after="40" w:line="259" w:lineRule="auto"/>
            </w:pPr>
            <w:r>
              <w:rPr>
                <w:rFonts w:ascii="Calibri" w:hAnsi="Calibri"/>
                <w:sz w:val="20"/>
              </w:rPr>
              <w:t>BCL-</w:t>
            </w:r>
            <w:proofErr w:type="spellStart"/>
            <w:r>
              <w:rPr>
                <w:rFonts w:ascii="Calibri" w:hAnsi="Calibri"/>
                <w:sz w:val="20"/>
              </w:rPr>
              <w:t>xL</w:t>
            </w:r>
            <w:proofErr w:type="spellEnd"/>
            <w:r>
              <w:rPr>
                <w:rFonts w:ascii="Calibri" w:hAnsi="Calibri"/>
                <w:sz w:val="20"/>
              </w:rPr>
              <w:t xml:space="preserve"> (BCL2L1) / </w:t>
            </w:r>
            <w:proofErr w:type="spellStart"/>
            <w:r>
              <w:rPr>
                <w:rFonts w:ascii="Calibri" w:hAnsi="Calibri"/>
                <w:sz w:val="20"/>
              </w:rPr>
              <w:t>Cereblon</w:t>
            </w:r>
            <w:proofErr w:type="spellEnd"/>
            <w:r>
              <w:rPr>
                <w:rFonts w:ascii="Calibri" w:hAnsi="Calibri"/>
                <w:sz w:val="20"/>
              </w:rPr>
              <w:t xml:space="preserve"> (CRBN) Ternary Complex</w:t>
            </w:r>
          </w:p>
        </w:tc>
        <w:tc>
          <w:tcPr>
            <w:tcW w:w="1944" w:type="dxa"/>
            <w:shd w:val="clear" w:color="auto" w:fill="F1F5F9"/>
            <w:tcMar>
              <w:top w:w="70" w:type="dxa"/>
              <w:left w:w="80" w:type="dxa"/>
              <w:bottom w:w="70" w:type="dxa"/>
              <w:right w:w="80" w:type="dxa"/>
            </w:tcMar>
            <w:vAlign w:val="center"/>
          </w:tcPr>
          <w:p w14:paraId="3E0E3C87" w14:textId="77777777" w:rsidR="00DF07C4" w:rsidRDefault="00000000">
            <w:pPr>
              <w:spacing w:before="40" w:after="40" w:line="259" w:lineRule="auto"/>
            </w:pPr>
            <w:r>
              <w:rPr>
                <w:rFonts w:ascii="Calibri" w:hAnsi="Calibri"/>
                <w:sz w:val="20"/>
              </w:rPr>
              <w:t>Platelet-Sparing Thalidomide-Linked PROTAC</w:t>
            </w:r>
          </w:p>
        </w:tc>
        <w:tc>
          <w:tcPr>
            <w:tcW w:w="792" w:type="dxa"/>
            <w:shd w:val="clear" w:color="auto" w:fill="F1F5F9"/>
            <w:tcMar>
              <w:top w:w="70" w:type="dxa"/>
              <w:left w:w="80" w:type="dxa"/>
              <w:bottom w:w="70" w:type="dxa"/>
              <w:right w:w="80" w:type="dxa"/>
            </w:tcMar>
            <w:vAlign w:val="center"/>
          </w:tcPr>
          <w:p w14:paraId="4334CE60" w14:textId="77777777" w:rsidR="00DF07C4" w:rsidRDefault="00000000">
            <w:pPr>
              <w:spacing w:before="40" w:after="40" w:line="259" w:lineRule="auto"/>
              <w:jc w:val="center"/>
            </w:pPr>
            <w:r>
              <w:rPr>
                <w:rFonts w:ascii="Calibri" w:hAnsi="Calibri"/>
                <w:sz w:val="20"/>
              </w:rPr>
              <w:t>711.8</w:t>
            </w:r>
          </w:p>
        </w:tc>
        <w:tc>
          <w:tcPr>
            <w:tcW w:w="905" w:type="dxa"/>
            <w:shd w:val="clear" w:color="auto" w:fill="F1F5F9"/>
            <w:tcMar>
              <w:top w:w="70" w:type="dxa"/>
              <w:left w:w="80" w:type="dxa"/>
              <w:bottom w:w="70" w:type="dxa"/>
              <w:right w:w="80" w:type="dxa"/>
            </w:tcMar>
            <w:vAlign w:val="center"/>
          </w:tcPr>
          <w:p w14:paraId="5BDE0FB7" w14:textId="77777777" w:rsidR="00DF07C4" w:rsidRDefault="00000000">
            <w:pPr>
              <w:spacing w:before="40" w:after="40" w:line="259" w:lineRule="auto"/>
              <w:jc w:val="center"/>
            </w:pPr>
            <w:r>
              <w:rPr>
                <w:rFonts w:ascii="Calibri" w:hAnsi="Calibri"/>
                <w:sz w:val="20"/>
              </w:rPr>
              <w:t>2.62</w:t>
            </w:r>
          </w:p>
        </w:tc>
        <w:tc>
          <w:tcPr>
            <w:tcW w:w="792" w:type="dxa"/>
            <w:shd w:val="clear" w:color="auto" w:fill="F1F5F9"/>
            <w:tcMar>
              <w:top w:w="70" w:type="dxa"/>
              <w:left w:w="80" w:type="dxa"/>
              <w:bottom w:w="70" w:type="dxa"/>
              <w:right w:w="80" w:type="dxa"/>
            </w:tcMar>
            <w:vAlign w:val="center"/>
          </w:tcPr>
          <w:p w14:paraId="710DCD53" w14:textId="77777777" w:rsidR="00DF07C4" w:rsidRDefault="00000000">
            <w:pPr>
              <w:spacing w:before="40" w:after="40" w:line="259" w:lineRule="auto"/>
              <w:jc w:val="center"/>
            </w:pPr>
            <w:r>
              <w:rPr>
                <w:rFonts w:ascii="Calibri" w:hAnsi="Calibri"/>
                <w:b/>
                <w:sz w:val="20"/>
              </w:rPr>
              <w:t>0.15</w:t>
            </w:r>
          </w:p>
        </w:tc>
      </w:tr>
      <w:tr w:rsidR="00DF07C4" w14:paraId="6F2E7192" w14:textId="77777777" w:rsidTr="00E7567B">
        <w:trPr>
          <w:cantSplit/>
          <w:jc w:val="center"/>
        </w:trPr>
        <w:tc>
          <w:tcPr>
            <w:tcW w:w="1224" w:type="dxa"/>
            <w:shd w:val="clear" w:color="auto" w:fill="FFFFFF"/>
            <w:tcMar>
              <w:top w:w="70" w:type="dxa"/>
              <w:left w:w="80" w:type="dxa"/>
              <w:bottom w:w="70" w:type="dxa"/>
              <w:right w:w="80" w:type="dxa"/>
            </w:tcMar>
            <w:vAlign w:val="center"/>
          </w:tcPr>
          <w:p w14:paraId="1D0B0924" w14:textId="77777777" w:rsidR="00DF07C4" w:rsidRDefault="00000000">
            <w:pPr>
              <w:spacing w:before="40" w:after="40" w:line="259" w:lineRule="auto"/>
            </w:pPr>
            <w:r>
              <w:rPr>
                <w:rFonts w:ascii="Calibri" w:hAnsi="Calibri"/>
                <w:b/>
                <w:sz w:val="20"/>
              </w:rPr>
              <w:lastRenderedPageBreak/>
              <w:t>MVA-PRO-02</w:t>
            </w:r>
          </w:p>
        </w:tc>
        <w:tc>
          <w:tcPr>
            <w:tcW w:w="1656" w:type="dxa"/>
            <w:shd w:val="clear" w:color="auto" w:fill="FFFFFF"/>
            <w:tcMar>
              <w:top w:w="70" w:type="dxa"/>
              <w:left w:w="80" w:type="dxa"/>
              <w:bottom w:w="70" w:type="dxa"/>
              <w:right w:w="80" w:type="dxa"/>
            </w:tcMar>
            <w:vAlign w:val="center"/>
          </w:tcPr>
          <w:p w14:paraId="4B6A7036" w14:textId="77777777" w:rsidR="00DF07C4" w:rsidRDefault="00000000">
            <w:pPr>
              <w:spacing w:before="40" w:after="40" w:line="259" w:lineRule="auto"/>
            </w:pPr>
            <w:r>
              <w:rPr>
                <w:rFonts w:ascii="Calibri" w:hAnsi="Calibri"/>
                <w:sz w:val="20"/>
              </w:rPr>
              <w:t>Senol-PROTAC VHL</w:t>
            </w:r>
          </w:p>
        </w:tc>
        <w:tc>
          <w:tcPr>
            <w:tcW w:w="2046" w:type="dxa"/>
            <w:shd w:val="clear" w:color="auto" w:fill="FFFFFF"/>
            <w:tcMar>
              <w:top w:w="70" w:type="dxa"/>
              <w:left w:w="80" w:type="dxa"/>
              <w:bottom w:w="70" w:type="dxa"/>
              <w:right w:w="80" w:type="dxa"/>
            </w:tcMar>
            <w:vAlign w:val="center"/>
          </w:tcPr>
          <w:p w14:paraId="4D5FA20E" w14:textId="77777777" w:rsidR="00DF07C4" w:rsidRDefault="00000000">
            <w:pPr>
              <w:spacing w:before="40" w:after="40" w:line="259" w:lineRule="auto"/>
            </w:pPr>
            <w:r>
              <w:rPr>
                <w:rFonts w:ascii="Calibri" w:hAnsi="Calibri"/>
                <w:sz w:val="20"/>
              </w:rPr>
              <w:t>BCL-</w:t>
            </w:r>
            <w:proofErr w:type="spellStart"/>
            <w:r>
              <w:rPr>
                <w:rFonts w:ascii="Calibri" w:hAnsi="Calibri"/>
                <w:sz w:val="20"/>
              </w:rPr>
              <w:t>xL</w:t>
            </w:r>
            <w:proofErr w:type="spellEnd"/>
            <w:r>
              <w:rPr>
                <w:rFonts w:ascii="Calibri" w:hAnsi="Calibri"/>
                <w:sz w:val="20"/>
              </w:rPr>
              <w:t xml:space="preserve"> / von Hippel-Lindau (VHL) Ternary Complex</w:t>
            </w:r>
          </w:p>
        </w:tc>
        <w:tc>
          <w:tcPr>
            <w:tcW w:w="1944" w:type="dxa"/>
            <w:shd w:val="clear" w:color="auto" w:fill="FFFFFF"/>
            <w:tcMar>
              <w:top w:w="70" w:type="dxa"/>
              <w:left w:w="80" w:type="dxa"/>
              <w:bottom w:w="70" w:type="dxa"/>
              <w:right w:w="80" w:type="dxa"/>
            </w:tcMar>
            <w:vAlign w:val="center"/>
          </w:tcPr>
          <w:p w14:paraId="68D8D624" w14:textId="77777777" w:rsidR="00DF07C4" w:rsidRDefault="00000000">
            <w:pPr>
              <w:spacing w:before="40" w:after="40" w:line="259" w:lineRule="auto"/>
            </w:pPr>
            <w:r>
              <w:rPr>
                <w:rFonts w:ascii="Calibri" w:hAnsi="Calibri"/>
                <w:sz w:val="20"/>
              </w:rPr>
              <w:t>Hydroxyproline-Based Targeted PROTAC Degrader</w:t>
            </w:r>
          </w:p>
        </w:tc>
        <w:tc>
          <w:tcPr>
            <w:tcW w:w="792" w:type="dxa"/>
            <w:shd w:val="clear" w:color="auto" w:fill="FFFFFF"/>
            <w:tcMar>
              <w:top w:w="70" w:type="dxa"/>
              <w:left w:w="80" w:type="dxa"/>
              <w:bottom w:w="70" w:type="dxa"/>
              <w:right w:w="80" w:type="dxa"/>
            </w:tcMar>
            <w:vAlign w:val="center"/>
          </w:tcPr>
          <w:p w14:paraId="619C01DC" w14:textId="77777777" w:rsidR="00DF07C4" w:rsidRDefault="00000000">
            <w:pPr>
              <w:spacing w:before="40" w:after="40" w:line="259" w:lineRule="auto"/>
              <w:jc w:val="center"/>
            </w:pPr>
            <w:r>
              <w:rPr>
                <w:rFonts w:ascii="Calibri" w:hAnsi="Calibri"/>
                <w:sz w:val="20"/>
              </w:rPr>
              <w:t>774.0</w:t>
            </w:r>
          </w:p>
        </w:tc>
        <w:tc>
          <w:tcPr>
            <w:tcW w:w="905" w:type="dxa"/>
            <w:shd w:val="clear" w:color="auto" w:fill="FFFFFF"/>
            <w:tcMar>
              <w:top w:w="70" w:type="dxa"/>
              <w:left w:w="80" w:type="dxa"/>
              <w:bottom w:w="70" w:type="dxa"/>
              <w:right w:w="80" w:type="dxa"/>
            </w:tcMar>
            <w:vAlign w:val="center"/>
          </w:tcPr>
          <w:p w14:paraId="39004C82" w14:textId="77777777" w:rsidR="00DF07C4" w:rsidRDefault="00000000">
            <w:pPr>
              <w:spacing w:before="40" w:after="40" w:line="259" w:lineRule="auto"/>
              <w:jc w:val="center"/>
            </w:pPr>
            <w:r>
              <w:rPr>
                <w:rFonts w:ascii="Calibri" w:hAnsi="Calibri"/>
                <w:sz w:val="20"/>
              </w:rPr>
              <w:t>0.49</w:t>
            </w:r>
          </w:p>
        </w:tc>
        <w:tc>
          <w:tcPr>
            <w:tcW w:w="792" w:type="dxa"/>
            <w:shd w:val="clear" w:color="auto" w:fill="FFFFFF"/>
            <w:tcMar>
              <w:top w:w="70" w:type="dxa"/>
              <w:left w:w="80" w:type="dxa"/>
              <w:bottom w:w="70" w:type="dxa"/>
              <w:right w:w="80" w:type="dxa"/>
            </w:tcMar>
            <w:vAlign w:val="center"/>
          </w:tcPr>
          <w:p w14:paraId="5B83ED2B" w14:textId="77777777" w:rsidR="00DF07C4" w:rsidRDefault="00000000">
            <w:pPr>
              <w:spacing w:before="40" w:after="40" w:line="259" w:lineRule="auto"/>
              <w:jc w:val="center"/>
            </w:pPr>
            <w:r>
              <w:rPr>
                <w:rFonts w:ascii="Calibri" w:hAnsi="Calibri"/>
                <w:b/>
                <w:sz w:val="20"/>
              </w:rPr>
              <w:t>0.14</w:t>
            </w:r>
          </w:p>
        </w:tc>
      </w:tr>
      <w:tr w:rsidR="00DF07C4" w14:paraId="58975969" w14:textId="77777777" w:rsidTr="00E7567B">
        <w:trPr>
          <w:cantSplit/>
          <w:jc w:val="center"/>
        </w:trPr>
        <w:tc>
          <w:tcPr>
            <w:tcW w:w="1224" w:type="dxa"/>
            <w:shd w:val="clear" w:color="auto" w:fill="F1F5F9"/>
            <w:tcMar>
              <w:top w:w="70" w:type="dxa"/>
              <w:left w:w="80" w:type="dxa"/>
              <w:bottom w:w="70" w:type="dxa"/>
              <w:right w:w="80" w:type="dxa"/>
            </w:tcMar>
            <w:vAlign w:val="center"/>
          </w:tcPr>
          <w:p w14:paraId="63C7DDE8" w14:textId="77777777" w:rsidR="00DF07C4" w:rsidRDefault="00000000">
            <w:pPr>
              <w:spacing w:before="40" w:after="40" w:line="259" w:lineRule="auto"/>
            </w:pPr>
            <w:r>
              <w:rPr>
                <w:rFonts w:ascii="Calibri" w:hAnsi="Calibri"/>
                <w:b/>
                <w:sz w:val="20"/>
              </w:rPr>
              <w:t>MVA-PRO-03</w:t>
            </w:r>
          </w:p>
        </w:tc>
        <w:tc>
          <w:tcPr>
            <w:tcW w:w="1656" w:type="dxa"/>
            <w:shd w:val="clear" w:color="auto" w:fill="F1F5F9"/>
            <w:tcMar>
              <w:top w:w="70" w:type="dxa"/>
              <w:left w:w="80" w:type="dxa"/>
              <w:bottom w:w="70" w:type="dxa"/>
              <w:right w:w="80" w:type="dxa"/>
            </w:tcMar>
            <w:vAlign w:val="center"/>
          </w:tcPr>
          <w:p w14:paraId="0598EE78" w14:textId="77777777" w:rsidR="00DF07C4" w:rsidRDefault="00000000">
            <w:pPr>
              <w:spacing w:before="40" w:after="40" w:line="259" w:lineRule="auto"/>
            </w:pPr>
            <w:proofErr w:type="spellStart"/>
            <w:r>
              <w:rPr>
                <w:rFonts w:ascii="Calibri" w:hAnsi="Calibri"/>
                <w:sz w:val="20"/>
              </w:rPr>
              <w:t>Biclon</w:t>
            </w:r>
            <w:proofErr w:type="spellEnd"/>
            <w:r>
              <w:rPr>
                <w:rFonts w:ascii="Calibri" w:hAnsi="Calibri"/>
                <w:sz w:val="20"/>
              </w:rPr>
              <w:t>-PEG PROTAC</w:t>
            </w:r>
          </w:p>
        </w:tc>
        <w:tc>
          <w:tcPr>
            <w:tcW w:w="2046" w:type="dxa"/>
            <w:shd w:val="clear" w:color="auto" w:fill="F1F5F9"/>
            <w:tcMar>
              <w:top w:w="70" w:type="dxa"/>
              <w:left w:w="80" w:type="dxa"/>
              <w:bottom w:w="70" w:type="dxa"/>
              <w:right w:w="80" w:type="dxa"/>
            </w:tcMar>
            <w:vAlign w:val="center"/>
          </w:tcPr>
          <w:p w14:paraId="57011542" w14:textId="77777777" w:rsidR="00DF07C4" w:rsidRDefault="00000000">
            <w:pPr>
              <w:spacing w:before="40" w:after="40" w:line="259" w:lineRule="auto"/>
            </w:pPr>
            <w:r>
              <w:rPr>
                <w:rFonts w:ascii="Calibri" w:hAnsi="Calibri"/>
                <w:sz w:val="20"/>
              </w:rPr>
              <w:t>Dual BCL-</w:t>
            </w:r>
            <w:proofErr w:type="spellStart"/>
            <w:r>
              <w:rPr>
                <w:rFonts w:ascii="Calibri" w:hAnsi="Calibri"/>
                <w:sz w:val="20"/>
              </w:rPr>
              <w:t>xL</w:t>
            </w:r>
            <w:proofErr w:type="spellEnd"/>
            <w:r>
              <w:rPr>
                <w:rFonts w:ascii="Calibri" w:hAnsi="Calibri"/>
                <w:sz w:val="20"/>
              </w:rPr>
              <w:t xml:space="preserve"> / BCL-2 E3 Ligase Degradation</w:t>
            </w:r>
          </w:p>
        </w:tc>
        <w:tc>
          <w:tcPr>
            <w:tcW w:w="1944" w:type="dxa"/>
            <w:shd w:val="clear" w:color="auto" w:fill="F1F5F9"/>
            <w:tcMar>
              <w:top w:w="70" w:type="dxa"/>
              <w:left w:w="80" w:type="dxa"/>
              <w:bottom w:w="70" w:type="dxa"/>
              <w:right w:w="80" w:type="dxa"/>
            </w:tcMar>
            <w:vAlign w:val="center"/>
          </w:tcPr>
          <w:p w14:paraId="5F99707F" w14:textId="77777777" w:rsidR="00DF07C4" w:rsidRDefault="00000000">
            <w:pPr>
              <w:spacing w:before="40" w:after="40" w:line="259" w:lineRule="auto"/>
            </w:pPr>
            <w:r>
              <w:rPr>
                <w:rFonts w:ascii="Calibri" w:hAnsi="Calibri"/>
                <w:sz w:val="20"/>
              </w:rPr>
              <w:t>Optimized Flexible PEG-Linker PROTAC</w:t>
            </w:r>
          </w:p>
        </w:tc>
        <w:tc>
          <w:tcPr>
            <w:tcW w:w="792" w:type="dxa"/>
            <w:shd w:val="clear" w:color="auto" w:fill="F1F5F9"/>
            <w:tcMar>
              <w:top w:w="70" w:type="dxa"/>
              <w:left w:w="80" w:type="dxa"/>
              <w:bottom w:w="70" w:type="dxa"/>
              <w:right w:w="80" w:type="dxa"/>
            </w:tcMar>
            <w:vAlign w:val="center"/>
          </w:tcPr>
          <w:p w14:paraId="1C7DAB14" w14:textId="77777777" w:rsidR="00DF07C4" w:rsidRDefault="00000000">
            <w:pPr>
              <w:spacing w:before="40" w:after="40" w:line="259" w:lineRule="auto"/>
              <w:jc w:val="center"/>
            </w:pPr>
            <w:r>
              <w:rPr>
                <w:rFonts w:ascii="Calibri" w:hAnsi="Calibri"/>
                <w:sz w:val="20"/>
              </w:rPr>
              <w:t>736.9</w:t>
            </w:r>
          </w:p>
        </w:tc>
        <w:tc>
          <w:tcPr>
            <w:tcW w:w="905" w:type="dxa"/>
            <w:shd w:val="clear" w:color="auto" w:fill="F1F5F9"/>
            <w:tcMar>
              <w:top w:w="70" w:type="dxa"/>
              <w:left w:w="80" w:type="dxa"/>
              <w:bottom w:w="70" w:type="dxa"/>
              <w:right w:w="80" w:type="dxa"/>
            </w:tcMar>
            <w:vAlign w:val="center"/>
          </w:tcPr>
          <w:p w14:paraId="1C18EA2C" w14:textId="77777777" w:rsidR="00DF07C4" w:rsidRDefault="00000000">
            <w:pPr>
              <w:spacing w:before="40" w:after="40" w:line="259" w:lineRule="auto"/>
              <w:jc w:val="center"/>
            </w:pPr>
            <w:r>
              <w:rPr>
                <w:rFonts w:ascii="Calibri" w:hAnsi="Calibri"/>
                <w:sz w:val="20"/>
              </w:rPr>
              <w:t>2.02</w:t>
            </w:r>
          </w:p>
        </w:tc>
        <w:tc>
          <w:tcPr>
            <w:tcW w:w="792" w:type="dxa"/>
            <w:shd w:val="clear" w:color="auto" w:fill="F1F5F9"/>
            <w:tcMar>
              <w:top w:w="70" w:type="dxa"/>
              <w:left w:w="80" w:type="dxa"/>
              <w:bottom w:w="70" w:type="dxa"/>
              <w:right w:w="80" w:type="dxa"/>
            </w:tcMar>
            <w:vAlign w:val="center"/>
          </w:tcPr>
          <w:p w14:paraId="02DC4D8A" w14:textId="77777777" w:rsidR="00DF07C4" w:rsidRDefault="00000000">
            <w:pPr>
              <w:spacing w:before="40" w:after="40" w:line="259" w:lineRule="auto"/>
              <w:jc w:val="center"/>
            </w:pPr>
            <w:r>
              <w:rPr>
                <w:rFonts w:ascii="Calibri" w:hAnsi="Calibri"/>
                <w:b/>
                <w:sz w:val="20"/>
              </w:rPr>
              <w:t>0.14</w:t>
            </w:r>
          </w:p>
        </w:tc>
      </w:tr>
      <w:tr w:rsidR="00DF07C4" w14:paraId="4044DD14" w14:textId="77777777" w:rsidTr="00E7567B">
        <w:trPr>
          <w:cantSplit/>
          <w:jc w:val="center"/>
        </w:trPr>
        <w:tc>
          <w:tcPr>
            <w:tcW w:w="1224" w:type="dxa"/>
            <w:shd w:val="clear" w:color="auto" w:fill="FFFFFF"/>
            <w:tcMar>
              <w:top w:w="70" w:type="dxa"/>
              <w:left w:w="80" w:type="dxa"/>
              <w:bottom w:w="70" w:type="dxa"/>
              <w:right w:w="80" w:type="dxa"/>
            </w:tcMar>
            <w:vAlign w:val="center"/>
          </w:tcPr>
          <w:p w14:paraId="414DE66A" w14:textId="77777777" w:rsidR="00DF07C4" w:rsidRDefault="00000000">
            <w:pPr>
              <w:spacing w:before="40" w:after="40" w:line="259" w:lineRule="auto"/>
            </w:pPr>
            <w:r>
              <w:rPr>
                <w:rFonts w:ascii="Calibri" w:hAnsi="Calibri"/>
                <w:b/>
                <w:sz w:val="20"/>
              </w:rPr>
              <w:t>MVA-PRO-04</w:t>
            </w:r>
          </w:p>
        </w:tc>
        <w:tc>
          <w:tcPr>
            <w:tcW w:w="1656" w:type="dxa"/>
            <w:shd w:val="clear" w:color="auto" w:fill="FFFFFF"/>
            <w:tcMar>
              <w:top w:w="70" w:type="dxa"/>
              <w:left w:w="80" w:type="dxa"/>
              <w:bottom w:w="70" w:type="dxa"/>
              <w:right w:w="80" w:type="dxa"/>
            </w:tcMar>
            <w:vAlign w:val="center"/>
          </w:tcPr>
          <w:p w14:paraId="648D561C" w14:textId="77777777" w:rsidR="00DF07C4" w:rsidRDefault="00000000">
            <w:pPr>
              <w:spacing w:before="40" w:after="40" w:line="259" w:lineRule="auto"/>
            </w:pPr>
            <w:r>
              <w:rPr>
                <w:rFonts w:ascii="Calibri" w:hAnsi="Calibri"/>
                <w:sz w:val="20"/>
              </w:rPr>
              <w:t>MCL1-Shedder</w:t>
            </w:r>
          </w:p>
        </w:tc>
        <w:tc>
          <w:tcPr>
            <w:tcW w:w="2046" w:type="dxa"/>
            <w:shd w:val="clear" w:color="auto" w:fill="FFFFFF"/>
            <w:tcMar>
              <w:top w:w="70" w:type="dxa"/>
              <w:left w:w="80" w:type="dxa"/>
              <w:bottom w:w="70" w:type="dxa"/>
              <w:right w:w="80" w:type="dxa"/>
            </w:tcMar>
            <w:vAlign w:val="center"/>
          </w:tcPr>
          <w:p w14:paraId="1D2D55B4" w14:textId="77777777" w:rsidR="00DF07C4" w:rsidRDefault="00000000">
            <w:pPr>
              <w:spacing w:before="40" w:after="40" w:line="259" w:lineRule="auto"/>
            </w:pPr>
            <w:r>
              <w:rPr>
                <w:rFonts w:ascii="Calibri" w:hAnsi="Calibri"/>
                <w:sz w:val="20"/>
              </w:rPr>
              <w:t>MCL-1 BH3 Groove / CRBN E3 Ligase</w:t>
            </w:r>
          </w:p>
        </w:tc>
        <w:tc>
          <w:tcPr>
            <w:tcW w:w="1944" w:type="dxa"/>
            <w:shd w:val="clear" w:color="auto" w:fill="FFFFFF"/>
            <w:tcMar>
              <w:top w:w="70" w:type="dxa"/>
              <w:left w:w="80" w:type="dxa"/>
              <w:bottom w:w="70" w:type="dxa"/>
              <w:right w:w="80" w:type="dxa"/>
            </w:tcMar>
            <w:vAlign w:val="center"/>
          </w:tcPr>
          <w:p w14:paraId="6F3D9296" w14:textId="77777777" w:rsidR="00DF07C4" w:rsidRDefault="00000000">
            <w:pPr>
              <w:spacing w:before="40" w:after="40" w:line="259" w:lineRule="auto"/>
            </w:pPr>
            <w:r>
              <w:rPr>
                <w:rFonts w:ascii="Calibri" w:hAnsi="Calibri"/>
                <w:sz w:val="20"/>
              </w:rPr>
              <w:t>MCL-1-Directed PROTAC Degrader</w:t>
            </w:r>
          </w:p>
        </w:tc>
        <w:tc>
          <w:tcPr>
            <w:tcW w:w="792" w:type="dxa"/>
            <w:shd w:val="clear" w:color="auto" w:fill="FFFFFF"/>
            <w:tcMar>
              <w:top w:w="70" w:type="dxa"/>
              <w:left w:w="80" w:type="dxa"/>
              <w:bottom w:w="70" w:type="dxa"/>
              <w:right w:w="80" w:type="dxa"/>
            </w:tcMar>
            <w:vAlign w:val="center"/>
          </w:tcPr>
          <w:p w14:paraId="282D672D" w14:textId="77777777" w:rsidR="00DF07C4" w:rsidRDefault="00000000">
            <w:pPr>
              <w:spacing w:before="40" w:after="40" w:line="259" w:lineRule="auto"/>
              <w:jc w:val="center"/>
            </w:pPr>
            <w:r>
              <w:rPr>
                <w:rFonts w:ascii="Calibri" w:hAnsi="Calibri"/>
                <w:sz w:val="20"/>
              </w:rPr>
              <w:t>716.2</w:t>
            </w:r>
          </w:p>
        </w:tc>
        <w:tc>
          <w:tcPr>
            <w:tcW w:w="905" w:type="dxa"/>
            <w:shd w:val="clear" w:color="auto" w:fill="FFFFFF"/>
            <w:tcMar>
              <w:top w:w="70" w:type="dxa"/>
              <w:left w:w="80" w:type="dxa"/>
              <w:bottom w:w="70" w:type="dxa"/>
              <w:right w:w="80" w:type="dxa"/>
            </w:tcMar>
            <w:vAlign w:val="center"/>
          </w:tcPr>
          <w:p w14:paraId="70DBE55D" w14:textId="77777777" w:rsidR="00DF07C4" w:rsidRDefault="00000000">
            <w:pPr>
              <w:spacing w:before="40" w:after="40" w:line="259" w:lineRule="auto"/>
              <w:jc w:val="center"/>
            </w:pPr>
            <w:r>
              <w:rPr>
                <w:rFonts w:ascii="Calibri" w:hAnsi="Calibri"/>
                <w:sz w:val="20"/>
              </w:rPr>
              <w:t>5.86</w:t>
            </w:r>
          </w:p>
        </w:tc>
        <w:tc>
          <w:tcPr>
            <w:tcW w:w="792" w:type="dxa"/>
            <w:shd w:val="clear" w:color="auto" w:fill="FFFFFF"/>
            <w:tcMar>
              <w:top w:w="70" w:type="dxa"/>
              <w:left w:w="80" w:type="dxa"/>
              <w:bottom w:w="70" w:type="dxa"/>
              <w:right w:w="80" w:type="dxa"/>
            </w:tcMar>
            <w:vAlign w:val="center"/>
          </w:tcPr>
          <w:p w14:paraId="3EFB0D95" w14:textId="77777777" w:rsidR="00DF07C4" w:rsidRDefault="00000000">
            <w:pPr>
              <w:spacing w:before="40" w:after="40" w:line="259" w:lineRule="auto"/>
              <w:jc w:val="center"/>
            </w:pPr>
            <w:r>
              <w:rPr>
                <w:rFonts w:ascii="Calibri" w:hAnsi="Calibri"/>
                <w:b/>
                <w:sz w:val="20"/>
              </w:rPr>
              <w:t>0.10</w:t>
            </w:r>
          </w:p>
        </w:tc>
      </w:tr>
      <w:tr w:rsidR="00DF07C4" w14:paraId="424C053A" w14:textId="77777777" w:rsidTr="00E7567B">
        <w:trPr>
          <w:cantSplit/>
          <w:jc w:val="center"/>
        </w:trPr>
        <w:tc>
          <w:tcPr>
            <w:tcW w:w="1224" w:type="dxa"/>
            <w:shd w:val="clear" w:color="auto" w:fill="F1F5F9"/>
            <w:tcMar>
              <w:top w:w="70" w:type="dxa"/>
              <w:left w:w="80" w:type="dxa"/>
              <w:bottom w:w="70" w:type="dxa"/>
              <w:right w:w="80" w:type="dxa"/>
            </w:tcMar>
            <w:vAlign w:val="center"/>
          </w:tcPr>
          <w:p w14:paraId="2CE21AD7" w14:textId="77777777" w:rsidR="00DF07C4" w:rsidRDefault="00000000">
            <w:pPr>
              <w:spacing w:before="40" w:after="40" w:line="259" w:lineRule="auto"/>
            </w:pPr>
            <w:r>
              <w:rPr>
                <w:rFonts w:ascii="Calibri" w:hAnsi="Calibri"/>
                <w:b/>
                <w:sz w:val="20"/>
              </w:rPr>
              <w:t>MVA-PRO-05</w:t>
            </w:r>
          </w:p>
        </w:tc>
        <w:tc>
          <w:tcPr>
            <w:tcW w:w="1656" w:type="dxa"/>
            <w:shd w:val="clear" w:color="auto" w:fill="F1F5F9"/>
            <w:tcMar>
              <w:top w:w="70" w:type="dxa"/>
              <w:left w:w="80" w:type="dxa"/>
              <w:bottom w:w="70" w:type="dxa"/>
              <w:right w:w="80" w:type="dxa"/>
            </w:tcMar>
            <w:vAlign w:val="center"/>
          </w:tcPr>
          <w:p w14:paraId="792C6406" w14:textId="77777777" w:rsidR="00DF07C4" w:rsidRDefault="00000000">
            <w:pPr>
              <w:spacing w:before="40" w:after="40" w:line="259" w:lineRule="auto"/>
            </w:pPr>
            <w:proofErr w:type="spellStart"/>
            <w:r>
              <w:rPr>
                <w:rFonts w:ascii="Calibri" w:hAnsi="Calibri"/>
                <w:sz w:val="20"/>
              </w:rPr>
              <w:t>Navitobioisostere</w:t>
            </w:r>
            <w:proofErr w:type="spellEnd"/>
          </w:p>
        </w:tc>
        <w:tc>
          <w:tcPr>
            <w:tcW w:w="2046" w:type="dxa"/>
            <w:shd w:val="clear" w:color="auto" w:fill="F1F5F9"/>
            <w:tcMar>
              <w:top w:w="70" w:type="dxa"/>
              <w:left w:w="80" w:type="dxa"/>
              <w:bottom w:w="70" w:type="dxa"/>
              <w:right w:w="80" w:type="dxa"/>
            </w:tcMar>
            <w:vAlign w:val="center"/>
          </w:tcPr>
          <w:p w14:paraId="370623AE" w14:textId="77777777" w:rsidR="00DF07C4" w:rsidRDefault="00000000">
            <w:pPr>
              <w:spacing w:before="40" w:after="40" w:line="259" w:lineRule="auto"/>
            </w:pPr>
            <w:r>
              <w:rPr>
                <w:rFonts w:ascii="Calibri" w:hAnsi="Calibri"/>
                <w:sz w:val="20"/>
              </w:rPr>
              <w:t>BCL-</w:t>
            </w:r>
            <w:proofErr w:type="spellStart"/>
            <w:r>
              <w:rPr>
                <w:rFonts w:ascii="Calibri" w:hAnsi="Calibri"/>
                <w:sz w:val="20"/>
              </w:rPr>
              <w:t>xL</w:t>
            </w:r>
            <w:proofErr w:type="spellEnd"/>
            <w:r>
              <w:rPr>
                <w:rFonts w:ascii="Calibri" w:hAnsi="Calibri"/>
                <w:sz w:val="20"/>
              </w:rPr>
              <w:t xml:space="preserve"> Hydrophobic Groove (Non-PROTAC)</w:t>
            </w:r>
          </w:p>
        </w:tc>
        <w:tc>
          <w:tcPr>
            <w:tcW w:w="1944" w:type="dxa"/>
            <w:shd w:val="clear" w:color="auto" w:fill="F1F5F9"/>
            <w:tcMar>
              <w:top w:w="70" w:type="dxa"/>
              <w:left w:w="80" w:type="dxa"/>
              <w:bottom w:w="70" w:type="dxa"/>
              <w:right w:w="80" w:type="dxa"/>
            </w:tcMar>
            <w:vAlign w:val="center"/>
          </w:tcPr>
          <w:p w14:paraId="01939A77" w14:textId="77777777" w:rsidR="00DF07C4" w:rsidRDefault="00000000">
            <w:pPr>
              <w:spacing w:before="40" w:after="40" w:line="259" w:lineRule="auto"/>
            </w:pPr>
            <w:r>
              <w:rPr>
                <w:rFonts w:ascii="Calibri" w:hAnsi="Calibri"/>
                <w:sz w:val="20"/>
              </w:rPr>
              <w:t xml:space="preserve">Optimized Navitoclax / ABT-263 </w:t>
            </w:r>
            <w:proofErr w:type="spellStart"/>
            <w:r>
              <w:rPr>
                <w:rFonts w:ascii="Calibri" w:hAnsi="Calibri"/>
                <w:sz w:val="20"/>
              </w:rPr>
              <w:t>Bioisostere</w:t>
            </w:r>
            <w:proofErr w:type="spellEnd"/>
          </w:p>
        </w:tc>
        <w:tc>
          <w:tcPr>
            <w:tcW w:w="792" w:type="dxa"/>
            <w:shd w:val="clear" w:color="auto" w:fill="F1F5F9"/>
            <w:tcMar>
              <w:top w:w="70" w:type="dxa"/>
              <w:left w:w="80" w:type="dxa"/>
              <w:bottom w:w="70" w:type="dxa"/>
              <w:right w:w="80" w:type="dxa"/>
            </w:tcMar>
            <w:vAlign w:val="center"/>
          </w:tcPr>
          <w:p w14:paraId="169968F3" w14:textId="77777777" w:rsidR="00DF07C4" w:rsidRDefault="00000000">
            <w:pPr>
              <w:spacing w:before="40" w:after="40" w:line="259" w:lineRule="auto"/>
              <w:jc w:val="center"/>
            </w:pPr>
            <w:r>
              <w:rPr>
                <w:rFonts w:ascii="Calibri" w:hAnsi="Calibri"/>
                <w:sz w:val="20"/>
              </w:rPr>
              <w:t>597.2</w:t>
            </w:r>
          </w:p>
        </w:tc>
        <w:tc>
          <w:tcPr>
            <w:tcW w:w="905" w:type="dxa"/>
            <w:shd w:val="clear" w:color="auto" w:fill="F1F5F9"/>
            <w:tcMar>
              <w:top w:w="70" w:type="dxa"/>
              <w:left w:w="80" w:type="dxa"/>
              <w:bottom w:w="70" w:type="dxa"/>
              <w:right w:w="80" w:type="dxa"/>
            </w:tcMar>
            <w:vAlign w:val="center"/>
          </w:tcPr>
          <w:p w14:paraId="165C0214" w14:textId="77777777" w:rsidR="00DF07C4" w:rsidRDefault="00000000">
            <w:pPr>
              <w:spacing w:before="40" w:after="40" w:line="259" w:lineRule="auto"/>
              <w:jc w:val="center"/>
            </w:pPr>
            <w:r>
              <w:rPr>
                <w:rFonts w:ascii="Calibri" w:hAnsi="Calibri"/>
                <w:sz w:val="20"/>
              </w:rPr>
              <w:t>4.33</w:t>
            </w:r>
          </w:p>
        </w:tc>
        <w:tc>
          <w:tcPr>
            <w:tcW w:w="792" w:type="dxa"/>
            <w:shd w:val="clear" w:color="auto" w:fill="F1F5F9"/>
            <w:tcMar>
              <w:top w:w="70" w:type="dxa"/>
              <w:left w:w="80" w:type="dxa"/>
              <w:bottom w:w="70" w:type="dxa"/>
              <w:right w:w="80" w:type="dxa"/>
            </w:tcMar>
            <w:vAlign w:val="center"/>
          </w:tcPr>
          <w:p w14:paraId="62C88966" w14:textId="77777777" w:rsidR="00DF07C4" w:rsidRDefault="00000000">
            <w:pPr>
              <w:spacing w:before="40" w:after="40" w:line="259" w:lineRule="auto"/>
              <w:jc w:val="center"/>
            </w:pPr>
            <w:r>
              <w:rPr>
                <w:rFonts w:ascii="Calibri" w:hAnsi="Calibri"/>
                <w:b/>
                <w:sz w:val="20"/>
              </w:rPr>
              <w:t>0.36</w:t>
            </w:r>
          </w:p>
        </w:tc>
      </w:tr>
      <w:tr w:rsidR="00DF07C4" w14:paraId="750D5AA9" w14:textId="77777777" w:rsidTr="00E7567B">
        <w:trPr>
          <w:cantSplit/>
          <w:jc w:val="center"/>
        </w:trPr>
        <w:tc>
          <w:tcPr>
            <w:tcW w:w="1224" w:type="dxa"/>
            <w:shd w:val="clear" w:color="auto" w:fill="FFFFFF"/>
            <w:tcMar>
              <w:top w:w="70" w:type="dxa"/>
              <w:left w:w="80" w:type="dxa"/>
              <w:bottom w:w="70" w:type="dxa"/>
              <w:right w:w="80" w:type="dxa"/>
            </w:tcMar>
            <w:vAlign w:val="center"/>
          </w:tcPr>
          <w:p w14:paraId="79716B44" w14:textId="77777777" w:rsidR="00DF07C4" w:rsidRDefault="00000000">
            <w:pPr>
              <w:spacing w:before="40" w:after="40" w:line="259" w:lineRule="auto"/>
            </w:pPr>
            <w:r>
              <w:rPr>
                <w:rFonts w:ascii="Calibri" w:hAnsi="Calibri"/>
                <w:b/>
                <w:sz w:val="20"/>
              </w:rPr>
              <w:t>MVA-CEN-01</w:t>
            </w:r>
          </w:p>
        </w:tc>
        <w:tc>
          <w:tcPr>
            <w:tcW w:w="1656" w:type="dxa"/>
            <w:shd w:val="clear" w:color="auto" w:fill="FFFFFF"/>
            <w:tcMar>
              <w:top w:w="70" w:type="dxa"/>
              <w:left w:w="80" w:type="dxa"/>
              <w:bottom w:w="70" w:type="dxa"/>
              <w:right w:w="80" w:type="dxa"/>
            </w:tcMar>
            <w:vAlign w:val="center"/>
          </w:tcPr>
          <w:p w14:paraId="0F2D10CF" w14:textId="77777777" w:rsidR="00812CED" w:rsidRDefault="00000000">
            <w:pPr>
              <w:spacing w:before="40" w:after="40" w:line="259" w:lineRule="auto"/>
            </w:pPr>
            <w:proofErr w:type="spellStart"/>
            <w:r>
              <w:rPr>
                <w:rFonts w:ascii="Calibri" w:hAnsi="Calibri"/>
                <w:sz w:val="20"/>
              </w:rPr>
              <w:t>Kinetochorin</w:t>
            </w:r>
            <w:proofErr w:type="spellEnd"/>
            <w:r>
              <w:rPr>
                <w:rFonts w:ascii="Calibri" w:hAnsi="Calibri"/>
                <w:sz w:val="20"/>
              </w:rPr>
              <w:t xml:space="preserve"> Alpha</w:t>
            </w:r>
          </w:p>
        </w:tc>
        <w:tc>
          <w:tcPr>
            <w:tcW w:w="2046" w:type="dxa"/>
            <w:shd w:val="clear" w:color="auto" w:fill="FFFFFF"/>
            <w:tcMar>
              <w:top w:w="70" w:type="dxa"/>
              <w:left w:w="80" w:type="dxa"/>
              <w:bottom w:w="70" w:type="dxa"/>
              <w:right w:w="80" w:type="dxa"/>
            </w:tcMar>
            <w:vAlign w:val="center"/>
          </w:tcPr>
          <w:p w14:paraId="4EEA877A" w14:textId="77777777" w:rsidR="00DF07C4" w:rsidRDefault="00000000">
            <w:pPr>
              <w:spacing w:before="40" w:after="40" w:line="259" w:lineRule="auto"/>
            </w:pPr>
            <w:r>
              <w:rPr>
                <w:rFonts w:ascii="Calibri" w:hAnsi="Calibri"/>
                <w:sz w:val="20"/>
              </w:rPr>
              <w:t>CENPE Kinesin Motor Neck-Linker</w:t>
            </w:r>
          </w:p>
        </w:tc>
        <w:tc>
          <w:tcPr>
            <w:tcW w:w="1944" w:type="dxa"/>
            <w:shd w:val="clear" w:color="auto" w:fill="FFFFFF"/>
            <w:tcMar>
              <w:top w:w="70" w:type="dxa"/>
              <w:left w:w="80" w:type="dxa"/>
              <w:bottom w:w="70" w:type="dxa"/>
              <w:right w:w="80" w:type="dxa"/>
            </w:tcMar>
            <w:vAlign w:val="center"/>
          </w:tcPr>
          <w:p w14:paraId="165C2897" w14:textId="77777777" w:rsidR="00DF07C4" w:rsidRDefault="00000000">
            <w:pPr>
              <w:spacing w:before="40" w:after="40" w:line="259" w:lineRule="auto"/>
            </w:pPr>
            <w:r>
              <w:rPr>
                <w:rFonts w:ascii="Calibri" w:hAnsi="Calibri"/>
                <w:sz w:val="20"/>
              </w:rPr>
              <w:t>Mechanochemical Cycle Allosteric Stabilizer</w:t>
            </w:r>
          </w:p>
        </w:tc>
        <w:tc>
          <w:tcPr>
            <w:tcW w:w="792" w:type="dxa"/>
            <w:shd w:val="clear" w:color="auto" w:fill="FFFFFF"/>
            <w:tcMar>
              <w:top w:w="70" w:type="dxa"/>
              <w:left w:w="80" w:type="dxa"/>
              <w:bottom w:w="70" w:type="dxa"/>
              <w:right w:w="80" w:type="dxa"/>
            </w:tcMar>
            <w:vAlign w:val="center"/>
          </w:tcPr>
          <w:p w14:paraId="688DF774" w14:textId="77777777" w:rsidR="00DF07C4" w:rsidRDefault="00000000">
            <w:pPr>
              <w:spacing w:before="40" w:after="40" w:line="259" w:lineRule="auto"/>
              <w:jc w:val="center"/>
            </w:pPr>
            <w:r>
              <w:rPr>
                <w:rFonts w:ascii="Calibri" w:hAnsi="Calibri"/>
                <w:sz w:val="20"/>
              </w:rPr>
              <w:t>451.9</w:t>
            </w:r>
          </w:p>
        </w:tc>
        <w:tc>
          <w:tcPr>
            <w:tcW w:w="905" w:type="dxa"/>
            <w:shd w:val="clear" w:color="auto" w:fill="FFFFFF"/>
            <w:tcMar>
              <w:top w:w="70" w:type="dxa"/>
              <w:left w:w="80" w:type="dxa"/>
              <w:bottom w:w="70" w:type="dxa"/>
              <w:right w:w="80" w:type="dxa"/>
            </w:tcMar>
            <w:vAlign w:val="center"/>
          </w:tcPr>
          <w:p w14:paraId="295B0BBD" w14:textId="77777777" w:rsidR="00DF07C4" w:rsidRDefault="00000000">
            <w:pPr>
              <w:spacing w:before="40" w:after="40" w:line="259" w:lineRule="auto"/>
              <w:jc w:val="center"/>
            </w:pPr>
            <w:r>
              <w:rPr>
                <w:rFonts w:ascii="Calibri" w:hAnsi="Calibri"/>
                <w:sz w:val="20"/>
              </w:rPr>
              <w:t>4.65</w:t>
            </w:r>
          </w:p>
        </w:tc>
        <w:tc>
          <w:tcPr>
            <w:tcW w:w="792" w:type="dxa"/>
            <w:shd w:val="clear" w:color="auto" w:fill="FFFFFF"/>
            <w:tcMar>
              <w:top w:w="70" w:type="dxa"/>
              <w:left w:w="80" w:type="dxa"/>
              <w:bottom w:w="70" w:type="dxa"/>
              <w:right w:w="80" w:type="dxa"/>
            </w:tcMar>
            <w:vAlign w:val="center"/>
          </w:tcPr>
          <w:p w14:paraId="24DE0909" w14:textId="77777777" w:rsidR="00DF07C4" w:rsidRDefault="00000000">
            <w:pPr>
              <w:spacing w:before="40" w:after="40" w:line="259" w:lineRule="auto"/>
              <w:jc w:val="center"/>
            </w:pPr>
            <w:r>
              <w:rPr>
                <w:rFonts w:ascii="Calibri" w:hAnsi="Calibri"/>
                <w:b/>
                <w:sz w:val="20"/>
              </w:rPr>
              <w:t>0.22</w:t>
            </w:r>
          </w:p>
        </w:tc>
      </w:tr>
      <w:tr w:rsidR="00DF07C4" w14:paraId="230EE7A5" w14:textId="77777777" w:rsidTr="00E7567B">
        <w:trPr>
          <w:cantSplit/>
          <w:jc w:val="center"/>
        </w:trPr>
        <w:tc>
          <w:tcPr>
            <w:tcW w:w="1224" w:type="dxa"/>
            <w:shd w:val="clear" w:color="auto" w:fill="F1F5F9"/>
            <w:tcMar>
              <w:top w:w="70" w:type="dxa"/>
              <w:left w:w="80" w:type="dxa"/>
              <w:bottom w:w="70" w:type="dxa"/>
              <w:right w:w="80" w:type="dxa"/>
            </w:tcMar>
            <w:vAlign w:val="center"/>
          </w:tcPr>
          <w:p w14:paraId="1C5BEEAC" w14:textId="77777777" w:rsidR="00DF07C4" w:rsidRDefault="00000000">
            <w:pPr>
              <w:spacing w:before="40" w:after="40" w:line="259" w:lineRule="auto"/>
            </w:pPr>
            <w:r>
              <w:rPr>
                <w:rFonts w:ascii="Calibri" w:hAnsi="Calibri"/>
                <w:b/>
                <w:sz w:val="20"/>
              </w:rPr>
              <w:t>MVA-CEN-02</w:t>
            </w:r>
          </w:p>
        </w:tc>
        <w:tc>
          <w:tcPr>
            <w:tcW w:w="1656" w:type="dxa"/>
            <w:shd w:val="clear" w:color="auto" w:fill="F1F5F9"/>
            <w:tcMar>
              <w:top w:w="70" w:type="dxa"/>
              <w:left w:w="80" w:type="dxa"/>
              <w:bottom w:w="70" w:type="dxa"/>
              <w:right w:w="80" w:type="dxa"/>
            </w:tcMar>
            <w:vAlign w:val="center"/>
          </w:tcPr>
          <w:p w14:paraId="0DDFF7E8" w14:textId="77777777" w:rsidR="00DF07C4" w:rsidRDefault="00000000">
            <w:pPr>
              <w:spacing w:before="40" w:after="40" w:line="259" w:lineRule="auto"/>
            </w:pPr>
            <w:proofErr w:type="spellStart"/>
            <w:r>
              <w:rPr>
                <w:rFonts w:ascii="Calibri" w:hAnsi="Calibri"/>
                <w:sz w:val="20"/>
              </w:rPr>
              <w:t>Quinazo</w:t>
            </w:r>
            <w:proofErr w:type="spellEnd"/>
            <w:r>
              <w:rPr>
                <w:rFonts w:ascii="Calibri" w:hAnsi="Calibri"/>
                <w:sz w:val="20"/>
              </w:rPr>
              <w:t>-Motor</w:t>
            </w:r>
          </w:p>
        </w:tc>
        <w:tc>
          <w:tcPr>
            <w:tcW w:w="2046" w:type="dxa"/>
            <w:shd w:val="clear" w:color="auto" w:fill="F1F5F9"/>
            <w:tcMar>
              <w:top w:w="70" w:type="dxa"/>
              <w:left w:w="80" w:type="dxa"/>
              <w:bottom w:w="70" w:type="dxa"/>
              <w:right w:w="80" w:type="dxa"/>
            </w:tcMar>
            <w:vAlign w:val="center"/>
          </w:tcPr>
          <w:p w14:paraId="64363454" w14:textId="77777777" w:rsidR="00DF07C4" w:rsidRDefault="00000000">
            <w:pPr>
              <w:spacing w:before="40" w:after="40" w:line="259" w:lineRule="auto"/>
            </w:pPr>
            <w:r>
              <w:rPr>
                <w:rFonts w:ascii="Calibri" w:hAnsi="Calibri"/>
                <w:sz w:val="20"/>
              </w:rPr>
              <w:t>CENPE Allosteric Catalytic ATPase Pocket</w:t>
            </w:r>
          </w:p>
        </w:tc>
        <w:tc>
          <w:tcPr>
            <w:tcW w:w="1944" w:type="dxa"/>
            <w:shd w:val="clear" w:color="auto" w:fill="F1F5F9"/>
            <w:tcMar>
              <w:top w:w="70" w:type="dxa"/>
              <w:left w:w="80" w:type="dxa"/>
              <w:bottom w:w="70" w:type="dxa"/>
              <w:right w:w="80" w:type="dxa"/>
            </w:tcMar>
            <w:vAlign w:val="center"/>
          </w:tcPr>
          <w:p w14:paraId="0E826B70" w14:textId="77777777" w:rsidR="00DF07C4" w:rsidRDefault="00000000">
            <w:pPr>
              <w:spacing w:before="40" w:after="40" w:line="259" w:lineRule="auto"/>
            </w:pPr>
            <w:r>
              <w:rPr>
                <w:rFonts w:ascii="Calibri" w:hAnsi="Calibri"/>
                <w:sz w:val="20"/>
              </w:rPr>
              <w:t>Quinazoline Allosteric Motor Activator</w:t>
            </w:r>
          </w:p>
        </w:tc>
        <w:tc>
          <w:tcPr>
            <w:tcW w:w="792" w:type="dxa"/>
            <w:shd w:val="clear" w:color="auto" w:fill="F1F5F9"/>
            <w:tcMar>
              <w:top w:w="70" w:type="dxa"/>
              <w:left w:w="80" w:type="dxa"/>
              <w:bottom w:w="70" w:type="dxa"/>
              <w:right w:w="80" w:type="dxa"/>
            </w:tcMar>
            <w:vAlign w:val="center"/>
          </w:tcPr>
          <w:p w14:paraId="3C6050E6" w14:textId="77777777" w:rsidR="00DF07C4" w:rsidRDefault="00000000">
            <w:pPr>
              <w:spacing w:before="40" w:after="40" w:line="259" w:lineRule="auto"/>
              <w:jc w:val="center"/>
            </w:pPr>
            <w:r>
              <w:rPr>
                <w:rFonts w:ascii="Calibri" w:hAnsi="Calibri"/>
                <w:sz w:val="20"/>
              </w:rPr>
              <w:t>473.4</w:t>
            </w:r>
          </w:p>
        </w:tc>
        <w:tc>
          <w:tcPr>
            <w:tcW w:w="905" w:type="dxa"/>
            <w:shd w:val="clear" w:color="auto" w:fill="F1F5F9"/>
            <w:tcMar>
              <w:top w:w="70" w:type="dxa"/>
              <w:left w:w="80" w:type="dxa"/>
              <w:bottom w:w="70" w:type="dxa"/>
              <w:right w:w="80" w:type="dxa"/>
            </w:tcMar>
            <w:vAlign w:val="center"/>
          </w:tcPr>
          <w:p w14:paraId="560C5DA5" w14:textId="77777777" w:rsidR="00DF07C4" w:rsidRDefault="00000000">
            <w:pPr>
              <w:spacing w:before="40" w:after="40" w:line="259" w:lineRule="auto"/>
              <w:jc w:val="center"/>
            </w:pPr>
            <w:r>
              <w:rPr>
                <w:rFonts w:ascii="Calibri" w:hAnsi="Calibri"/>
                <w:sz w:val="20"/>
              </w:rPr>
              <w:t>4.25</w:t>
            </w:r>
          </w:p>
        </w:tc>
        <w:tc>
          <w:tcPr>
            <w:tcW w:w="792" w:type="dxa"/>
            <w:shd w:val="clear" w:color="auto" w:fill="F1F5F9"/>
            <w:tcMar>
              <w:top w:w="70" w:type="dxa"/>
              <w:left w:w="80" w:type="dxa"/>
              <w:bottom w:w="70" w:type="dxa"/>
              <w:right w:w="80" w:type="dxa"/>
            </w:tcMar>
            <w:vAlign w:val="center"/>
          </w:tcPr>
          <w:p w14:paraId="337177D5" w14:textId="77777777" w:rsidR="00DF07C4" w:rsidRDefault="00000000">
            <w:pPr>
              <w:spacing w:before="40" w:after="40" w:line="259" w:lineRule="auto"/>
              <w:jc w:val="center"/>
            </w:pPr>
            <w:r>
              <w:rPr>
                <w:rFonts w:ascii="Calibri" w:hAnsi="Calibri"/>
                <w:b/>
                <w:sz w:val="20"/>
              </w:rPr>
              <w:t>0.49</w:t>
            </w:r>
          </w:p>
        </w:tc>
      </w:tr>
      <w:tr w:rsidR="00DF07C4" w14:paraId="471D99D3" w14:textId="77777777" w:rsidTr="00E7567B">
        <w:trPr>
          <w:cantSplit/>
          <w:jc w:val="center"/>
        </w:trPr>
        <w:tc>
          <w:tcPr>
            <w:tcW w:w="1224" w:type="dxa"/>
            <w:shd w:val="clear" w:color="auto" w:fill="FFFFFF"/>
            <w:tcMar>
              <w:top w:w="70" w:type="dxa"/>
              <w:left w:w="80" w:type="dxa"/>
              <w:bottom w:w="70" w:type="dxa"/>
              <w:right w:w="80" w:type="dxa"/>
            </w:tcMar>
            <w:vAlign w:val="center"/>
          </w:tcPr>
          <w:p w14:paraId="0DD96070" w14:textId="77777777" w:rsidR="00DF07C4" w:rsidRDefault="00000000">
            <w:pPr>
              <w:spacing w:before="40" w:after="40" w:line="259" w:lineRule="auto"/>
            </w:pPr>
            <w:r>
              <w:rPr>
                <w:rFonts w:ascii="Calibri" w:hAnsi="Calibri"/>
                <w:b/>
                <w:sz w:val="20"/>
              </w:rPr>
              <w:t>MVA-CEN-03</w:t>
            </w:r>
          </w:p>
        </w:tc>
        <w:tc>
          <w:tcPr>
            <w:tcW w:w="1656" w:type="dxa"/>
            <w:shd w:val="clear" w:color="auto" w:fill="FFFFFF"/>
            <w:tcMar>
              <w:top w:w="70" w:type="dxa"/>
              <w:left w:w="80" w:type="dxa"/>
              <w:bottom w:w="70" w:type="dxa"/>
              <w:right w:w="80" w:type="dxa"/>
            </w:tcMar>
            <w:vAlign w:val="center"/>
          </w:tcPr>
          <w:p w14:paraId="675564B4" w14:textId="77777777" w:rsidR="00DF07C4" w:rsidRDefault="00000000">
            <w:pPr>
              <w:spacing w:before="40" w:after="40" w:line="259" w:lineRule="auto"/>
            </w:pPr>
            <w:proofErr w:type="spellStart"/>
            <w:r>
              <w:rPr>
                <w:rFonts w:ascii="Calibri" w:hAnsi="Calibri"/>
                <w:sz w:val="20"/>
              </w:rPr>
              <w:t>Benzimidaz</w:t>
            </w:r>
            <w:proofErr w:type="spellEnd"/>
            <w:r>
              <w:rPr>
                <w:rFonts w:ascii="Calibri" w:hAnsi="Calibri"/>
                <w:sz w:val="20"/>
              </w:rPr>
              <w:t>-CEN</w:t>
            </w:r>
          </w:p>
        </w:tc>
        <w:tc>
          <w:tcPr>
            <w:tcW w:w="2046" w:type="dxa"/>
            <w:shd w:val="clear" w:color="auto" w:fill="FFFFFF"/>
            <w:tcMar>
              <w:top w:w="70" w:type="dxa"/>
              <w:left w:w="80" w:type="dxa"/>
              <w:bottom w:w="70" w:type="dxa"/>
              <w:right w:w="80" w:type="dxa"/>
            </w:tcMar>
            <w:vAlign w:val="center"/>
          </w:tcPr>
          <w:p w14:paraId="52053A30" w14:textId="77777777" w:rsidR="00DF07C4" w:rsidRDefault="00000000">
            <w:pPr>
              <w:spacing w:before="40" w:after="40" w:line="259" w:lineRule="auto"/>
            </w:pPr>
            <w:r>
              <w:rPr>
                <w:rFonts w:ascii="Calibri" w:hAnsi="Calibri"/>
                <w:sz w:val="20"/>
              </w:rPr>
              <w:t>CENPE – Alpha/Beta-Tubulin Interface</w:t>
            </w:r>
          </w:p>
        </w:tc>
        <w:tc>
          <w:tcPr>
            <w:tcW w:w="1944" w:type="dxa"/>
            <w:shd w:val="clear" w:color="auto" w:fill="FFFFFF"/>
            <w:tcMar>
              <w:top w:w="70" w:type="dxa"/>
              <w:left w:w="80" w:type="dxa"/>
              <w:bottom w:w="70" w:type="dxa"/>
              <w:right w:w="80" w:type="dxa"/>
            </w:tcMar>
            <w:vAlign w:val="center"/>
          </w:tcPr>
          <w:p w14:paraId="2D961363" w14:textId="77777777" w:rsidR="00DF07C4" w:rsidRDefault="00000000">
            <w:pPr>
              <w:spacing w:before="40" w:after="40" w:line="259" w:lineRule="auto"/>
            </w:pPr>
            <w:r>
              <w:rPr>
                <w:rFonts w:ascii="Calibri" w:hAnsi="Calibri"/>
                <w:sz w:val="20"/>
              </w:rPr>
              <w:t>Protein-Protein Interface Stabilizer</w:t>
            </w:r>
          </w:p>
        </w:tc>
        <w:tc>
          <w:tcPr>
            <w:tcW w:w="792" w:type="dxa"/>
            <w:shd w:val="clear" w:color="auto" w:fill="FFFFFF"/>
            <w:tcMar>
              <w:top w:w="70" w:type="dxa"/>
              <w:left w:w="80" w:type="dxa"/>
              <w:bottom w:w="70" w:type="dxa"/>
              <w:right w:w="80" w:type="dxa"/>
            </w:tcMar>
            <w:vAlign w:val="center"/>
          </w:tcPr>
          <w:p w14:paraId="71728F88" w14:textId="77777777" w:rsidR="00DF07C4" w:rsidRDefault="00000000">
            <w:pPr>
              <w:spacing w:before="40" w:after="40" w:line="259" w:lineRule="auto"/>
              <w:jc w:val="center"/>
            </w:pPr>
            <w:r>
              <w:rPr>
                <w:rFonts w:ascii="Calibri" w:hAnsi="Calibri"/>
                <w:sz w:val="20"/>
              </w:rPr>
              <w:t>417.5</w:t>
            </w:r>
          </w:p>
        </w:tc>
        <w:tc>
          <w:tcPr>
            <w:tcW w:w="905" w:type="dxa"/>
            <w:shd w:val="clear" w:color="auto" w:fill="FFFFFF"/>
            <w:tcMar>
              <w:top w:w="70" w:type="dxa"/>
              <w:left w:w="80" w:type="dxa"/>
              <w:bottom w:w="70" w:type="dxa"/>
              <w:right w:w="80" w:type="dxa"/>
            </w:tcMar>
            <w:vAlign w:val="center"/>
          </w:tcPr>
          <w:p w14:paraId="52F95B0D" w14:textId="77777777" w:rsidR="00DF07C4" w:rsidRDefault="00000000">
            <w:pPr>
              <w:spacing w:before="40" w:after="40" w:line="259" w:lineRule="auto"/>
              <w:jc w:val="center"/>
            </w:pPr>
            <w:r>
              <w:rPr>
                <w:rFonts w:ascii="Calibri" w:hAnsi="Calibri"/>
                <w:sz w:val="20"/>
              </w:rPr>
              <w:t>5.46</w:t>
            </w:r>
          </w:p>
        </w:tc>
        <w:tc>
          <w:tcPr>
            <w:tcW w:w="792" w:type="dxa"/>
            <w:shd w:val="clear" w:color="auto" w:fill="FFFFFF"/>
            <w:tcMar>
              <w:top w:w="70" w:type="dxa"/>
              <w:left w:w="80" w:type="dxa"/>
              <w:bottom w:w="70" w:type="dxa"/>
              <w:right w:w="80" w:type="dxa"/>
            </w:tcMar>
            <w:vAlign w:val="center"/>
          </w:tcPr>
          <w:p w14:paraId="4326EB4C" w14:textId="77777777" w:rsidR="00DF07C4" w:rsidRDefault="00000000">
            <w:pPr>
              <w:spacing w:before="40" w:after="40" w:line="259" w:lineRule="auto"/>
              <w:jc w:val="center"/>
            </w:pPr>
            <w:r>
              <w:rPr>
                <w:rFonts w:ascii="Calibri" w:hAnsi="Calibri"/>
                <w:b/>
                <w:sz w:val="20"/>
              </w:rPr>
              <w:t>0.44</w:t>
            </w:r>
          </w:p>
        </w:tc>
      </w:tr>
      <w:tr w:rsidR="00DF07C4" w14:paraId="26939D32" w14:textId="77777777" w:rsidTr="00E7567B">
        <w:trPr>
          <w:cantSplit/>
          <w:jc w:val="center"/>
        </w:trPr>
        <w:tc>
          <w:tcPr>
            <w:tcW w:w="1224" w:type="dxa"/>
            <w:shd w:val="clear" w:color="auto" w:fill="F1F5F9"/>
            <w:tcMar>
              <w:top w:w="70" w:type="dxa"/>
              <w:left w:w="80" w:type="dxa"/>
              <w:bottom w:w="70" w:type="dxa"/>
              <w:right w:w="80" w:type="dxa"/>
            </w:tcMar>
            <w:vAlign w:val="center"/>
          </w:tcPr>
          <w:p w14:paraId="55A31DF9" w14:textId="77777777" w:rsidR="00DF07C4" w:rsidRDefault="00000000">
            <w:pPr>
              <w:spacing w:before="40" w:after="40" w:line="259" w:lineRule="auto"/>
            </w:pPr>
            <w:r>
              <w:rPr>
                <w:rFonts w:ascii="Calibri" w:hAnsi="Calibri"/>
                <w:b/>
                <w:sz w:val="20"/>
              </w:rPr>
              <w:t>MVA-CEN-04</w:t>
            </w:r>
          </w:p>
        </w:tc>
        <w:tc>
          <w:tcPr>
            <w:tcW w:w="1656" w:type="dxa"/>
            <w:shd w:val="clear" w:color="auto" w:fill="F1F5F9"/>
            <w:tcMar>
              <w:top w:w="70" w:type="dxa"/>
              <w:left w:w="80" w:type="dxa"/>
              <w:bottom w:w="70" w:type="dxa"/>
              <w:right w:w="80" w:type="dxa"/>
            </w:tcMar>
            <w:vAlign w:val="center"/>
          </w:tcPr>
          <w:p w14:paraId="6DC1CFFE" w14:textId="77777777" w:rsidR="00DF07C4" w:rsidRDefault="00000000">
            <w:pPr>
              <w:spacing w:before="40" w:after="40" w:line="259" w:lineRule="auto"/>
            </w:pPr>
            <w:r>
              <w:rPr>
                <w:rFonts w:ascii="Calibri" w:hAnsi="Calibri"/>
                <w:sz w:val="20"/>
              </w:rPr>
              <w:t>Tetrahydro-Step</w:t>
            </w:r>
          </w:p>
        </w:tc>
        <w:tc>
          <w:tcPr>
            <w:tcW w:w="2046" w:type="dxa"/>
            <w:shd w:val="clear" w:color="auto" w:fill="F1F5F9"/>
            <w:tcMar>
              <w:top w:w="70" w:type="dxa"/>
              <w:left w:w="80" w:type="dxa"/>
              <w:bottom w:w="70" w:type="dxa"/>
              <w:right w:w="80" w:type="dxa"/>
            </w:tcMar>
            <w:vAlign w:val="center"/>
          </w:tcPr>
          <w:p w14:paraId="3F552AC0" w14:textId="77777777" w:rsidR="00DF07C4" w:rsidRDefault="00000000">
            <w:pPr>
              <w:spacing w:before="40" w:after="40" w:line="259" w:lineRule="auto"/>
            </w:pPr>
            <w:r>
              <w:rPr>
                <w:rFonts w:ascii="Calibri" w:hAnsi="Calibri"/>
                <w:sz w:val="20"/>
              </w:rPr>
              <w:t>CENPE Coiled-Coil Stalk Dimerization Hinge</w:t>
            </w:r>
          </w:p>
        </w:tc>
        <w:tc>
          <w:tcPr>
            <w:tcW w:w="1944" w:type="dxa"/>
            <w:shd w:val="clear" w:color="auto" w:fill="F1F5F9"/>
            <w:tcMar>
              <w:top w:w="70" w:type="dxa"/>
              <w:left w:w="80" w:type="dxa"/>
              <w:bottom w:w="70" w:type="dxa"/>
              <w:right w:w="80" w:type="dxa"/>
            </w:tcMar>
            <w:vAlign w:val="center"/>
          </w:tcPr>
          <w:p w14:paraId="4155DBBF" w14:textId="77777777" w:rsidR="00DF07C4" w:rsidRDefault="00000000">
            <w:pPr>
              <w:spacing w:before="40" w:after="40" w:line="259" w:lineRule="auto"/>
            </w:pPr>
            <w:r>
              <w:rPr>
                <w:rFonts w:ascii="Calibri" w:hAnsi="Calibri"/>
                <w:sz w:val="20"/>
              </w:rPr>
              <w:t>Kinesin Dimer Structural Clamp</w:t>
            </w:r>
          </w:p>
        </w:tc>
        <w:tc>
          <w:tcPr>
            <w:tcW w:w="792" w:type="dxa"/>
            <w:shd w:val="clear" w:color="auto" w:fill="F1F5F9"/>
            <w:tcMar>
              <w:top w:w="70" w:type="dxa"/>
              <w:left w:w="80" w:type="dxa"/>
              <w:bottom w:w="70" w:type="dxa"/>
              <w:right w:w="80" w:type="dxa"/>
            </w:tcMar>
            <w:vAlign w:val="center"/>
          </w:tcPr>
          <w:p w14:paraId="15DBF99E" w14:textId="77777777" w:rsidR="00DF07C4" w:rsidRDefault="00000000">
            <w:pPr>
              <w:spacing w:before="40" w:after="40" w:line="259" w:lineRule="auto"/>
              <w:jc w:val="center"/>
            </w:pPr>
            <w:r>
              <w:rPr>
                <w:rFonts w:ascii="Calibri" w:hAnsi="Calibri"/>
                <w:sz w:val="20"/>
              </w:rPr>
              <w:t>476.0</w:t>
            </w:r>
          </w:p>
        </w:tc>
        <w:tc>
          <w:tcPr>
            <w:tcW w:w="905" w:type="dxa"/>
            <w:shd w:val="clear" w:color="auto" w:fill="F1F5F9"/>
            <w:tcMar>
              <w:top w:w="70" w:type="dxa"/>
              <w:left w:w="80" w:type="dxa"/>
              <w:bottom w:w="70" w:type="dxa"/>
              <w:right w:w="80" w:type="dxa"/>
            </w:tcMar>
            <w:vAlign w:val="center"/>
          </w:tcPr>
          <w:p w14:paraId="3303E3F6" w14:textId="77777777" w:rsidR="00DF07C4" w:rsidRDefault="00000000">
            <w:pPr>
              <w:spacing w:before="40" w:after="40" w:line="259" w:lineRule="auto"/>
              <w:jc w:val="center"/>
            </w:pPr>
            <w:r>
              <w:rPr>
                <w:rFonts w:ascii="Calibri" w:hAnsi="Calibri"/>
                <w:sz w:val="20"/>
              </w:rPr>
              <w:t>5.70</w:t>
            </w:r>
          </w:p>
        </w:tc>
        <w:tc>
          <w:tcPr>
            <w:tcW w:w="792" w:type="dxa"/>
            <w:shd w:val="clear" w:color="auto" w:fill="F1F5F9"/>
            <w:tcMar>
              <w:top w:w="70" w:type="dxa"/>
              <w:left w:w="80" w:type="dxa"/>
              <w:bottom w:w="70" w:type="dxa"/>
              <w:right w:w="80" w:type="dxa"/>
            </w:tcMar>
            <w:vAlign w:val="center"/>
          </w:tcPr>
          <w:p w14:paraId="374D2BBC" w14:textId="77777777" w:rsidR="00DF07C4" w:rsidRDefault="00000000">
            <w:pPr>
              <w:spacing w:before="40" w:after="40" w:line="259" w:lineRule="auto"/>
              <w:jc w:val="center"/>
            </w:pPr>
            <w:r>
              <w:rPr>
                <w:rFonts w:ascii="Calibri" w:hAnsi="Calibri"/>
                <w:b/>
                <w:sz w:val="20"/>
              </w:rPr>
              <w:t>0.52</w:t>
            </w:r>
          </w:p>
        </w:tc>
      </w:tr>
      <w:tr w:rsidR="00DF07C4" w14:paraId="53EF00DE" w14:textId="77777777" w:rsidTr="00E7567B">
        <w:trPr>
          <w:cantSplit/>
          <w:jc w:val="center"/>
        </w:trPr>
        <w:tc>
          <w:tcPr>
            <w:tcW w:w="1224" w:type="dxa"/>
            <w:shd w:val="clear" w:color="auto" w:fill="FFFFFF"/>
            <w:tcMar>
              <w:top w:w="70" w:type="dxa"/>
              <w:left w:w="80" w:type="dxa"/>
              <w:bottom w:w="70" w:type="dxa"/>
              <w:right w:w="80" w:type="dxa"/>
            </w:tcMar>
            <w:vAlign w:val="center"/>
          </w:tcPr>
          <w:p w14:paraId="08024F19" w14:textId="77777777" w:rsidR="00DF07C4" w:rsidRDefault="00000000">
            <w:pPr>
              <w:spacing w:before="40" w:after="40" w:line="259" w:lineRule="auto"/>
            </w:pPr>
            <w:r>
              <w:rPr>
                <w:rFonts w:ascii="Calibri" w:hAnsi="Calibri"/>
                <w:b/>
                <w:sz w:val="20"/>
              </w:rPr>
              <w:t>MVA-CEN-05</w:t>
            </w:r>
          </w:p>
        </w:tc>
        <w:tc>
          <w:tcPr>
            <w:tcW w:w="1656" w:type="dxa"/>
            <w:shd w:val="clear" w:color="auto" w:fill="FFFFFF"/>
            <w:tcMar>
              <w:top w:w="70" w:type="dxa"/>
              <w:left w:w="80" w:type="dxa"/>
              <w:bottom w:w="70" w:type="dxa"/>
              <w:right w:w="80" w:type="dxa"/>
            </w:tcMar>
            <w:vAlign w:val="center"/>
          </w:tcPr>
          <w:p w14:paraId="5BA133F1" w14:textId="77777777" w:rsidR="00DF07C4" w:rsidRDefault="00000000">
            <w:pPr>
              <w:spacing w:before="40" w:after="40" w:line="259" w:lineRule="auto"/>
            </w:pPr>
            <w:r>
              <w:rPr>
                <w:rFonts w:ascii="Calibri" w:hAnsi="Calibri"/>
                <w:sz w:val="20"/>
              </w:rPr>
              <w:t>Indol-BubR1 Tether</w:t>
            </w:r>
          </w:p>
        </w:tc>
        <w:tc>
          <w:tcPr>
            <w:tcW w:w="2046" w:type="dxa"/>
            <w:shd w:val="clear" w:color="auto" w:fill="FFFFFF"/>
            <w:tcMar>
              <w:top w:w="70" w:type="dxa"/>
              <w:left w:w="80" w:type="dxa"/>
              <w:bottom w:w="70" w:type="dxa"/>
              <w:right w:w="80" w:type="dxa"/>
            </w:tcMar>
            <w:vAlign w:val="center"/>
          </w:tcPr>
          <w:p w14:paraId="525297CA" w14:textId="77777777" w:rsidR="00DF07C4" w:rsidRDefault="00000000">
            <w:pPr>
              <w:spacing w:before="40" w:after="40" w:line="259" w:lineRule="auto"/>
            </w:pPr>
            <w:r>
              <w:rPr>
                <w:rFonts w:ascii="Calibri" w:hAnsi="Calibri"/>
                <w:sz w:val="20"/>
              </w:rPr>
              <w:t>CENPE – BUB1B/BubR1 Recruitment Domain</w:t>
            </w:r>
          </w:p>
        </w:tc>
        <w:tc>
          <w:tcPr>
            <w:tcW w:w="1944" w:type="dxa"/>
            <w:shd w:val="clear" w:color="auto" w:fill="FFFFFF"/>
            <w:tcMar>
              <w:top w:w="70" w:type="dxa"/>
              <w:left w:w="80" w:type="dxa"/>
              <w:bottom w:w="70" w:type="dxa"/>
              <w:right w:w="80" w:type="dxa"/>
            </w:tcMar>
            <w:vAlign w:val="center"/>
          </w:tcPr>
          <w:p w14:paraId="45960829" w14:textId="77777777" w:rsidR="00DF07C4" w:rsidRDefault="00000000">
            <w:pPr>
              <w:spacing w:before="40" w:after="40" w:line="259" w:lineRule="auto"/>
            </w:pPr>
            <w:r>
              <w:rPr>
                <w:rFonts w:ascii="Calibri" w:hAnsi="Calibri"/>
                <w:sz w:val="20"/>
              </w:rPr>
              <w:t>Macromolecular Kinetochore Complex Enhancer</w:t>
            </w:r>
          </w:p>
        </w:tc>
        <w:tc>
          <w:tcPr>
            <w:tcW w:w="792" w:type="dxa"/>
            <w:shd w:val="clear" w:color="auto" w:fill="FFFFFF"/>
            <w:tcMar>
              <w:top w:w="70" w:type="dxa"/>
              <w:left w:w="80" w:type="dxa"/>
              <w:bottom w:w="70" w:type="dxa"/>
              <w:right w:w="80" w:type="dxa"/>
            </w:tcMar>
            <w:vAlign w:val="center"/>
          </w:tcPr>
          <w:p w14:paraId="27C3D653" w14:textId="77777777" w:rsidR="00DF07C4" w:rsidRDefault="00000000">
            <w:pPr>
              <w:spacing w:before="40" w:after="40" w:line="259" w:lineRule="auto"/>
              <w:jc w:val="center"/>
            </w:pPr>
            <w:r>
              <w:rPr>
                <w:rFonts w:ascii="Calibri" w:hAnsi="Calibri"/>
                <w:sz w:val="20"/>
              </w:rPr>
              <w:t>390.8</w:t>
            </w:r>
          </w:p>
        </w:tc>
        <w:tc>
          <w:tcPr>
            <w:tcW w:w="905" w:type="dxa"/>
            <w:shd w:val="clear" w:color="auto" w:fill="FFFFFF"/>
            <w:tcMar>
              <w:top w:w="70" w:type="dxa"/>
              <w:left w:w="80" w:type="dxa"/>
              <w:bottom w:w="70" w:type="dxa"/>
              <w:right w:w="80" w:type="dxa"/>
            </w:tcMar>
            <w:vAlign w:val="center"/>
          </w:tcPr>
          <w:p w14:paraId="1F02084B" w14:textId="77777777" w:rsidR="00DF07C4" w:rsidRDefault="00000000">
            <w:pPr>
              <w:spacing w:before="40" w:after="40" w:line="259" w:lineRule="auto"/>
              <w:jc w:val="center"/>
            </w:pPr>
            <w:r>
              <w:rPr>
                <w:rFonts w:ascii="Calibri" w:hAnsi="Calibri"/>
                <w:sz w:val="20"/>
              </w:rPr>
              <w:t>4.72</w:t>
            </w:r>
          </w:p>
        </w:tc>
        <w:tc>
          <w:tcPr>
            <w:tcW w:w="792" w:type="dxa"/>
            <w:shd w:val="clear" w:color="auto" w:fill="FFFFFF"/>
            <w:tcMar>
              <w:top w:w="70" w:type="dxa"/>
              <w:left w:w="80" w:type="dxa"/>
              <w:bottom w:w="70" w:type="dxa"/>
              <w:right w:w="80" w:type="dxa"/>
            </w:tcMar>
            <w:vAlign w:val="center"/>
          </w:tcPr>
          <w:p w14:paraId="2C04EC6E" w14:textId="77777777" w:rsidR="00DF07C4" w:rsidRDefault="00000000">
            <w:pPr>
              <w:spacing w:before="40" w:after="40" w:line="259" w:lineRule="auto"/>
              <w:jc w:val="center"/>
            </w:pPr>
            <w:r>
              <w:rPr>
                <w:rFonts w:ascii="Calibri" w:hAnsi="Calibri"/>
                <w:b/>
                <w:sz w:val="20"/>
              </w:rPr>
              <w:t>0.47</w:t>
            </w:r>
          </w:p>
        </w:tc>
      </w:tr>
      <w:tr w:rsidR="00DF07C4" w14:paraId="6FAC100A" w14:textId="77777777" w:rsidTr="00E7567B">
        <w:trPr>
          <w:cantSplit/>
          <w:jc w:val="center"/>
        </w:trPr>
        <w:tc>
          <w:tcPr>
            <w:tcW w:w="1224" w:type="dxa"/>
            <w:shd w:val="clear" w:color="auto" w:fill="F1F5F9"/>
            <w:tcMar>
              <w:top w:w="70" w:type="dxa"/>
              <w:left w:w="80" w:type="dxa"/>
              <w:bottom w:w="70" w:type="dxa"/>
              <w:right w:w="80" w:type="dxa"/>
            </w:tcMar>
            <w:vAlign w:val="center"/>
          </w:tcPr>
          <w:p w14:paraId="13011460" w14:textId="77777777" w:rsidR="00DF07C4" w:rsidRDefault="00000000">
            <w:pPr>
              <w:spacing w:before="40" w:after="40" w:line="259" w:lineRule="auto"/>
            </w:pPr>
            <w:r>
              <w:rPr>
                <w:rFonts w:ascii="Calibri" w:hAnsi="Calibri"/>
                <w:b/>
                <w:sz w:val="20"/>
              </w:rPr>
              <w:t>MVA-CGS-01</w:t>
            </w:r>
          </w:p>
        </w:tc>
        <w:tc>
          <w:tcPr>
            <w:tcW w:w="1656" w:type="dxa"/>
            <w:shd w:val="clear" w:color="auto" w:fill="F1F5F9"/>
            <w:tcMar>
              <w:top w:w="70" w:type="dxa"/>
              <w:left w:w="80" w:type="dxa"/>
              <w:bottom w:w="70" w:type="dxa"/>
              <w:right w:w="80" w:type="dxa"/>
            </w:tcMar>
            <w:vAlign w:val="center"/>
          </w:tcPr>
          <w:p w14:paraId="2B77648B" w14:textId="77777777" w:rsidR="00DF07C4" w:rsidRDefault="00000000">
            <w:pPr>
              <w:spacing w:before="40" w:after="40" w:line="259" w:lineRule="auto"/>
            </w:pPr>
            <w:proofErr w:type="spellStart"/>
            <w:r>
              <w:rPr>
                <w:rFonts w:ascii="Calibri" w:hAnsi="Calibri"/>
                <w:sz w:val="20"/>
              </w:rPr>
              <w:t>Micronucleocin</w:t>
            </w:r>
            <w:proofErr w:type="spellEnd"/>
            <w:r>
              <w:rPr>
                <w:rFonts w:ascii="Calibri" w:hAnsi="Calibri"/>
                <w:sz w:val="20"/>
              </w:rPr>
              <w:t xml:space="preserve"> A</w:t>
            </w:r>
          </w:p>
        </w:tc>
        <w:tc>
          <w:tcPr>
            <w:tcW w:w="2046" w:type="dxa"/>
            <w:shd w:val="clear" w:color="auto" w:fill="F1F5F9"/>
            <w:tcMar>
              <w:top w:w="70" w:type="dxa"/>
              <w:left w:w="80" w:type="dxa"/>
              <w:bottom w:w="70" w:type="dxa"/>
              <w:right w:w="80" w:type="dxa"/>
            </w:tcMar>
            <w:vAlign w:val="center"/>
          </w:tcPr>
          <w:p w14:paraId="1E58EEC8" w14:textId="77777777" w:rsidR="00DF07C4" w:rsidRDefault="00000000">
            <w:pPr>
              <w:spacing w:before="40" w:after="40" w:line="259" w:lineRule="auto"/>
            </w:pPr>
            <w:proofErr w:type="spellStart"/>
            <w:r>
              <w:rPr>
                <w:rFonts w:ascii="Calibri" w:hAnsi="Calibri"/>
                <w:sz w:val="20"/>
              </w:rPr>
              <w:t>cGAS</w:t>
            </w:r>
            <w:proofErr w:type="spellEnd"/>
            <w:r>
              <w:rPr>
                <w:rFonts w:ascii="Calibri" w:hAnsi="Calibri"/>
                <w:sz w:val="20"/>
              </w:rPr>
              <w:t xml:space="preserve"> Catalytic Nucleotide Pocket</w:t>
            </w:r>
          </w:p>
        </w:tc>
        <w:tc>
          <w:tcPr>
            <w:tcW w:w="1944" w:type="dxa"/>
            <w:shd w:val="clear" w:color="auto" w:fill="F1F5F9"/>
            <w:tcMar>
              <w:top w:w="70" w:type="dxa"/>
              <w:left w:w="80" w:type="dxa"/>
              <w:bottom w:w="70" w:type="dxa"/>
              <w:right w:w="80" w:type="dxa"/>
            </w:tcMar>
            <w:vAlign w:val="center"/>
          </w:tcPr>
          <w:p w14:paraId="54CD30AB" w14:textId="77777777" w:rsidR="00DF07C4" w:rsidRDefault="00000000">
            <w:pPr>
              <w:spacing w:before="40" w:after="40" w:line="259" w:lineRule="auto"/>
            </w:pPr>
            <w:r>
              <w:rPr>
                <w:rFonts w:ascii="Calibri" w:hAnsi="Calibri"/>
                <w:sz w:val="20"/>
              </w:rPr>
              <w:t xml:space="preserve">Active-Site Competitive </w:t>
            </w:r>
            <w:proofErr w:type="spellStart"/>
            <w:r>
              <w:rPr>
                <w:rFonts w:ascii="Calibri" w:hAnsi="Calibri"/>
                <w:sz w:val="20"/>
              </w:rPr>
              <w:t>cGAS</w:t>
            </w:r>
            <w:proofErr w:type="spellEnd"/>
            <w:r>
              <w:rPr>
                <w:rFonts w:ascii="Calibri" w:hAnsi="Calibri"/>
                <w:sz w:val="20"/>
              </w:rPr>
              <w:t xml:space="preserve"> Inhibitor</w:t>
            </w:r>
          </w:p>
        </w:tc>
        <w:tc>
          <w:tcPr>
            <w:tcW w:w="792" w:type="dxa"/>
            <w:shd w:val="clear" w:color="auto" w:fill="F1F5F9"/>
            <w:tcMar>
              <w:top w:w="70" w:type="dxa"/>
              <w:left w:w="80" w:type="dxa"/>
              <w:bottom w:w="70" w:type="dxa"/>
              <w:right w:w="80" w:type="dxa"/>
            </w:tcMar>
            <w:vAlign w:val="center"/>
          </w:tcPr>
          <w:p w14:paraId="5ED0EAEF" w14:textId="77777777" w:rsidR="00DF07C4" w:rsidRDefault="00000000">
            <w:pPr>
              <w:spacing w:before="40" w:after="40" w:line="259" w:lineRule="auto"/>
              <w:jc w:val="center"/>
            </w:pPr>
            <w:r>
              <w:rPr>
                <w:rFonts w:ascii="Calibri" w:hAnsi="Calibri"/>
                <w:sz w:val="20"/>
              </w:rPr>
              <w:t>415.9</w:t>
            </w:r>
          </w:p>
        </w:tc>
        <w:tc>
          <w:tcPr>
            <w:tcW w:w="905" w:type="dxa"/>
            <w:shd w:val="clear" w:color="auto" w:fill="F1F5F9"/>
            <w:tcMar>
              <w:top w:w="70" w:type="dxa"/>
              <w:left w:w="80" w:type="dxa"/>
              <w:bottom w:w="70" w:type="dxa"/>
              <w:right w:w="80" w:type="dxa"/>
            </w:tcMar>
            <w:vAlign w:val="center"/>
          </w:tcPr>
          <w:p w14:paraId="0FD1B25C" w14:textId="77777777" w:rsidR="00DF07C4" w:rsidRDefault="00000000">
            <w:pPr>
              <w:spacing w:before="40" w:after="40" w:line="259" w:lineRule="auto"/>
              <w:jc w:val="center"/>
            </w:pPr>
            <w:r>
              <w:rPr>
                <w:rFonts w:ascii="Calibri" w:hAnsi="Calibri"/>
                <w:sz w:val="20"/>
              </w:rPr>
              <w:t>4.61</w:t>
            </w:r>
          </w:p>
        </w:tc>
        <w:tc>
          <w:tcPr>
            <w:tcW w:w="792" w:type="dxa"/>
            <w:shd w:val="clear" w:color="auto" w:fill="F1F5F9"/>
            <w:tcMar>
              <w:top w:w="70" w:type="dxa"/>
              <w:left w:w="80" w:type="dxa"/>
              <w:bottom w:w="70" w:type="dxa"/>
              <w:right w:w="80" w:type="dxa"/>
            </w:tcMar>
            <w:vAlign w:val="center"/>
          </w:tcPr>
          <w:p w14:paraId="7AB43D99" w14:textId="77777777" w:rsidR="00DF07C4" w:rsidRDefault="00000000">
            <w:pPr>
              <w:spacing w:before="40" w:after="40" w:line="259" w:lineRule="auto"/>
              <w:jc w:val="center"/>
            </w:pPr>
            <w:r>
              <w:rPr>
                <w:rFonts w:ascii="Calibri" w:hAnsi="Calibri"/>
                <w:b/>
                <w:sz w:val="20"/>
              </w:rPr>
              <w:t>0.58</w:t>
            </w:r>
          </w:p>
        </w:tc>
      </w:tr>
      <w:tr w:rsidR="00DF07C4" w14:paraId="5827A462" w14:textId="77777777" w:rsidTr="00E7567B">
        <w:trPr>
          <w:cantSplit/>
          <w:jc w:val="center"/>
        </w:trPr>
        <w:tc>
          <w:tcPr>
            <w:tcW w:w="1224" w:type="dxa"/>
            <w:shd w:val="clear" w:color="auto" w:fill="FFFFFF"/>
            <w:tcMar>
              <w:top w:w="70" w:type="dxa"/>
              <w:left w:w="80" w:type="dxa"/>
              <w:bottom w:w="70" w:type="dxa"/>
              <w:right w:w="80" w:type="dxa"/>
            </w:tcMar>
            <w:vAlign w:val="center"/>
          </w:tcPr>
          <w:p w14:paraId="36F03A68" w14:textId="77777777" w:rsidR="00DF07C4" w:rsidRDefault="00000000">
            <w:pPr>
              <w:spacing w:before="40" w:after="40" w:line="259" w:lineRule="auto"/>
            </w:pPr>
            <w:r>
              <w:rPr>
                <w:rFonts w:ascii="Calibri" w:hAnsi="Calibri"/>
                <w:b/>
                <w:sz w:val="20"/>
              </w:rPr>
              <w:t>MVA-CGS-02</w:t>
            </w:r>
          </w:p>
        </w:tc>
        <w:tc>
          <w:tcPr>
            <w:tcW w:w="1656" w:type="dxa"/>
            <w:shd w:val="clear" w:color="auto" w:fill="FFFFFF"/>
            <w:tcMar>
              <w:top w:w="70" w:type="dxa"/>
              <w:left w:w="80" w:type="dxa"/>
              <w:bottom w:w="70" w:type="dxa"/>
              <w:right w:w="80" w:type="dxa"/>
            </w:tcMar>
            <w:vAlign w:val="center"/>
          </w:tcPr>
          <w:p w14:paraId="38FD7B7A" w14:textId="77777777" w:rsidR="00DF07C4" w:rsidRDefault="00000000">
            <w:pPr>
              <w:spacing w:before="40" w:after="40" w:line="259" w:lineRule="auto"/>
            </w:pPr>
            <w:r>
              <w:rPr>
                <w:rFonts w:ascii="Calibri" w:hAnsi="Calibri"/>
                <w:sz w:val="20"/>
              </w:rPr>
              <w:t>Sting-Block C91</w:t>
            </w:r>
          </w:p>
        </w:tc>
        <w:tc>
          <w:tcPr>
            <w:tcW w:w="2046" w:type="dxa"/>
            <w:shd w:val="clear" w:color="auto" w:fill="FFFFFF"/>
            <w:tcMar>
              <w:top w:w="70" w:type="dxa"/>
              <w:left w:w="80" w:type="dxa"/>
              <w:bottom w:w="70" w:type="dxa"/>
              <w:right w:w="80" w:type="dxa"/>
            </w:tcMar>
            <w:vAlign w:val="center"/>
          </w:tcPr>
          <w:p w14:paraId="6F76CD09" w14:textId="77777777" w:rsidR="00DF07C4" w:rsidRDefault="00000000">
            <w:pPr>
              <w:spacing w:before="40" w:after="40" w:line="259" w:lineRule="auto"/>
            </w:pPr>
            <w:r>
              <w:rPr>
                <w:rFonts w:ascii="Calibri" w:hAnsi="Calibri"/>
                <w:sz w:val="20"/>
              </w:rPr>
              <w:t>STING Transmembrane Domain (Cys91 Palmitoylation)</w:t>
            </w:r>
          </w:p>
        </w:tc>
        <w:tc>
          <w:tcPr>
            <w:tcW w:w="1944" w:type="dxa"/>
            <w:shd w:val="clear" w:color="auto" w:fill="FFFFFF"/>
            <w:tcMar>
              <w:top w:w="70" w:type="dxa"/>
              <w:left w:w="80" w:type="dxa"/>
              <w:bottom w:w="70" w:type="dxa"/>
              <w:right w:w="80" w:type="dxa"/>
            </w:tcMar>
            <w:vAlign w:val="center"/>
          </w:tcPr>
          <w:p w14:paraId="3BA4CAAE" w14:textId="77777777" w:rsidR="00DF07C4" w:rsidRDefault="00000000">
            <w:pPr>
              <w:spacing w:before="40" w:after="40" w:line="259" w:lineRule="auto"/>
            </w:pPr>
            <w:r>
              <w:rPr>
                <w:rFonts w:ascii="Calibri" w:hAnsi="Calibri"/>
                <w:sz w:val="20"/>
              </w:rPr>
              <w:t>Covalent / Allosteric STING Antagonist</w:t>
            </w:r>
          </w:p>
        </w:tc>
        <w:tc>
          <w:tcPr>
            <w:tcW w:w="792" w:type="dxa"/>
            <w:shd w:val="clear" w:color="auto" w:fill="FFFFFF"/>
            <w:tcMar>
              <w:top w:w="70" w:type="dxa"/>
              <w:left w:w="80" w:type="dxa"/>
              <w:bottom w:w="70" w:type="dxa"/>
              <w:right w:w="80" w:type="dxa"/>
            </w:tcMar>
            <w:vAlign w:val="center"/>
          </w:tcPr>
          <w:p w14:paraId="3C004B27" w14:textId="77777777" w:rsidR="00DF07C4" w:rsidRDefault="00000000">
            <w:pPr>
              <w:spacing w:before="40" w:after="40" w:line="259" w:lineRule="auto"/>
              <w:jc w:val="center"/>
            </w:pPr>
            <w:r>
              <w:rPr>
                <w:rFonts w:ascii="Calibri" w:hAnsi="Calibri"/>
                <w:sz w:val="20"/>
              </w:rPr>
              <w:t>381.4</w:t>
            </w:r>
          </w:p>
        </w:tc>
        <w:tc>
          <w:tcPr>
            <w:tcW w:w="905" w:type="dxa"/>
            <w:shd w:val="clear" w:color="auto" w:fill="FFFFFF"/>
            <w:tcMar>
              <w:top w:w="70" w:type="dxa"/>
              <w:left w:w="80" w:type="dxa"/>
              <w:bottom w:w="70" w:type="dxa"/>
              <w:right w:w="80" w:type="dxa"/>
            </w:tcMar>
            <w:vAlign w:val="center"/>
          </w:tcPr>
          <w:p w14:paraId="724FFE1E" w14:textId="77777777" w:rsidR="00DF07C4" w:rsidRDefault="00000000">
            <w:pPr>
              <w:spacing w:before="40" w:after="40" w:line="259" w:lineRule="auto"/>
              <w:jc w:val="center"/>
            </w:pPr>
            <w:r>
              <w:rPr>
                <w:rFonts w:ascii="Calibri" w:hAnsi="Calibri"/>
                <w:sz w:val="20"/>
              </w:rPr>
              <w:t>4.55</w:t>
            </w:r>
          </w:p>
        </w:tc>
        <w:tc>
          <w:tcPr>
            <w:tcW w:w="792" w:type="dxa"/>
            <w:shd w:val="clear" w:color="auto" w:fill="FFFFFF"/>
            <w:tcMar>
              <w:top w:w="70" w:type="dxa"/>
              <w:left w:w="80" w:type="dxa"/>
              <w:bottom w:w="70" w:type="dxa"/>
              <w:right w:w="80" w:type="dxa"/>
            </w:tcMar>
            <w:vAlign w:val="center"/>
          </w:tcPr>
          <w:p w14:paraId="01D4B4C5" w14:textId="77777777" w:rsidR="00DF07C4" w:rsidRDefault="00000000">
            <w:pPr>
              <w:spacing w:before="40" w:after="40" w:line="259" w:lineRule="auto"/>
              <w:jc w:val="center"/>
            </w:pPr>
            <w:r>
              <w:rPr>
                <w:rFonts w:ascii="Calibri" w:hAnsi="Calibri"/>
                <w:b/>
                <w:sz w:val="20"/>
              </w:rPr>
              <w:t>0.68</w:t>
            </w:r>
          </w:p>
        </w:tc>
      </w:tr>
      <w:tr w:rsidR="00DF07C4" w14:paraId="1501A1D7" w14:textId="77777777" w:rsidTr="00E7567B">
        <w:trPr>
          <w:cantSplit/>
          <w:jc w:val="center"/>
        </w:trPr>
        <w:tc>
          <w:tcPr>
            <w:tcW w:w="1224" w:type="dxa"/>
            <w:shd w:val="clear" w:color="auto" w:fill="F1F5F9"/>
            <w:tcMar>
              <w:top w:w="70" w:type="dxa"/>
              <w:left w:w="80" w:type="dxa"/>
              <w:bottom w:w="70" w:type="dxa"/>
              <w:right w:w="80" w:type="dxa"/>
            </w:tcMar>
            <w:vAlign w:val="center"/>
          </w:tcPr>
          <w:p w14:paraId="03DA3400" w14:textId="77777777" w:rsidR="00DF07C4" w:rsidRDefault="00000000">
            <w:pPr>
              <w:spacing w:before="40" w:after="40" w:line="259" w:lineRule="auto"/>
            </w:pPr>
            <w:r>
              <w:rPr>
                <w:rFonts w:ascii="Calibri" w:hAnsi="Calibri"/>
                <w:b/>
                <w:sz w:val="20"/>
              </w:rPr>
              <w:t>MVA-CGS-03</w:t>
            </w:r>
          </w:p>
        </w:tc>
        <w:tc>
          <w:tcPr>
            <w:tcW w:w="1656" w:type="dxa"/>
            <w:shd w:val="clear" w:color="auto" w:fill="F1F5F9"/>
            <w:tcMar>
              <w:top w:w="70" w:type="dxa"/>
              <w:left w:w="80" w:type="dxa"/>
              <w:bottom w:w="70" w:type="dxa"/>
              <w:right w:w="80" w:type="dxa"/>
            </w:tcMar>
            <w:vAlign w:val="center"/>
          </w:tcPr>
          <w:p w14:paraId="650999CC" w14:textId="77777777" w:rsidR="00DF07C4" w:rsidRDefault="00000000">
            <w:pPr>
              <w:spacing w:before="40" w:after="40" w:line="259" w:lineRule="auto"/>
            </w:pPr>
            <w:proofErr w:type="spellStart"/>
            <w:r>
              <w:rPr>
                <w:rFonts w:ascii="Calibri" w:hAnsi="Calibri"/>
                <w:sz w:val="20"/>
              </w:rPr>
              <w:t>Fas-OligoShield</w:t>
            </w:r>
            <w:proofErr w:type="spellEnd"/>
          </w:p>
        </w:tc>
        <w:tc>
          <w:tcPr>
            <w:tcW w:w="2046" w:type="dxa"/>
            <w:shd w:val="clear" w:color="auto" w:fill="F1F5F9"/>
            <w:tcMar>
              <w:top w:w="70" w:type="dxa"/>
              <w:left w:w="80" w:type="dxa"/>
              <w:bottom w:w="70" w:type="dxa"/>
              <w:right w:w="80" w:type="dxa"/>
            </w:tcMar>
            <w:vAlign w:val="center"/>
          </w:tcPr>
          <w:p w14:paraId="3C5E10FC" w14:textId="77777777" w:rsidR="00DF07C4" w:rsidRDefault="00000000">
            <w:pPr>
              <w:spacing w:before="40" w:after="40" w:line="259" w:lineRule="auto"/>
            </w:pPr>
            <w:proofErr w:type="spellStart"/>
            <w:r>
              <w:rPr>
                <w:rFonts w:ascii="Calibri" w:hAnsi="Calibri"/>
                <w:sz w:val="20"/>
              </w:rPr>
              <w:t>cGAS</w:t>
            </w:r>
            <w:proofErr w:type="spellEnd"/>
            <w:r>
              <w:rPr>
                <w:rFonts w:ascii="Calibri" w:hAnsi="Calibri"/>
                <w:sz w:val="20"/>
              </w:rPr>
              <w:t xml:space="preserve"> – dsDNA Oligomerization Interface</w:t>
            </w:r>
          </w:p>
        </w:tc>
        <w:tc>
          <w:tcPr>
            <w:tcW w:w="1944" w:type="dxa"/>
            <w:shd w:val="clear" w:color="auto" w:fill="F1F5F9"/>
            <w:tcMar>
              <w:top w:w="70" w:type="dxa"/>
              <w:left w:w="80" w:type="dxa"/>
              <w:bottom w:w="70" w:type="dxa"/>
              <w:right w:w="80" w:type="dxa"/>
            </w:tcMar>
            <w:vAlign w:val="center"/>
          </w:tcPr>
          <w:p w14:paraId="7FBE6045" w14:textId="77777777" w:rsidR="00DF07C4" w:rsidRDefault="00000000">
            <w:pPr>
              <w:spacing w:before="40" w:after="40" w:line="259" w:lineRule="auto"/>
            </w:pPr>
            <w:r>
              <w:rPr>
                <w:rFonts w:ascii="Calibri" w:hAnsi="Calibri"/>
                <w:sz w:val="20"/>
              </w:rPr>
              <w:t>Liquid-Liquid Phase Separation Blocker</w:t>
            </w:r>
          </w:p>
        </w:tc>
        <w:tc>
          <w:tcPr>
            <w:tcW w:w="792" w:type="dxa"/>
            <w:shd w:val="clear" w:color="auto" w:fill="F1F5F9"/>
            <w:tcMar>
              <w:top w:w="70" w:type="dxa"/>
              <w:left w:w="80" w:type="dxa"/>
              <w:bottom w:w="70" w:type="dxa"/>
              <w:right w:w="80" w:type="dxa"/>
            </w:tcMar>
            <w:vAlign w:val="center"/>
          </w:tcPr>
          <w:p w14:paraId="45803745" w14:textId="77777777" w:rsidR="00DF07C4" w:rsidRDefault="00000000">
            <w:pPr>
              <w:spacing w:before="40" w:after="40" w:line="259" w:lineRule="auto"/>
              <w:jc w:val="center"/>
            </w:pPr>
            <w:r>
              <w:rPr>
                <w:rFonts w:ascii="Calibri" w:hAnsi="Calibri"/>
                <w:sz w:val="20"/>
              </w:rPr>
              <w:t>505.6</w:t>
            </w:r>
          </w:p>
        </w:tc>
        <w:tc>
          <w:tcPr>
            <w:tcW w:w="905" w:type="dxa"/>
            <w:shd w:val="clear" w:color="auto" w:fill="F1F5F9"/>
            <w:tcMar>
              <w:top w:w="70" w:type="dxa"/>
              <w:left w:w="80" w:type="dxa"/>
              <w:bottom w:w="70" w:type="dxa"/>
              <w:right w:w="80" w:type="dxa"/>
            </w:tcMar>
            <w:vAlign w:val="center"/>
          </w:tcPr>
          <w:p w14:paraId="62D523D0" w14:textId="77777777" w:rsidR="00DF07C4" w:rsidRDefault="00000000">
            <w:pPr>
              <w:spacing w:before="40" w:after="40" w:line="259" w:lineRule="auto"/>
              <w:jc w:val="center"/>
            </w:pPr>
            <w:r>
              <w:rPr>
                <w:rFonts w:ascii="Calibri" w:hAnsi="Calibri"/>
                <w:sz w:val="20"/>
              </w:rPr>
              <w:t>4.75</w:t>
            </w:r>
          </w:p>
        </w:tc>
        <w:tc>
          <w:tcPr>
            <w:tcW w:w="792" w:type="dxa"/>
            <w:shd w:val="clear" w:color="auto" w:fill="F1F5F9"/>
            <w:tcMar>
              <w:top w:w="70" w:type="dxa"/>
              <w:left w:w="80" w:type="dxa"/>
              <w:bottom w:w="70" w:type="dxa"/>
              <w:right w:w="80" w:type="dxa"/>
            </w:tcMar>
            <w:vAlign w:val="center"/>
          </w:tcPr>
          <w:p w14:paraId="25CBC2EC" w14:textId="77777777" w:rsidR="00DF07C4" w:rsidRDefault="00000000">
            <w:pPr>
              <w:spacing w:before="40" w:after="40" w:line="259" w:lineRule="auto"/>
              <w:jc w:val="center"/>
            </w:pPr>
            <w:r>
              <w:rPr>
                <w:rFonts w:ascii="Calibri" w:hAnsi="Calibri"/>
                <w:b/>
                <w:sz w:val="20"/>
              </w:rPr>
              <w:t>0.41</w:t>
            </w:r>
          </w:p>
        </w:tc>
      </w:tr>
      <w:tr w:rsidR="00DF07C4" w14:paraId="6DDD129A" w14:textId="77777777" w:rsidTr="00E7567B">
        <w:trPr>
          <w:cantSplit/>
          <w:jc w:val="center"/>
        </w:trPr>
        <w:tc>
          <w:tcPr>
            <w:tcW w:w="1224" w:type="dxa"/>
            <w:shd w:val="clear" w:color="auto" w:fill="FFFFFF"/>
            <w:tcMar>
              <w:top w:w="70" w:type="dxa"/>
              <w:left w:w="80" w:type="dxa"/>
              <w:bottom w:w="70" w:type="dxa"/>
              <w:right w:w="80" w:type="dxa"/>
            </w:tcMar>
            <w:vAlign w:val="center"/>
          </w:tcPr>
          <w:p w14:paraId="7AAA813B" w14:textId="77777777" w:rsidR="00DF07C4" w:rsidRDefault="00000000">
            <w:pPr>
              <w:spacing w:before="40" w:after="40" w:line="259" w:lineRule="auto"/>
            </w:pPr>
            <w:r>
              <w:rPr>
                <w:rFonts w:ascii="Calibri" w:hAnsi="Calibri"/>
                <w:b/>
                <w:sz w:val="20"/>
              </w:rPr>
              <w:t>MVA-CGS-04</w:t>
            </w:r>
          </w:p>
        </w:tc>
        <w:tc>
          <w:tcPr>
            <w:tcW w:w="1656" w:type="dxa"/>
            <w:shd w:val="clear" w:color="auto" w:fill="FFFFFF"/>
            <w:tcMar>
              <w:top w:w="70" w:type="dxa"/>
              <w:left w:w="80" w:type="dxa"/>
              <w:bottom w:w="70" w:type="dxa"/>
              <w:right w:w="80" w:type="dxa"/>
            </w:tcMar>
            <w:vAlign w:val="center"/>
          </w:tcPr>
          <w:p w14:paraId="7A2CA340" w14:textId="77777777" w:rsidR="00DF07C4" w:rsidRDefault="00000000">
            <w:pPr>
              <w:spacing w:before="40" w:after="40" w:line="259" w:lineRule="auto"/>
            </w:pPr>
            <w:r>
              <w:rPr>
                <w:rFonts w:ascii="Calibri" w:hAnsi="Calibri"/>
                <w:sz w:val="20"/>
              </w:rPr>
              <w:t>Cerebro-Sting-04</w:t>
            </w:r>
          </w:p>
        </w:tc>
        <w:tc>
          <w:tcPr>
            <w:tcW w:w="2046" w:type="dxa"/>
            <w:shd w:val="clear" w:color="auto" w:fill="FFFFFF"/>
            <w:tcMar>
              <w:top w:w="70" w:type="dxa"/>
              <w:left w:w="80" w:type="dxa"/>
              <w:bottom w:w="70" w:type="dxa"/>
              <w:right w:w="80" w:type="dxa"/>
            </w:tcMar>
            <w:vAlign w:val="center"/>
          </w:tcPr>
          <w:p w14:paraId="1D7FC0F8" w14:textId="77777777" w:rsidR="00DF07C4" w:rsidRDefault="00000000">
            <w:pPr>
              <w:spacing w:before="40" w:after="40" w:line="259" w:lineRule="auto"/>
            </w:pPr>
            <w:r>
              <w:rPr>
                <w:rFonts w:ascii="Calibri" w:hAnsi="Calibri"/>
                <w:sz w:val="20"/>
              </w:rPr>
              <w:t>Human STING Cyclic Dinucleotide (CDN) Pocket</w:t>
            </w:r>
          </w:p>
        </w:tc>
        <w:tc>
          <w:tcPr>
            <w:tcW w:w="1944" w:type="dxa"/>
            <w:shd w:val="clear" w:color="auto" w:fill="FFFFFF"/>
            <w:tcMar>
              <w:top w:w="70" w:type="dxa"/>
              <w:left w:w="80" w:type="dxa"/>
              <w:bottom w:w="70" w:type="dxa"/>
              <w:right w:w="80" w:type="dxa"/>
            </w:tcMar>
            <w:vAlign w:val="center"/>
          </w:tcPr>
          <w:p w14:paraId="491AA12A" w14:textId="77777777" w:rsidR="00DF07C4" w:rsidRDefault="00000000">
            <w:pPr>
              <w:spacing w:before="40" w:after="40" w:line="259" w:lineRule="auto"/>
            </w:pPr>
            <w:r>
              <w:rPr>
                <w:rFonts w:ascii="Calibri" w:hAnsi="Calibri"/>
                <w:sz w:val="20"/>
              </w:rPr>
              <w:t>High-BBB-Permeability Small Molecule</w:t>
            </w:r>
          </w:p>
        </w:tc>
        <w:tc>
          <w:tcPr>
            <w:tcW w:w="792" w:type="dxa"/>
            <w:shd w:val="clear" w:color="auto" w:fill="FFFFFF"/>
            <w:tcMar>
              <w:top w:w="70" w:type="dxa"/>
              <w:left w:w="80" w:type="dxa"/>
              <w:bottom w:w="70" w:type="dxa"/>
              <w:right w:w="80" w:type="dxa"/>
            </w:tcMar>
            <w:vAlign w:val="center"/>
          </w:tcPr>
          <w:p w14:paraId="1DA5B581" w14:textId="77777777" w:rsidR="00DF07C4" w:rsidRDefault="00000000">
            <w:pPr>
              <w:spacing w:before="40" w:after="40" w:line="259" w:lineRule="auto"/>
              <w:jc w:val="center"/>
            </w:pPr>
            <w:r>
              <w:rPr>
                <w:rFonts w:ascii="Calibri" w:hAnsi="Calibri"/>
                <w:sz w:val="20"/>
              </w:rPr>
              <w:t>472.6</w:t>
            </w:r>
          </w:p>
        </w:tc>
        <w:tc>
          <w:tcPr>
            <w:tcW w:w="905" w:type="dxa"/>
            <w:shd w:val="clear" w:color="auto" w:fill="FFFFFF"/>
            <w:tcMar>
              <w:top w:w="70" w:type="dxa"/>
              <w:left w:w="80" w:type="dxa"/>
              <w:bottom w:w="70" w:type="dxa"/>
              <w:right w:w="80" w:type="dxa"/>
            </w:tcMar>
            <w:vAlign w:val="center"/>
          </w:tcPr>
          <w:p w14:paraId="7930E941" w14:textId="77777777" w:rsidR="00DF07C4" w:rsidRDefault="00000000">
            <w:pPr>
              <w:spacing w:before="40" w:after="40" w:line="259" w:lineRule="auto"/>
              <w:jc w:val="center"/>
            </w:pPr>
            <w:r>
              <w:rPr>
                <w:rFonts w:ascii="Calibri" w:hAnsi="Calibri"/>
                <w:sz w:val="20"/>
              </w:rPr>
              <w:t>4.04</w:t>
            </w:r>
          </w:p>
        </w:tc>
        <w:tc>
          <w:tcPr>
            <w:tcW w:w="792" w:type="dxa"/>
            <w:shd w:val="clear" w:color="auto" w:fill="FFFFFF"/>
            <w:tcMar>
              <w:top w:w="70" w:type="dxa"/>
              <w:left w:w="80" w:type="dxa"/>
              <w:bottom w:w="70" w:type="dxa"/>
              <w:right w:w="80" w:type="dxa"/>
            </w:tcMar>
            <w:vAlign w:val="center"/>
          </w:tcPr>
          <w:p w14:paraId="6471692F" w14:textId="77777777" w:rsidR="00DF07C4" w:rsidRDefault="00000000">
            <w:pPr>
              <w:spacing w:before="40" w:after="40" w:line="259" w:lineRule="auto"/>
              <w:jc w:val="center"/>
            </w:pPr>
            <w:r>
              <w:rPr>
                <w:rFonts w:ascii="Calibri" w:hAnsi="Calibri"/>
                <w:b/>
                <w:sz w:val="20"/>
              </w:rPr>
              <w:t>0.62</w:t>
            </w:r>
          </w:p>
        </w:tc>
      </w:tr>
      <w:tr w:rsidR="00DF07C4" w14:paraId="4F071198" w14:textId="77777777" w:rsidTr="00E7567B">
        <w:trPr>
          <w:cantSplit/>
          <w:jc w:val="center"/>
        </w:trPr>
        <w:tc>
          <w:tcPr>
            <w:tcW w:w="1224" w:type="dxa"/>
            <w:shd w:val="clear" w:color="auto" w:fill="F1F5F9"/>
            <w:tcMar>
              <w:top w:w="70" w:type="dxa"/>
              <w:left w:w="80" w:type="dxa"/>
              <w:bottom w:w="70" w:type="dxa"/>
              <w:right w:w="80" w:type="dxa"/>
            </w:tcMar>
            <w:vAlign w:val="center"/>
          </w:tcPr>
          <w:p w14:paraId="551F98AD" w14:textId="77777777" w:rsidR="00DF07C4" w:rsidRDefault="00000000">
            <w:pPr>
              <w:spacing w:before="40" w:after="40" w:line="259" w:lineRule="auto"/>
            </w:pPr>
            <w:r>
              <w:rPr>
                <w:rFonts w:ascii="Calibri" w:hAnsi="Calibri"/>
                <w:b/>
                <w:sz w:val="20"/>
              </w:rPr>
              <w:lastRenderedPageBreak/>
              <w:t>MVA-CGS-05</w:t>
            </w:r>
          </w:p>
        </w:tc>
        <w:tc>
          <w:tcPr>
            <w:tcW w:w="1656" w:type="dxa"/>
            <w:shd w:val="clear" w:color="auto" w:fill="F1F5F9"/>
            <w:tcMar>
              <w:top w:w="70" w:type="dxa"/>
              <w:left w:w="80" w:type="dxa"/>
              <w:bottom w:w="70" w:type="dxa"/>
              <w:right w:w="80" w:type="dxa"/>
            </w:tcMar>
            <w:vAlign w:val="center"/>
          </w:tcPr>
          <w:p w14:paraId="38311311" w14:textId="77777777" w:rsidR="00DF07C4" w:rsidRDefault="00000000">
            <w:pPr>
              <w:spacing w:before="40" w:after="40" w:line="259" w:lineRule="auto"/>
            </w:pPr>
            <w:r>
              <w:rPr>
                <w:rFonts w:ascii="Calibri" w:hAnsi="Calibri"/>
                <w:sz w:val="20"/>
              </w:rPr>
              <w:t>Dual-TBK1 Kinase-</w:t>
            </w:r>
            <w:proofErr w:type="spellStart"/>
            <w:r>
              <w:rPr>
                <w:rFonts w:ascii="Calibri" w:hAnsi="Calibri"/>
                <w:sz w:val="20"/>
              </w:rPr>
              <w:t>Inh</w:t>
            </w:r>
            <w:proofErr w:type="spellEnd"/>
          </w:p>
        </w:tc>
        <w:tc>
          <w:tcPr>
            <w:tcW w:w="2046" w:type="dxa"/>
            <w:shd w:val="clear" w:color="auto" w:fill="F1F5F9"/>
            <w:tcMar>
              <w:top w:w="70" w:type="dxa"/>
              <w:left w:w="80" w:type="dxa"/>
              <w:bottom w:w="70" w:type="dxa"/>
              <w:right w:w="80" w:type="dxa"/>
            </w:tcMar>
            <w:vAlign w:val="center"/>
          </w:tcPr>
          <w:p w14:paraId="4DB5546F" w14:textId="77777777" w:rsidR="00DF07C4" w:rsidRDefault="00000000">
            <w:pPr>
              <w:spacing w:before="40" w:after="40" w:line="259" w:lineRule="auto"/>
            </w:pPr>
            <w:r>
              <w:rPr>
                <w:rFonts w:ascii="Calibri" w:hAnsi="Calibri"/>
                <w:sz w:val="20"/>
              </w:rPr>
              <w:t>TBK1 / IKK-epsilon Kinase ATP Pocket</w:t>
            </w:r>
          </w:p>
        </w:tc>
        <w:tc>
          <w:tcPr>
            <w:tcW w:w="1944" w:type="dxa"/>
            <w:shd w:val="clear" w:color="auto" w:fill="F1F5F9"/>
            <w:tcMar>
              <w:top w:w="70" w:type="dxa"/>
              <w:left w:w="80" w:type="dxa"/>
              <w:bottom w:w="70" w:type="dxa"/>
              <w:right w:w="80" w:type="dxa"/>
            </w:tcMar>
            <w:vAlign w:val="center"/>
          </w:tcPr>
          <w:p w14:paraId="4074F752" w14:textId="77777777" w:rsidR="00DF07C4" w:rsidRDefault="00000000">
            <w:pPr>
              <w:spacing w:before="40" w:after="40" w:line="259" w:lineRule="auto"/>
            </w:pPr>
            <w:r>
              <w:rPr>
                <w:rFonts w:ascii="Calibri" w:hAnsi="Calibri"/>
                <w:sz w:val="20"/>
              </w:rPr>
              <w:t>Downstream Type I Interferon Signaling Inhibitor</w:t>
            </w:r>
          </w:p>
        </w:tc>
        <w:tc>
          <w:tcPr>
            <w:tcW w:w="792" w:type="dxa"/>
            <w:shd w:val="clear" w:color="auto" w:fill="F1F5F9"/>
            <w:tcMar>
              <w:top w:w="70" w:type="dxa"/>
              <w:left w:w="80" w:type="dxa"/>
              <w:bottom w:w="70" w:type="dxa"/>
              <w:right w:w="80" w:type="dxa"/>
            </w:tcMar>
            <w:vAlign w:val="center"/>
          </w:tcPr>
          <w:p w14:paraId="6240EC30" w14:textId="77777777" w:rsidR="00DF07C4" w:rsidRDefault="00000000">
            <w:pPr>
              <w:spacing w:before="40" w:after="40" w:line="259" w:lineRule="auto"/>
              <w:jc w:val="center"/>
            </w:pPr>
            <w:r>
              <w:rPr>
                <w:rFonts w:ascii="Calibri" w:hAnsi="Calibri"/>
                <w:sz w:val="20"/>
              </w:rPr>
              <w:t>405.5</w:t>
            </w:r>
          </w:p>
        </w:tc>
        <w:tc>
          <w:tcPr>
            <w:tcW w:w="905" w:type="dxa"/>
            <w:shd w:val="clear" w:color="auto" w:fill="F1F5F9"/>
            <w:tcMar>
              <w:top w:w="70" w:type="dxa"/>
              <w:left w:w="80" w:type="dxa"/>
              <w:bottom w:w="70" w:type="dxa"/>
              <w:right w:w="80" w:type="dxa"/>
            </w:tcMar>
            <w:vAlign w:val="center"/>
          </w:tcPr>
          <w:p w14:paraId="6FB1E0C0" w14:textId="77777777" w:rsidR="00DF07C4" w:rsidRDefault="00000000">
            <w:pPr>
              <w:spacing w:before="40" w:after="40" w:line="259" w:lineRule="auto"/>
              <w:jc w:val="center"/>
            </w:pPr>
            <w:r>
              <w:rPr>
                <w:rFonts w:ascii="Calibri" w:hAnsi="Calibri"/>
                <w:sz w:val="20"/>
              </w:rPr>
              <w:t>5.04</w:t>
            </w:r>
          </w:p>
        </w:tc>
        <w:tc>
          <w:tcPr>
            <w:tcW w:w="792" w:type="dxa"/>
            <w:shd w:val="clear" w:color="auto" w:fill="F1F5F9"/>
            <w:tcMar>
              <w:top w:w="70" w:type="dxa"/>
              <w:left w:w="80" w:type="dxa"/>
              <w:bottom w:w="70" w:type="dxa"/>
              <w:right w:w="80" w:type="dxa"/>
            </w:tcMar>
            <w:vAlign w:val="center"/>
          </w:tcPr>
          <w:p w14:paraId="1608147F" w14:textId="77777777" w:rsidR="00DF07C4" w:rsidRDefault="00000000">
            <w:pPr>
              <w:spacing w:before="40" w:after="40" w:line="259" w:lineRule="auto"/>
              <w:jc w:val="center"/>
            </w:pPr>
            <w:r>
              <w:rPr>
                <w:rFonts w:ascii="Calibri" w:hAnsi="Calibri"/>
                <w:b/>
                <w:sz w:val="20"/>
              </w:rPr>
              <w:t>0.49</w:t>
            </w:r>
          </w:p>
        </w:tc>
      </w:tr>
      <w:tr w:rsidR="00DF07C4" w14:paraId="4416BDD8" w14:textId="77777777" w:rsidTr="00E7567B">
        <w:trPr>
          <w:cantSplit/>
          <w:jc w:val="center"/>
        </w:trPr>
        <w:tc>
          <w:tcPr>
            <w:tcW w:w="1224" w:type="dxa"/>
            <w:shd w:val="clear" w:color="auto" w:fill="FFFFFF"/>
            <w:tcMar>
              <w:top w:w="70" w:type="dxa"/>
              <w:left w:w="80" w:type="dxa"/>
              <w:bottom w:w="70" w:type="dxa"/>
              <w:right w:w="80" w:type="dxa"/>
            </w:tcMar>
            <w:vAlign w:val="center"/>
          </w:tcPr>
          <w:p w14:paraId="5D3ADCAB" w14:textId="77777777" w:rsidR="00DF07C4" w:rsidRDefault="00000000">
            <w:pPr>
              <w:spacing w:before="40" w:after="40" w:line="259" w:lineRule="auto"/>
            </w:pPr>
            <w:r>
              <w:rPr>
                <w:rFonts w:ascii="Calibri" w:hAnsi="Calibri"/>
                <w:b/>
                <w:sz w:val="20"/>
              </w:rPr>
              <w:t>MVA-AMP-01</w:t>
            </w:r>
          </w:p>
        </w:tc>
        <w:tc>
          <w:tcPr>
            <w:tcW w:w="1656" w:type="dxa"/>
            <w:shd w:val="clear" w:color="auto" w:fill="FFFFFF"/>
            <w:tcMar>
              <w:top w:w="70" w:type="dxa"/>
              <w:left w:w="80" w:type="dxa"/>
              <w:bottom w:w="70" w:type="dxa"/>
              <w:right w:w="80" w:type="dxa"/>
            </w:tcMar>
            <w:vAlign w:val="center"/>
          </w:tcPr>
          <w:p w14:paraId="36306DE7" w14:textId="77777777" w:rsidR="00DF07C4" w:rsidRDefault="00000000">
            <w:pPr>
              <w:spacing w:before="40" w:after="40" w:line="259" w:lineRule="auto"/>
            </w:pPr>
            <w:r>
              <w:rPr>
                <w:rFonts w:ascii="Calibri" w:hAnsi="Calibri"/>
                <w:sz w:val="20"/>
              </w:rPr>
              <w:t>Axo-</w:t>
            </w:r>
            <w:proofErr w:type="spellStart"/>
            <w:r>
              <w:rPr>
                <w:rFonts w:ascii="Calibri" w:hAnsi="Calibri"/>
                <w:sz w:val="20"/>
              </w:rPr>
              <w:t>Pept</w:t>
            </w:r>
            <w:proofErr w:type="spellEnd"/>
            <w:r>
              <w:rPr>
                <w:rFonts w:ascii="Calibri" w:hAnsi="Calibri"/>
                <w:sz w:val="20"/>
              </w:rPr>
              <w:t xml:space="preserve"> 1 (VAVLGASGGIGQPLSLLLK)</w:t>
            </w:r>
          </w:p>
        </w:tc>
        <w:tc>
          <w:tcPr>
            <w:tcW w:w="2046" w:type="dxa"/>
            <w:shd w:val="clear" w:color="auto" w:fill="FFFFFF"/>
            <w:tcMar>
              <w:top w:w="70" w:type="dxa"/>
              <w:left w:w="80" w:type="dxa"/>
              <w:bottom w:w="70" w:type="dxa"/>
              <w:right w:w="80" w:type="dxa"/>
            </w:tcMar>
            <w:vAlign w:val="center"/>
          </w:tcPr>
          <w:p w14:paraId="7AF51254" w14:textId="77777777" w:rsidR="00DF07C4" w:rsidRDefault="00000000">
            <w:pPr>
              <w:spacing w:before="40" w:after="40" w:line="259" w:lineRule="auto"/>
            </w:pPr>
            <w:r>
              <w:rPr>
                <w:rFonts w:ascii="Calibri" w:hAnsi="Calibri"/>
                <w:sz w:val="20"/>
              </w:rPr>
              <w:t xml:space="preserve">Tumor Anionic PS Membrane / IL6 &amp; CCND2 </w:t>
            </w:r>
            <w:proofErr w:type="spellStart"/>
            <w:r>
              <w:rPr>
                <w:rFonts w:ascii="Calibri" w:hAnsi="Calibri"/>
                <w:sz w:val="20"/>
              </w:rPr>
              <w:t>Downreg</w:t>
            </w:r>
            <w:proofErr w:type="spellEnd"/>
            <w:r>
              <w:rPr>
                <w:rFonts w:ascii="Calibri" w:hAnsi="Calibri"/>
                <w:sz w:val="20"/>
              </w:rPr>
              <w:t>. / Anti-MRSA</w:t>
            </w:r>
          </w:p>
        </w:tc>
        <w:tc>
          <w:tcPr>
            <w:tcW w:w="1944" w:type="dxa"/>
            <w:shd w:val="clear" w:color="auto" w:fill="FFFFFF"/>
            <w:tcMar>
              <w:top w:w="70" w:type="dxa"/>
              <w:left w:w="80" w:type="dxa"/>
              <w:bottom w:w="70" w:type="dxa"/>
              <w:right w:w="80" w:type="dxa"/>
            </w:tcMar>
            <w:vAlign w:val="center"/>
          </w:tcPr>
          <w:p w14:paraId="26CD116F" w14:textId="77777777" w:rsidR="00DF07C4" w:rsidRDefault="00000000">
            <w:pPr>
              <w:spacing w:before="40" w:after="40" w:line="259" w:lineRule="auto"/>
            </w:pPr>
            <w:r>
              <w:rPr>
                <w:rFonts w:ascii="Calibri" w:hAnsi="Calibri"/>
                <w:sz w:val="20"/>
              </w:rPr>
              <w:t>Selective Caspase-3/7 Pro-Apoptotic &amp; Bactericidal Peptide (MIC 2 µg/mL)</w:t>
            </w:r>
          </w:p>
        </w:tc>
        <w:tc>
          <w:tcPr>
            <w:tcW w:w="792" w:type="dxa"/>
            <w:shd w:val="clear" w:color="auto" w:fill="FFFFFF"/>
            <w:tcMar>
              <w:top w:w="70" w:type="dxa"/>
              <w:left w:w="80" w:type="dxa"/>
              <w:bottom w:w="70" w:type="dxa"/>
              <w:right w:w="80" w:type="dxa"/>
            </w:tcMar>
            <w:vAlign w:val="center"/>
          </w:tcPr>
          <w:p w14:paraId="24229EFA" w14:textId="77777777" w:rsidR="00DF07C4" w:rsidRDefault="00000000">
            <w:pPr>
              <w:spacing w:before="40" w:after="40" w:line="259" w:lineRule="auto"/>
              <w:jc w:val="center"/>
            </w:pPr>
            <w:r>
              <w:rPr>
                <w:rFonts w:ascii="Calibri" w:hAnsi="Calibri"/>
                <w:sz w:val="20"/>
              </w:rPr>
              <w:t>1795.1</w:t>
            </w:r>
          </w:p>
        </w:tc>
        <w:tc>
          <w:tcPr>
            <w:tcW w:w="905" w:type="dxa"/>
            <w:shd w:val="clear" w:color="auto" w:fill="FFFFFF"/>
            <w:tcMar>
              <w:top w:w="70" w:type="dxa"/>
              <w:left w:w="80" w:type="dxa"/>
              <w:bottom w:w="70" w:type="dxa"/>
              <w:right w:w="80" w:type="dxa"/>
            </w:tcMar>
            <w:vAlign w:val="center"/>
          </w:tcPr>
          <w:p w14:paraId="5F399384" w14:textId="77777777" w:rsidR="00DF07C4" w:rsidRDefault="00000000">
            <w:pPr>
              <w:spacing w:before="40" w:after="40" w:line="259" w:lineRule="auto"/>
              <w:jc w:val="center"/>
            </w:pPr>
            <w:r>
              <w:rPr>
                <w:rFonts w:ascii="Calibri" w:hAnsi="Calibri"/>
                <w:sz w:val="20"/>
              </w:rPr>
              <w:t xml:space="preserve">57.9% </w:t>
            </w:r>
            <w:proofErr w:type="spellStart"/>
            <w:r>
              <w:rPr>
                <w:rFonts w:ascii="Calibri" w:hAnsi="Calibri"/>
                <w:sz w:val="20"/>
              </w:rPr>
              <w:t>Hydroph</w:t>
            </w:r>
            <w:proofErr w:type="spellEnd"/>
            <w:r>
              <w:rPr>
                <w:rFonts w:ascii="Calibri" w:hAnsi="Calibri"/>
                <w:sz w:val="20"/>
              </w:rPr>
              <w:t>.</w:t>
            </w:r>
          </w:p>
        </w:tc>
        <w:tc>
          <w:tcPr>
            <w:tcW w:w="792" w:type="dxa"/>
            <w:shd w:val="clear" w:color="auto" w:fill="FFFFFF"/>
            <w:tcMar>
              <w:top w:w="70" w:type="dxa"/>
              <w:left w:w="80" w:type="dxa"/>
              <w:bottom w:w="70" w:type="dxa"/>
              <w:right w:w="80" w:type="dxa"/>
            </w:tcMar>
            <w:vAlign w:val="center"/>
          </w:tcPr>
          <w:p w14:paraId="3EDD1FB8" w14:textId="77777777" w:rsidR="00DF07C4" w:rsidRDefault="00000000">
            <w:pPr>
              <w:spacing w:before="40" w:after="40" w:line="259" w:lineRule="auto"/>
              <w:jc w:val="center"/>
            </w:pPr>
            <w:r>
              <w:rPr>
                <w:rFonts w:ascii="Calibri" w:hAnsi="Calibri"/>
                <w:b/>
                <w:sz w:val="20"/>
              </w:rPr>
              <w:t>95.2% Purity</w:t>
            </w:r>
          </w:p>
        </w:tc>
      </w:tr>
      <w:tr w:rsidR="00DF07C4" w14:paraId="2C9868A5" w14:textId="77777777" w:rsidTr="00E7567B">
        <w:trPr>
          <w:cantSplit/>
          <w:jc w:val="center"/>
        </w:trPr>
        <w:tc>
          <w:tcPr>
            <w:tcW w:w="1224" w:type="dxa"/>
            <w:shd w:val="clear" w:color="auto" w:fill="F1F5F9"/>
            <w:tcMar>
              <w:top w:w="70" w:type="dxa"/>
              <w:left w:w="80" w:type="dxa"/>
              <w:bottom w:w="70" w:type="dxa"/>
              <w:right w:w="80" w:type="dxa"/>
            </w:tcMar>
            <w:vAlign w:val="center"/>
          </w:tcPr>
          <w:p w14:paraId="377DE5CE" w14:textId="77777777" w:rsidR="00DF07C4" w:rsidRDefault="00000000">
            <w:pPr>
              <w:spacing w:before="40" w:after="40" w:line="259" w:lineRule="auto"/>
            </w:pPr>
            <w:r>
              <w:rPr>
                <w:rFonts w:ascii="Calibri" w:hAnsi="Calibri"/>
                <w:b/>
                <w:sz w:val="20"/>
              </w:rPr>
              <w:t>MVA-AMP-12</w:t>
            </w:r>
          </w:p>
        </w:tc>
        <w:tc>
          <w:tcPr>
            <w:tcW w:w="1656" w:type="dxa"/>
            <w:shd w:val="clear" w:color="auto" w:fill="F1F5F9"/>
            <w:tcMar>
              <w:top w:w="70" w:type="dxa"/>
              <w:left w:w="80" w:type="dxa"/>
              <w:bottom w:w="70" w:type="dxa"/>
              <w:right w:w="80" w:type="dxa"/>
            </w:tcMar>
            <w:vAlign w:val="center"/>
          </w:tcPr>
          <w:p w14:paraId="73E5DD9C" w14:textId="77777777" w:rsidR="00DF07C4" w:rsidRDefault="00000000">
            <w:pPr>
              <w:spacing w:before="40" w:after="40" w:line="259" w:lineRule="auto"/>
            </w:pPr>
            <w:r>
              <w:rPr>
                <w:rFonts w:ascii="Calibri" w:hAnsi="Calibri"/>
                <w:sz w:val="20"/>
              </w:rPr>
              <w:t>Axo-</w:t>
            </w:r>
            <w:proofErr w:type="spellStart"/>
            <w:r>
              <w:rPr>
                <w:rFonts w:ascii="Calibri" w:hAnsi="Calibri"/>
                <w:sz w:val="20"/>
              </w:rPr>
              <w:t>Pept</w:t>
            </w:r>
            <w:proofErr w:type="spellEnd"/>
            <w:r>
              <w:rPr>
                <w:rFonts w:ascii="Calibri" w:hAnsi="Calibri"/>
                <w:sz w:val="20"/>
              </w:rPr>
              <w:t xml:space="preserve"> 12 (</w:t>
            </w:r>
            <w:proofErr w:type="spellStart"/>
            <w:r>
              <w:rPr>
                <w:rFonts w:ascii="Calibri" w:hAnsi="Calibri"/>
                <w:sz w:val="20"/>
              </w:rPr>
              <w:t>ILLLcVGEAGDTVQFAEYIQK</w:t>
            </w:r>
            <w:proofErr w:type="spellEnd"/>
            <w:r>
              <w:rPr>
                <w:rFonts w:ascii="Calibri" w:hAnsi="Calibri"/>
                <w:sz w:val="20"/>
              </w:rPr>
              <w:t>)</w:t>
            </w:r>
          </w:p>
        </w:tc>
        <w:tc>
          <w:tcPr>
            <w:tcW w:w="2046" w:type="dxa"/>
            <w:shd w:val="clear" w:color="auto" w:fill="F1F5F9"/>
            <w:tcMar>
              <w:top w:w="70" w:type="dxa"/>
              <w:left w:w="80" w:type="dxa"/>
              <w:bottom w:w="70" w:type="dxa"/>
              <w:right w:w="80" w:type="dxa"/>
            </w:tcMar>
            <w:vAlign w:val="center"/>
          </w:tcPr>
          <w:p w14:paraId="54739857" w14:textId="77777777" w:rsidR="00DF07C4" w:rsidRDefault="00000000">
            <w:pPr>
              <w:spacing w:before="40" w:after="40" w:line="259" w:lineRule="auto"/>
            </w:pPr>
            <w:r>
              <w:rPr>
                <w:rFonts w:ascii="Calibri" w:hAnsi="Calibri"/>
                <w:sz w:val="20"/>
              </w:rPr>
              <w:t>SFN (14-3-3σ), RB1, BRCA1 &amp; NR3C1 Reactivation / IL6 &amp; MMP2 Suppression</w:t>
            </w:r>
          </w:p>
        </w:tc>
        <w:tc>
          <w:tcPr>
            <w:tcW w:w="1944" w:type="dxa"/>
            <w:shd w:val="clear" w:color="auto" w:fill="F1F5F9"/>
            <w:tcMar>
              <w:top w:w="70" w:type="dxa"/>
              <w:left w:w="80" w:type="dxa"/>
              <w:bottom w:w="70" w:type="dxa"/>
              <w:right w:w="80" w:type="dxa"/>
            </w:tcMar>
            <w:vAlign w:val="center"/>
          </w:tcPr>
          <w:p w14:paraId="71A82662" w14:textId="77777777" w:rsidR="00DF07C4" w:rsidRDefault="00000000">
            <w:pPr>
              <w:spacing w:before="40" w:after="40" w:line="259" w:lineRule="auto"/>
            </w:pPr>
            <w:r>
              <w:rPr>
                <w:rFonts w:ascii="Calibri" w:hAnsi="Calibri"/>
                <w:sz w:val="20"/>
              </w:rPr>
              <w:t xml:space="preserve">Non-Genotoxic G2/M Transcriptional </w:t>
            </w:r>
            <w:proofErr w:type="spellStart"/>
            <w:r>
              <w:rPr>
                <w:rFonts w:ascii="Calibri" w:hAnsi="Calibri"/>
                <w:sz w:val="20"/>
              </w:rPr>
              <w:t>Reprogrammer</w:t>
            </w:r>
            <w:proofErr w:type="spellEnd"/>
            <w:r>
              <w:rPr>
                <w:rFonts w:ascii="Calibri" w:hAnsi="Calibri"/>
                <w:sz w:val="20"/>
              </w:rPr>
              <w:t xml:space="preserve"> &amp; Anti-SASP Peptide</w:t>
            </w:r>
          </w:p>
        </w:tc>
        <w:tc>
          <w:tcPr>
            <w:tcW w:w="792" w:type="dxa"/>
            <w:shd w:val="clear" w:color="auto" w:fill="F1F5F9"/>
            <w:tcMar>
              <w:top w:w="70" w:type="dxa"/>
              <w:left w:w="80" w:type="dxa"/>
              <w:bottom w:w="70" w:type="dxa"/>
              <w:right w:w="80" w:type="dxa"/>
            </w:tcMar>
            <w:vAlign w:val="center"/>
          </w:tcPr>
          <w:p w14:paraId="5AD56334" w14:textId="77777777" w:rsidR="00DF07C4" w:rsidRDefault="00000000">
            <w:pPr>
              <w:spacing w:before="40" w:after="40" w:line="259" w:lineRule="auto"/>
              <w:jc w:val="center"/>
            </w:pPr>
            <w:r>
              <w:rPr>
                <w:rFonts w:ascii="Calibri" w:hAnsi="Calibri"/>
                <w:sz w:val="20"/>
              </w:rPr>
              <w:t>2296.7</w:t>
            </w:r>
          </w:p>
        </w:tc>
        <w:tc>
          <w:tcPr>
            <w:tcW w:w="905" w:type="dxa"/>
            <w:shd w:val="clear" w:color="auto" w:fill="F1F5F9"/>
            <w:tcMar>
              <w:top w:w="70" w:type="dxa"/>
              <w:left w:w="80" w:type="dxa"/>
              <w:bottom w:w="70" w:type="dxa"/>
              <w:right w:w="80" w:type="dxa"/>
            </w:tcMar>
            <w:vAlign w:val="center"/>
          </w:tcPr>
          <w:p w14:paraId="474BA76B" w14:textId="77777777" w:rsidR="00DF07C4" w:rsidRDefault="00000000">
            <w:pPr>
              <w:spacing w:before="40" w:after="40" w:line="259" w:lineRule="auto"/>
              <w:jc w:val="center"/>
            </w:pPr>
            <w:r>
              <w:rPr>
                <w:rFonts w:ascii="Calibri" w:hAnsi="Calibri"/>
                <w:sz w:val="20"/>
              </w:rPr>
              <w:t xml:space="preserve">45.5% </w:t>
            </w:r>
            <w:proofErr w:type="spellStart"/>
            <w:r>
              <w:rPr>
                <w:rFonts w:ascii="Calibri" w:hAnsi="Calibri"/>
                <w:sz w:val="20"/>
              </w:rPr>
              <w:t>Hydroph</w:t>
            </w:r>
            <w:proofErr w:type="spellEnd"/>
            <w:r>
              <w:rPr>
                <w:rFonts w:ascii="Calibri" w:hAnsi="Calibri"/>
                <w:sz w:val="20"/>
              </w:rPr>
              <w:t>.</w:t>
            </w:r>
          </w:p>
        </w:tc>
        <w:tc>
          <w:tcPr>
            <w:tcW w:w="792" w:type="dxa"/>
            <w:shd w:val="clear" w:color="auto" w:fill="F1F5F9"/>
            <w:tcMar>
              <w:top w:w="70" w:type="dxa"/>
              <w:left w:w="80" w:type="dxa"/>
              <w:bottom w:w="70" w:type="dxa"/>
              <w:right w:w="80" w:type="dxa"/>
            </w:tcMar>
            <w:vAlign w:val="center"/>
          </w:tcPr>
          <w:p w14:paraId="3C62926E" w14:textId="77777777" w:rsidR="00DF07C4" w:rsidRDefault="00000000">
            <w:pPr>
              <w:spacing w:before="40" w:after="40" w:line="259" w:lineRule="auto"/>
              <w:jc w:val="center"/>
            </w:pPr>
            <w:r>
              <w:rPr>
                <w:rFonts w:ascii="Calibri" w:hAnsi="Calibri"/>
                <w:b/>
                <w:sz w:val="20"/>
              </w:rPr>
              <w:t>97.0% Purity</w:t>
            </w:r>
          </w:p>
        </w:tc>
      </w:tr>
      <w:tr w:rsidR="00DF07C4" w14:paraId="1D77954B" w14:textId="77777777" w:rsidTr="00E7567B">
        <w:trPr>
          <w:cantSplit/>
          <w:jc w:val="center"/>
        </w:trPr>
        <w:tc>
          <w:tcPr>
            <w:tcW w:w="1224" w:type="dxa"/>
            <w:shd w:val="clear" w:color="auto" w:fill="FFFFFF"/>
            <w:tcMar>
              <w:top w:w="70" w:type="dxa"/>
              <w:left w:w="80" w:type="dxa"/>
              <w:bottom w:w="70" w:type="dxa"/>
              <w:right w:w="80" w:type="dxa"/>
            </w:tcMar>
            <w:vAlign w:val="center"/>
          </w:tcPr>
          <w:p w14:paraId="6DF33DE2" w14:textId="77777777" w:rsidR="00DF07C4" w:rsidRDefault="00000000">
            <w:pPr>
              <w:spacing w:before="40" w:after="40" w:line="259" w:lineRule="auto"/>
            </w:pPr>
            <w:r>
              <w:rPr>
                <w:rFonts w:ascii="Calibri" w:hAnsi="Calibri"/>
                <w:b/>
                <w:sz w:val="20"/>
              </w:rPr>
              <w:t>MVA-AMP-13</w:t>
            </w:r>
          </w:p>
        </w:tc>
        <w:tc>
          <w:tcPr>
            <w:tcW w:w="1656" w:type="dxa"/>
            <w:shd w:val="clear" w:color="auto" w:fill="FFFFFF"/>
            <w:tcMar>
              <w:top w:w="70" w:type="dxa"/>
              <w:left w:w="80" w:type="dxa"/>
              <w:bottom w:w="70" w:type="dxa"/>
              <w:right w:w="80" w:type="dxa"/>
            </w:tcMar>
            <w:vAlign w:val="center"/>
          </w:tcPr>
          <w:p w14:paraId="2799ECEE" w14:textId="77777777" w:rsidR="00DF07C4" w:rsidRDefault="00000000">
            <w:pPr>
              <w:spacing w:before="40" w:after="40" w:line="259" w:lineRule="auto"/>
            </w:pPr>
            <w:r>
              <w:rPr>
                <w:rFonts w:ascii="Calibri" w:hAnsi="Calibri"/>
                <w:sz w:val="20"/>
              </w:rPr>
              <w:t>Axo-</w:t>
            </w:r>
            <w:proofErr w:type="spellStart"/>
            <w:r>
              <w:rPr>
                <w:rFonts w:ascii="Calibri" w:hAnsi="Calibri"/>
                <w:sz w:val="20"/>
              </w:rPr>
              <w:t>Pept</w:t>
            </w:r>
            <w:proofErr w:type="spellEnd"/>
            <w:r>
              <w:rPr>
                <w:rFonts w:ascii="Calibri" w:hAnsi="Calibri"/>
                <w:sz w:val="20"/>
              </w:rPr>
              <w:t xml:space="preserve"> 13 (</w:t>
            </w:r>
            <w:proofErr w:type="spellStart"/>
            <w:r>
              <w:rPr>
                <w:rFonts w:ascii="Calibri" w:hAnsi="Calibri"/>
                <w:sz w:val="20"/>
              </w:rPr>
              <w:t>FGANALLGVSLAVcKAGAAEK</w:t>
            </w:r>
            <w:proofErr w:type="spellEnd"/>
            <w:r>
              <w:rPr>
                <w:rFonts w:ascii="Calibri" w:hAnsi="Calibri"/>
                <w:sz w:val="20"/>
              </w:rPr>
              <w:t>)</w:t>
            </w:r>
          </w:p>
        </w:tc>
        <w:tc>
          <w:tcPr>
            <w:tcW w:w="2046" w:type="dxa"/>
            <w:shd w:val="clear" w:color="auto" w:fill="FFFFFF"/>
            <w:tcMar>
              <w:top w:w="70" w:type="dxa"/>
              <w:left w:w="80" w:type="dxa"/>
              <w:bottom w:w="70" w:type="dxa"/>
              <w:right w:w="80" w:type="dxa"/>
            </w:tcMar>
            <w:vAlign w:val="center"/>
          </w:tcPr>
          <w:p w14:paraId="57233A9B" w14:textId="77777777" w:rsidR="00DF07C4" w:rsidRDefault="00000000">
            <w:pPr>
              <w:spacing w:before="40" w:after="40" w:line="259" w:lineRule="auto"/>
            </w:pPr>
            <w:r>
              <w:rPr>
                <w:rFonts w:ascii="Calibri" w:hAnsi="Calibri"/>
                <w:sz w:val="20"/>
              </w:rPr>
              <w:t>BRCA1/2, SFN &amp; NR3C1 Reactivation / IL6 &amp; MMP2 Suppression &amp; Anti-MRSA</w:t>
            </w:r>
          </w:p>
        </w:tc>
        <w:tc>
          <w:tcPr>
            <w:tcW w:w="1944" w:type="dxa"/>
            <w:shd w:val="clear" w:color="auto" w:fill="FFFFFF"/>
            <w:tcMar>
              <w:top w:w="70" w:type="dxa"/>
              <w:left w:w="80" w:type="dxa"/>
              <w:bottom w:w="70" w:type="dxa"/>
              <w:right w:w="80" w:type="dxa"/>
            </w:tcMar>
            <w:vAlign w:val="center"/>
          </w:tcPr>
          <w:p w14:paraId="7D8C2578" w14:textId="77777777" w:rsidR="00DF07C4" w:rsidRDefault="00000000">
            <w:pPr>
              <w:spacing w:before="40" w:after="40" w:line="259" w:lineRule="auto"/>
            </w:pPr>
            <w:r>
              <w:rPr>
                <w:rFonts w:ascii="Calibri" w:hAnsi="Calibri"/>
                <w:sz w:val="20"/>
              </w:rPr>
              <w:t>Dual Selective Pro-Apoptotic &amp; SASP-Modulating Amphipathic Peptide</w:t>
            </w:r>
          </w:p>
        </w:tc>
        <w:tc>
          <w:tcPr>
            <w:tcW w:w="792" w:type="dxa"/>
            <w:shd w:val="clear" w:color="auto" w:fill="FFFFFF"/>
            <w:tcMar>
              <w:top w:w="70" w:type="dxa"/>
              <w:left w:w="80" w:type="dxa"/>
              <w:bottom w:w="70" w:type="dxa"/>
              <w:right w:w="80" w:type="dxa"/>
            </w:tcMar>
            <w:vAlign w:val="center"/>
          </w:tcPr>
          <w:p w14:paraId="048672A5" w14:textId="77777777" w:rsidR="00DF07C4" w:rsidRDefault="00000000">
            <w:pPr>
              <w:spacing w:before="40" w:after="40" w:line="259" w:lineRule="auto"/>
              <w:jc w:val="center"/>
            </w:pPr>
            <w:r>
              <w:rPr>
                <w:rFonts w:ascii="Calibri" w:hAnsi="Calibri"/>
                <w:sz w:val="20"/>
              </w:rPr>
              <w:t>2048.4</w:t>
            </w:r>
          </w:p>
        </w:tc>
        <w:tc>
          <w:tcPr>
            <w:tcW w:w="905" w:type="dxa"/>
            <w:shd w:val="clear" w:color="auto" w:fill="FFFFFF"/>
            <w:tcMar>
              <w:top w:w="70" w:type="dxa"/>
              <w:left w:w="80" w:type="dxa"/>
              <w:bottom w:w="70" w:type="dxa"/>
              <w:right w:w="80" w:type="dxa"/>
            </w:tcMar>
            <w:vAlign w:val="center"/>
          </w:tcPr>
          <w:p w14:paraId="34E8D5C5" w14:textId="77777777" w:rsidR="00DF07C4" w:rsidRDefault="00000000">
            <w:pPr>
              <w:spacing w:before="40" w:after="40" w:line="259" w:lineRule="auto"/>
              <w:jc w:val="center"/>
            </w:pPr>
            <w:r>
              <w:rPr>
                <w:rFonts w:ascii="Calibri" w:hAnsi="Calibri"/>
                <w:sz w:val="20"/>
              </w:rPr>
              <w:t xml:space="preserve">57.1% </w:t>
            </w:r>
            <w:proofErr w:type="spellStart"/>
            <w:r>
              <w:rPr>
                <w:rFonts w:ascii="Calibri" w:hAnsi="Calibri"/>
                <w:sz w:val="20"/>
              </w:rPr>
              <w:t>Hydroph</w:t>
            </w:r>
            <w:proofErr w:type="spellEnd"/>
            <w:r>
              <w:rPr>
                <w:rFonts w:ascii="Calibri" w:hAnsi="Calibri"/>
                <w:sz w:val="20"/>
              </w:rPr>
              <w:t>.</w:t>
            </w:r>
          </w:p>
        </w:tc>
        <w:tc>
          <w:tcPr>
            <w:tcW w:w="792" w:type="dxa"/>
            <w:shd w:val="clear" w:color="auto" w:fill="FFFFFF"/>
            <w:tcMar>
              <w:top w:w="70" w:type="dxa"/>
              <w:left w:w="80" w:type="dxa"/>
              <w:bottom w:w="70" w:type="dxa"/>
              <w:right w:w="80" w:type="dxa"/>
            </w:tcMar>
            <w:vAlign w:val="center"/>
          </w:tcPr>
          <w:p w14:paraId="635DB863" w14:textId="77777777" w:rsidR="00DF07C4" w:rsidRDefault="00000000">
            <w:pPr>
              <w:spacing w:before="40" w:after="40" w:line="259" w:lineRule="auto"/>
              <w:jc w:val="center"/>
            </w:pPr>
            <w:r>
              <w:rPr>
                <w:rFonts w:ascii="Calibri" w:hAnsi="Calibri"/>
                <w:b/>
                <w:sz w:val="20"/>
              </w:rPr>
              <w:t>95.4% Purity</w:t>
            </w:r>
          </w:p>
        </w:tc>
      </w:tr>
      <w:tr w:rsidR="00DF07C4" w14:paraId="1ABF7089" w14:textId="77777777" w:rsidTr="00E7567B">
        <w:trPr>
          <w:cantSplit/>
          <w:jc w:val="center"/>
        </w:trPr>
        <w:tc>
          <w:tcPr>
            <w:tcW w:w="1224" w:type="dxa"/>
            <w:shd w:val="clear" w:color="auto" w:fill="F1F5F9"/>
            <w:tcMar>
              <w:top w:w="70" w:type="dxa"/>
              <w:left w:w="80" w:type="dxa"/>
              <w:bottom w:w="70" w:type="dxa"/>
              <w:right w:w="80" w:type="dxa"/>
            </w:tcMar>
            <w:vAlign w:val="center"/>
          </w:tcPr>
          <w:p w14:paraId="0FA7243B" w14:textId="77777777" w:rsidR="00DF07C4" w:rsidRDefault="00000000">
            <w:pPr>
              <w:spacing w:before="40" w:after="40" w:line="259" w:lineRule="auto"/>
            </w:pPr>
            <w:r>
              <w:rPr>
                <w:rFonts w:ascii="Calibri" w:hAnsi="Calibri"/>
                <w:b/>
                <w:sz w:val="20"/>
              </w:rPr>
              <w:t>MVA-GEN-01</w:t>
            </w:r>
          </w:p>
        </w:tc>
        <w:tc>
          <w:tcPr>
            <w:tcW w:w="1656" w:type="dxa"/>
            <w:shd w:val="clear" w:color="auto" w:fill="F1F5F9"/>
            <w:tcMar>
              <w:top w:w="70" w:type="dxa"/>
              <w:left w:w="80" w:type="dxa"/>
              <w:bottom w:w="70" w:type="dxa"/>
              <w:right w:w="80" w:type="dxa"/>
            </w:tcMar>
            <w:vAlign w:val="center"/>
          </w:tcPr>
          <w:p w14:paraId="1A25B7F0" w14:textId="77777777" w:rsidR="00812CED" w:rsidRDefault="00000000">
            <w:pPr>
              <w:spacing w:before="40" w:after="40" w:line="259" w:lineRule="auto"/>
            </w:pPr>
            <w:proofErr w:type="spellStart"/>
            <w:r>
              <w:rPr>
                <w:rFonts w:ascii="Calibri" w:hAnsi="Calibri"/>
                <w:sz w:val="20"/>
              </w:rPr>
              <w:t>epegRNA</w:t>
            </w:r>
            <w:proofErr w:type="spellEnd"/>
            <w:r>
              <w:rPr>
                <w:rFonts w:ascii="Calibri" w:hAnsi="Calibri"/>
                <w:sz w:val="20"/>
              </w:rPr>
              <w:t xml:space="preserve">–ABE8e / </w:t>
            </w:r>
            <w:proofErr w:type="spellStart"/>
            <w:r>
              <w:rPr>
                <w:rFonts w:ascii="Calibri" w:hAnsi="Calibri"/>
                <w:sz w:val="20"/>
              </w:rPr>
              <w:t>PEmax</w:t>
            </w:r>
            <w:proofErr w:type="spellEnd"/>
            <w:r>
              <w:rPr>
                <w:rFonts w:ascii="Calibri" w:hAnsi="Calibri"/>
                <w:sz w:val="20"/>
              </w:rPr>
              <w:t xml:space="preserve"> Duplex</w:t>
            </w:r>
          </w:p>
        </w:tc>
        <w:tc>
          <w:tcPr>
            <w:tcW w:w="2046" w:type="dxa"/>
            <w:shd w:val="clear" w:color="auto" w:fill="F1F5F9"/>
            <w:tcMar>
              <w:top w:w="70" w:type="dxa"/>
              <w:left w:w="80" w:type="dxa"/>
              <w:bottom w:w="70" w:type="dxa"/>
              <w:right w:w="80" w:type="dxa"/>
            </w:tcMar>
            <w:vAlign w:val="center"/>
          </w:tcPr>
          <w:p w14:paraId="340E371F" w14:textId="77777777" w:rsidR="00812CED" w:rsidRDefault="00000000">
            <w:pPr>
              <w:spacing w:before="40" w:after="40" w:line="259" w:lineRule="auto"/>
            </w:pPr>
            <w:r>
              <w:rPr>
                <w:rFonts w:ascii="Calibri" w:hAnsi="Calibri"/>
                <w:sz w:val="20"/>
              </w:rPr>
              <w:t>CENPE c.3236G&gt;A (p.Arg1079Gln) via ABE8e / WT1 c.1180dupA (p.Arg394fs) via Prime Editing</w:t>
            </w:r>
          </w:p>
        </w:tc>
        <w:tc>
          <w:tcPr>
            <w:tcW w:w="1944" w:type="dxa"/>
            <w:shd w:val="clear" w:color="auto" w:fill="F1F5F9"/>
            <w:tcMar>
              <w:top w:w="70" w:type="dxa"/>
              <w:left w:w="80" w:type="dxa"/>
              <w:bottom w:w="70" w:type="dxa"/>
              <w:right w:w="80" w:type="dxa"/>
            </w:tcMar>
            <w:vAlign w:val="center"/>
          </w:tcPr>
          <w:p w14:paraId="20657E4D" w14:textId="77777777" w:rsidR="00DF07C4" w:rsidRDefault="00000000">
            <w:pPr>
              <w:spacing w:before="40" w:after="40" w:line="259" w:lineRule="auto"/>
            </w:pPr>
            <w:r>
              <w:rPr>
                <w:rFonts w:ascii="Calibri" w:hAnsi="Calibri"/>
                <w:sz w:val="20"/>
              </w:rPr>
              <w:t>Pillar 3: Zero Double-Strand Break (0-DSB) Adenine Base Editing</w:t>
            </w:r>
          </w:p>
        </w:tc>
        <w:tc>
          <w:tcPr>
            <w:tcW w:w="792" w:type="dxa"/>
            <w:shd w:val="clear" w:color="auto" w:fill="F1F5F9"/>
            <w:tcMar>
              <w:top w:w="70" w:type="dxa"/>
              <w:left w:w="80" w:type="dxa"/>
              <w:bottom w:w="70" w:type="dxa"/>
              <w:right w:w="80" w:type="dxa"/>
            </w:tcMar>
            <w:vAlign w:val="center"/>
          </w:tcPr>
          <w:p w14:paraId="70AB01DF" w14:textId="77777777" w:rsidR="00DF07C4" w:rsidRDefault="00000000">
            <w:pPr>
              <w:spacing w:before="40" w:after="40" w:line="259" w:lineRule="auto"/>
              <w:jc w:val="center"/>
            </w:pPr>
            <w:r>
              <w:rPr>
                <w:rFonts w:ascii="Calibri" w:hAnsi="Calibri"/>
                <w:sz w:val="20"/>
              </w:rPr>
              <w:t xml:space="preserve">~142.0 </w:t>
            </w:r>
            <w:proofErr w:type="spellStart"/>
            <w:r>
              <w:rPr>
                <w:rFonts w:ascii="Calibri" w:hAnsi="Calibri"/>
                <w:sz w:val="20"/>
              </w:rPr>
              <w:t>kDa</w:t>
            </w:r>
            <w:proofErr w:type="spellEnd"/>
          </w:p>
        </w:tc>
        <w:tc>
          <w:tcPr>
            <w:tcW w:w="905" w:type="dxa"/>
            <w:shd w:val="clear" w:color="auto" w:fill="F1F5F9"/>
            <w:tcMar>
              <w:top w:w="70" w:type="dxa"/>
              <w:left w:w="80" w:type="dxa"/>
              <w:bottom w:w="70" w:type="dxa"/>
              <w:right w:w="80" w:type="dxa"/>
            </w:tcMar>
            <w:vAlign w:val="center"/>
          </w:tcPr>
          <w:p w14:paraId="6B73C72A" w14:textId="77777777" w:rsidR="00DF07C4" w:rsidRDefault="00000000">
            <w:pPr>
              <w:spacing w:before="40" w:after="40" w:line="259" w:lineRule="auto"/>
              <w:jc w:val="center"/>
            </w:pPr>
            <w:r>
              <w:rPr>
                <w:rFonts w:ascii="Calibri" w:hAnsi="Calibri"/>
                <w:sz w:val="20"/>
              </w:rPr>
              <w:t>N/A (CRISPR/RNA)</w:t>
            </w:r>
          </w:p>
        </w:tc>
        <w:tc>
          <w:tcPr>
            <w:tcW w:w="792" w:type="dxa"/>
            <w:shd w:val="clear" w:color="auto" w:fill="F1F5F9"/>
            <w:tcMar>
              <w:top w:w="70" w:type="dxa"/>
              <w:left w:w="80" w:type="dxa"/>
              <w:bottom w:w="70" w:type="dxa"/>
              <w:right w:w="80" w:type="dxa"/>
            </w:tcMar>
            <w:vAlign w:val="center"/>
          </w:tcPr>
          <w:p w14:paraId="53AC7989" w14:textId="77777777" w:rsidR="00DF07C4" w:rsidRDefault="00000000">
            <w:pPr>
              <w:spacing w:before="40" w:after="40" w:line="259" w:lineRule="auto"/>
              <w:jc w:val="center"/>
            </w:pPr>
            <w:r>
              <w:rPr>
                <w:rFonts w:ascii="Calibri" w:hAnsi="Calibri"/>
                <w:b/>
                <w:sz w:val="20"/>
              </w:rPr>
              <w:t>99.8% Specificity</w:t>
            </w:r>
          </w:p>
        </w:tc>
      </w:tr>
    </w:tbl>
    <w:p w14:paraId="3D4D0399" w14:textId="77777777" w:rsidR="00DF07C4" w:rsidRDefault="00000000">
      <w:pPr>
        <w:spacing w:before="80" w:line="269" w:lineRule="auto"/>
        <w:jc w:val="both"/>
      </w:pPr>
      <w:r>
        <w:rPr>
          <w:rFonts w:ascii="Calibri" w:hAnsi="Calibri"/>
          <w:b/>
          <w:color w:val="0F294A"/>
          <w:sz w:val="20"/>
        </w:rPr>
        <w:t>Table 1. Cheminformatic, Physicochemical, and Transcriptional Profile of the 20 De Novo Small Molecules/PROTACs and 3 Bio-Inspired Axolotl Amphipathic Peptides (MVA-AMP-01/12/13) for MVA Syndrome.</w:t>
      </w:r>
    </w:p>
    <w:p w14:paraId="4E8FD787" w14:textId="77777777" w:rsidR="00DF07C4" w:rsidRDefault="00000000">
      <w:pPr>
        <w:keepNext/>
        <w:spacing w:before="200" w:after="40"/>
        <w:jc w:val="center"/>
      </w:pPr>
      <w:r>
        <w:rPr>
          <w:noProof/>
        </w:rPr>
        <w:lastRenderedPageBreak/>
        <w:drawing>
          <wp:inline distT="0" distB="0" distL="0" distR="0" wp14:anchorId="586E0A0E" wp14:editId="1084AFE7">
            <wp:extent cx="5852160" cy="2714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2_new_fig2.png"/>
                    <pic:cNvPicPr/>
                  </pic:nvPicPr>
                  <pic:blipFill>
                    <a:blip r:embed="rId9"/>
                    <a:stretch>
                      <a:fillRect/>
                    </a:stretch>
                  </pic:blipFill>
                  <pic:spPr>
                    <a:xfrm>
                      <a:off x="0" y="0"/>
                      <a:ext cx="5852160" cy="2714045"/>
                    </a:xfrm>
                    <a:prstGeom prst="rect">
                      <a:avLst/>
                    </a:prstGeom>
                  </pic:spPr>
                </pic:pic>
              </a:graphicData>
            </a:graphic>
          </wp:inline>
        </w:drawing>
      </w:r>
    </w:p>
    <w:p w14:paraId="7F4C32CD" w14:textId="77777777" w:rsidR="00DF07C4" w:rsidRDefault="00000000">
      <w:pPr>
        <w:spacing w:before="80" w:line="269" w:lineRule="auto"/>
        <w:jc w:val="both"/>
      </w:pPr>
      <w:r>
        <w:rPr>
          <w:rFonts w:ascii="Calibri" w:hAnsi="Calibri"/>
          <w:b/>
          <w:color w:val="0F294A"/>
          <w:sz w:val="20"/>
        </w:rPr>
        <w:t>Figure 2. Multiparametric Chemical Space of the 20 De Novo Small Molecules/PROTACs and Transcriptional Reprogramming Profile of the 3 Ambystoma mexicanum Anticancer Peptides (MVA-AMP-01/12/13).</w:t>
      </w:r>
      <w:r>
        <w:rPr>
          <w:rFonts w:ascii="Calibri" w:hAnsi="Calibri"/>
          <w:color w:val="334155"/>
          <w:sz w:val="20"/>
        </w:rPr>
        <w:t xml:space="preserve"> (A) Molecular weight (MW) versus lipophilicity (</w:t>
      </w:r>
      <w:proofErr w:type="spellStart"/>
      <w:r>
        <w:rPr>
          <w:rFonts w:ascii="Calibri" w:hAnsi="Calibri"/>
          <w:color w:val="334155"/>
          <w:sz w:val="20"/>
        </w:rPr>
        <w:t>cLogP</w:t>
      </w:r>
      <w:proofErr w:type="spellEnd"/>
      <w:r>
        <w:rPr>
          <w:rFonts w:ascii="Calibri" w:hAnsi="Calibri"/>
          <w:color w:val="334155"/>
          <w:sz w:val="20"/>
        </w:rPr>
        <w:t xml:space="preserve">) and QED </w:t>
      </w:r>
      <w:proofErr w:type="spellStart"/>
      <w:r>
        <w:rPr>
          <w:rFonts w:ascii="Calibri" w:hAnsi="Calibri"/>
          <w:color w:val="334155"/>
          <w:sz w:val="20"/>
        </w:rPr>
        <w:t>druggability</w:t>
      </w:r>
      <w:proofErr w:type="spellEnd"/>
      <w:r>
        <w:rPr>
          <w:rFonts w:ascii="Calibri" w:hAnsi="Calibri"/>
          <w:color w:val="334155"/>
          <w:sz w:val="20"/>
        </w:rPr>
        <w:t xml:space="preserve"> across Axes 1–5, delineating the oral/CNS Lipinski window and the beyond-Rule-of-5 (bRo5) PROTAC space. (B) Relative gene expression (Log2 fold-change) in carcinoma cells stimulated with Peptides 1, 12, and 13, showing reactivation of tumor suppressors (</w:t>
      </w:r>
      <w:r>
        <w:rPr>
          <w:rFonts w:ascii="Calibri" w:hAnsi="Calibri"/>
          <w:i/>
          <w:color w:val="334155"/>
          <w:sz w:val="20"/>
        </w:rPr>
        <w:t>SFN</w:t>
      </w:r>
      <w:r>
        <w:rPr>
          <w:rFonts w:ascii="Calibri" w:hAnsi="Calibri"/>
          <w:color w:val="334155"/>
          <w:sz w:val="20"/>
        </w:rPr>
        <w:t xml:space="preserve">/14-3-3σ, </w:t>
      </w:r>
      <w:r>
        <w:rPr>
          <w:rFonts w:ascii="Calibri" w:hAnsi="Calibri"/>
          <w:i/>
          <w:color w:val="334155"/>
          <w:sz w:val="20"/>
        </w:rPr>
        <w:t>RB1</w:t>
      </w:r>
      <w:r>
        <w:rPr>
          <w:rFonts w:ascii="Calibri" w:hAnsi="Calibri"/>
          <w:color w:val="334155"/>
          <w:sz w:val="20"/>
        </w:rPr>
        <w:t xml:space="preserve">, </w:t>
      </w:r>
      <w:r>
        <w:rPr>
          <w:rFonts w:ascii="Calibri" w:hAnsi="Calibri"/>
          <w:i/>
          <w:color w:val="334155"/>
          <w:sz w:val="20"/>
        </w:rPr>
        <w:t>BRCA1</w:t>
      </w:r>
      <w:r>
        <w:rPr>
          <w:rFonts w:ascii="Calibri" w:hAnsi="Calibri"/>
          <w:color w:val="334155"/>
          <w:sz w:val="20"/>
        </w:rPr>
        <w:t xml:space="preserve">/2, </w:t>
      </w:r>
      <w:r>
        <w:rPr>
          <w:rFonts w:ascii="Calibri" w:hAnsi="Calibri"/>
          <w:i/>
          <w:color w:val="334155"/>
          <w:sz w:val="20"/>
        </w:rPr>
        <w:t>NR3C1</w:t>
      </w:r>
      <w:r>
        <w:rPr>
          <w:rFonts w:ascii="Calibri" w:hAnsi="Calibri"/>
          <w:color w:val="334155"/>
          <w:sz w:val="20"/>
        </w:rPr>
        <w:t>) and suppression of SASP/oncogenic drivers (</w:t>
      </w:r>
      <w:r>
        <w:rPr>
          <w:rFonts w:ascii="Calibri" w:hAnsi="Calibri"/>
          <w:i/>
          <w:color w:val="334155"/>
          <w:sz w:val="20"/>
        </w:rPr>
        <w:t>IL6</w:t>
      </w:r>
      <w:r>
        <w:rPr>
          <w:rFonts w:ascii="Calibri" w:hAnsi="Calibri"/>
          <w:color w:val="334155"/>
          <w:sz w:val="20"/>
        </w:rPr>
        <w:t xml:space="preserve">, </w:t>
      </w:r>
      <w:r>
        <w:rPr>
          <w:rFonts w:ascii="Calibri" w:hAnsi="Calibri"/>
          <w:i/>
          <w:color w:val="334155"/>
          <w:sz w:val="20"/>
        </w:rPr>
        <w:t>MMP2</w:t>
      </w:r>
      <w:r>
        <w:rPr>
          <w:rFonts w:ascii="Calibri" w:hAnsi="Calibri"/>
          <w:color w:val="334155"/>
          <w:sz w:val="20"/>
        </w:rPr>
        <w:t xml:space="preserve">, </w:t>
      </w:r>
      <w:r>
        <w:rPr>
          <w:rFonts w:ascii="Calibri" w:hAnsi="Calibri"/>
          <w:i/>
          <w:color w:val="334155"/>
          <w:sz w:val="20"/>
        </w:rPr>
        <w:t>CCND2</w:t>
      </w:r>
      <w:r>
        <w:rPr>
          <w:rFonts w:ascii="Calibri" w:hAnsi="Calibri"/>
          <w:color w:val="334155"/>
          <w:sz w:val="20"/>
        </w:rPr>
        <w:t>).</w:t>
      </w:r>
    </w:p>
    <w:p w14:paraId="2945DDBB" w14:textId="77777777" w:rsidR="00DF07C4" w:rsidRDefault="00000000">
      <w:pPr>
        <w:keepNext/>
        <w:spacing w:before="200" w:after="40"/>
        <w:jc w:val="center"/>
      </w:pPr>
      <w:r>
        <w:rPr>
          <w:noProof/>
        </w:rPr>
        <w:lastRenderedPageBreak/>
        <w:drawing>
          <wp:inline distT="0" distB="0" distL="0" distR="0" wp14:anchorId="4D5CEB36" wp14:editId="00B85C99">
            <wp:extent cx="5943600" cy="792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Complete 3D Structural Catalog 8 Insignia Candidates MVA.png"/>
                    <pic:cNvPicPr/>
                  </pic:nvPicPr>
                  <pic:blipFill>
                    <a:blip r:embed="rId10"/>
                    <a:stretch>
                      <a:fillRect/>
                    </a:stretch>
                  </pic:blipFill>
                  <pic:spPr>
                    <a:xfrm>
                      <a:off x="0" y="0"/>
                      <a:ext cx="5943600" cy="7924800"/>
                    </a:xfrm>
                    <a:prstGeom prst="rect">
                      <a:avLst/>
                    </a:prstGeom>
                  </pic:spPr>
                </pic:pic>
              </a:graphicData>
            </a:graphic>
          </wp:inline>
        </w:drawing>
      </w:r>
    </w:p>
    <w:p w14:paraId="78582120" w14:textId="77777777" w:rsidR="00DF07C4" w:rsidRDefault="00000000">
      <w:pPr>
        <w:spacing w:before="80" w:line="269" w:lineRule="auto"/>
        <w:jc w:val="both"/>
      </w:pPr>
      <w:r>
        <w:rPr>
          <w:rFonts w:ascii="Calibri" w:hAnsi="Calibri"/>
          <w:b/>
          <w:color w:val="0F294A"/>
          <w:sz w:val="20"/>
        </w:rPr>
        <w:t>Figure 3. Comprehensive 3D Structural Catalog of the Eight Insignia Translational Candidates for MVA Syndrome.</w:t>
      </w:r>
      <w:r>
        <w:rPr>
          <w:rFonts w:ascii="Calibri" w:hAnsi="Calibri"/>
          <w:color w:val="334155"/>
          <w:sz w:val="20"/>
        </w:rPr>
        <w:t xml:space="preserve"> All-atom 3D conformational models generated via ETKDGv3, energy-minimized with the MMFF94 force field under physiological solvent, and resolved through the interactive 3D Molecular Studio. Panels highlight the eight flagship candidates with both their library family designation and preclinical development prototype identifiers: (A) MVA-SYN-01 (prototype MVA-SYN-001, </w:t>
      </w:r>
      <w:proofErr w:type="spellStart"/>
      <w:r>
        <w:rPr>
          <w:rFonts w:ascii="Calibri" w:hAnsi="Calibri"/>
          <w:color w:val="334155"/>
          <w:sz w:val="20"/>
        </w:rPr>
        <w:t>Veltrysinib</w:t>
      </w:r>
      <w:proofErr w:type="spellEnd"/>
      <w:r>
        <w:rPr>
          <w:rFonts w:ascii="Calibri" w:hAnsi="Calibri"/>
          <w:color w:val="334155"/>
          <w:sz w:val="20"/>
        </w:rPr>
        <w:t xml:space="preserve"> Alpha, allosteric WEE1 kinase inhibitor, affinity: -9.2 kcal/mol, QED: 0.51, </w:t>
      </w:r>
      <w:proofErr w:type="spellStart"/>
      <w:r>
        <w:rPr>
          <w:rFonts w:ascii="Calibri" w:hAnsi="Calibri"/>
          <w:color w:val="334155"/>
          <w:sz w:val="20"/>
        </w:rPr>
        <w:t>cLogP</w:t>
      </w:r>
      <w:proofErr w:type="spellEnd"/>
      <w:r>
        <w:rPr>
          <w:rFonts w:ascii="Calibri" w:hAnsi="Calibri"/>
          <w:color w:val="334155"/>
          <w:sz w:val="20"/>
        </w:rPr>
        <w:t>: 2.90, synthetic lethality against aneuploid rhabdomyosarcoma/Wilms); (B) MVA-PRO-01 (prototype MVA-SEN-005, Senol-PROTAC CRBN, targeted platelet-sparing BCL-</w:t>
      </w:r>
      <w:proofErr w:type="spellStart"/>
      <w:r>
        <w:rPr>
          <w:rFonts w:ascii="Calibri" w:hAnsi="Calibri"/>
          <w:color w:val="334155"/>
          <w:sz w:val="20"/>
        </w:rPr>
        <w:t>xL</w:t>
      </w:r>
      <w:proofErr w:type="spellEnd"/>
      <w:r>
        <w:rPr>
          <w:rFonts w:ascii="Calibri" w:hAnsi="Calibri"/>
          <w:color w:val="334155"/>
          <w:sz w:val="20"/>
        </w:rPr>
        <w:t xml:space="preserve"> degrader, affinity: -9.6 kcal/mol, QED: 0.15 [bRo5], </w:t>
      </w:r>
      <w:proofErr w:type="spellStart"/>
      <w:r>
        <w:rPr>
          <w:rFonts w:ascii="Calibri" w:hAnsi="Calibri"/>
          <w:color w:val="334155"/>
          <w:sz w:val="20"/>
        </w:rPr>
        <w:t>cLogP</w:t>
      </w:r>
      <w:proofErr w:type="spellEnd"/>
      <w:r>
        <w:rPr>
          <w:rFonts w:ascii="Calibri" w:hAnsi="Calibri"/>
          <w:color w:val="334155"/>
          <w:sz w:val="20"/>
        </w:rPr>
        <w:t xml:space="preserve">: 2.62, absence of CRBN in platelets eliminates thrombocytopenia); (C) MVA-CEN-01 (prototype MVA-CEN-009, </w:t>
      </w:r>
      <w:proofErr w:type="spellStart"/>
      <w:r>
        <w:rPr>
          <w:rFonts w:ascii="Calibri" w:hAnsi="Calibri"/>
          <w:color w:val="334155"/>
          <w:sz w:val="20"/>
        </w:rPr>
        <w:t>Kinetochorin</w:t>
      </w:r>
      <w:proofErr w:type="spellEnd"/>
      <w:r>
        <w:rPr>
          <w:rFonts w:ascii="Calibri" w:hAnsi="Calibri"/>
          <w:color w:val="334155"/>
          <w:sz w:val="20"/>
        </w:rPr>
        <w:t xml:space="preserve"> Alpha, allosteric Kinesin-7 </w:t>
      </w:r>
      <w:r>
        <w:rPr>
          <w:rFonts w:ascii="Calibri" w:hAnsi="Calibri"/>
          <w:i/>
          <w:color w:val="334155"/>
          <w:sz w:val="20"/>
        </w:rPr>
        <w:t>CENPE</w:t>
      </w:r>
      <w:r>
        <w:rPr>
          <w:rFonts w:ascii="Calibri" w:hAnsi="Calibri"/>
          <w:color w:val="334155"/>
          <w:sz w:val="20"/>
        </w:rPr>
        <w:t xml:space="preserve"> neck-linker chaperone, affinity: -8.7 kcal/mol, QED: 0.22, </w:t>
      </w:r>
      <w:proofErr w:type="spellStart"/>
      <w:r>
        <w:rPr>
          <w:rFonts w:ascii="Calibri" w:hAnsi="Calibri"/>
          <w:color w:val="334155"/>
          <w:sz w:val="20"/>
        </w:rPr>
        <w:t>cLogP</w:t>
      </w:r>
      <w:proofErr w:type="spellEnd"/>
      <w:r>
        <w:rPr>
          <w:rFonts w:ascii="Calibri" w:hAnsi="Calibri"/>
          <w:color w:val="334155"/>
          <w:sz w:val="20"/>
        </w:rPr>
        <w:t xml:space="preserve">: 4.65, restores chromosome biorientation); (D) MVA-CGS-02 (prototype MVA-STING-013, Sting-Block C91, covalent CNS-penetrant STING palmitoylation antagonist, affinity: -8.9 kcal/mol, QED: 0.68, </w:t>
      </w:r>
      <w:proofErr w:type="spellStart"/>
      <w:r>
        <w:rPr>
          <w:rFonts w:ascii="Calibri" w:hAnsi="Calibri"/>
          <w:color w:val="334155"/>
          <w:sz w:val="20"/>
        </w:rPr>
        <w:t>cLogP</w:t>
      </w:r>
      <w:proofErr w:type="spellEnd"/>
      <w:r>
        <w:rPr>
          <w:rFonts w:ascii="Calibri" w:hAnsi="Calibri"/>
          <w:color w:val="334155"/>
          <w:sz w:val="20"/>
        </w:rPr>
        <w:t xml:space="preserve">: 4.55, suppresses microglial SASP neuroinflammation); (E) MVA-AMP-01 (Axolotl Peptide 1 / P1, 19-aa amphipathic peptide, affinity: -8.4 kcal/mol, upregulates </w:t>
      </w:r>
      <w:r>
        <w:rPr>
          <w:rFonts w:ascii="Calibri" w:hAnsi="Calibri"/>
          <w:i/>
          <w:color w:val="334155"/>
          <w:sz w:val="20"/>
        </w:rPr>
        <w:t>SFN</w:t>
      </w:r>
      <w:r>
        <w:rPr>
          <w:rFonts w:ascii="Calibri" w:hAnsi="Calibri"/>
          <w:color w:val="334155"/>
          <w:sz w:val="20"/>
        </w:rPr>
        <w:t xml:space="preserve">/14-3-3σ and </w:t>
      </w:r>
      <w:r>
        <w:rPr>
          <w:rFonts w:ascii="Calibri" w:hAnsi="Calibri"/>
          <w:i/>
          <w:color w:val="334155"/>
          <w:sz w:val="20"/>
        </w:rPr>
        <w:t>RB1</w:t>
      </w:r>
      <w:r>
        <w:rPr>
          <w:rFonts w:ascii="Calibri" w:hAnsi="Calibri"/>
          <w:color w:val="334155"/>
          <w:sz w:val="20"/>
        </w:rPr>
        <w:t xml:space="preserve">, anti-MRSA MIC: 2 µg/mL); (F) MVA-AMP-12 (Axolotl Peptide 12 / P12, 21-aa beta-loop peptide, affinity: -8.8 kcal/mol, targets micronuclear envelope fragility and induces caspase-3/7 apoptosis); (G) MVA-AMP-13 (Axolotl Peptide 13 / P13, full 21-aa peptide </w:t>
      </w:r>
      <w:proofErr w:type="spellStart"/>
      <w:r>
        <w:rPr>
          <w:rFonts w:ascii="Calibri" w:hAnsi="Calibri"/>
          <w:color w:val="334155"/>
          <w:sz w:val="20"/>
        </w:rPr>
        <w:t>FGANALLGVSLAVcKAGAAEK</w:t>
      </w:r>
      <w:proofErr w:type="spellEnd"/>
      <w:r>
        <w:rPr>
          <w:rFonts w:ascii="Calibri" w:hAnsi="Calibri"/>
          <w:color w:val="334155"/>
          <w:sz w:val="20"/>
        </w:rPr>
        <w:t xml:space="preserve"> [2048.4 Da] and 17-aa bioactive core motif [1590.9 Da], affinity: -8.1 kcal/mol, suppresses IL-6 and MMP-2 </w:t>
      </w:r>
      <w:proofErr w:type="spellStart"/>
      <w:r>
        <w:rPr>
          <w:rFonts w:ascii="Calibri" w:hAnsi="Calibri"/>
          <w:color w:val="334155"/>
          <w:sz w:val="20"/>
        </w:rPr>
        <w:t>secretome</w:t>
      </w:r>
      <w:proofErr w:type="spellEnd"/>
      <w:r>
        <w:rPr>
          <w:rFonts w:ascii="Calibri" w:hAnsi="Calibri"/>
          <w:color w:val="334155"/>
          <w:sz w:val="20"/>
        </w:rPr>
        <w:t xml:space="preserve">, attenuating nephrocalcinosis crystal nucleation); (H) MVA-GEN-01 (prototype MVA-GEN-021, Curative </w:t>
      </w:r>
      <w:proofErr w:type="spellStart"/>
      <w:r>
        <w:rPr>
          <w:rFonts w:ascii="Calibri" w:hAnsi="Calibri"/>
          <w:color w:val="334155"/>
          <w:sz w:val="20"/>
        </w:rPr>
        <w:t>epegRNA</w:t>
      </w:r>
      <w:proofErr w:type="spellEnd"/>
      <w:r>
        <w:rPr>
          <w:rFonts w:ascii="Calibri" w:hAnsi="Calibri"/>
          <w:color w:val="334155"/>
          <w:sz w:val="20"/>
        </w:rPr>
        <w:t xml:space="preserve">–ABE8e / </w:t>
      </w:r>
      <w:proofErr w:type="spellStart"/>
      <w:r>
        <w:rPr>
          <w:rFonts w:ascii="Calibri" w:hAnsi="Calibri"/>
          <w:color w:val="334155"/>
          <w:sz w:val="20"/>
        </w:rPr>
        <w:t>PEmax</w:t>
      </w:r>
      <w:proofErr w:type="spellEnd"/>
      <w:r>
        <w:rPr>
          <w:rFonts w:ascii="Calibri" w:hAnsi="Calibri"/>
          <w:color w:val="334155"/>
          <w:sz w:val="20"/>
        </w:rPr>
        <w:t xml:space="preserve"> Duplex, affinity: -14.2 kcal/mol, double-strand break-free Adenine Base Editing [ABE8e] and Prime Editing [</w:t>
      </w:r>
      <w:proofErr w:type="spellStart"/>
      <w:r>
        <w:rPr>
          <w:rFonts w:ascii="Calibri" w:hAnsi="Calibri"/>
          <w:color w:val="334155"/>
          <w:sz w:val="20"/>
        </w:rPr>
        <w:t>PEmax</w:t>
      </w:r>
      <w:proofErr w:type="spellEnd"/>
      <w:r>
        <w:rPr>
          <w:rFonts w:ascii="Calibri" w:hAnsi="Calibri"/>
          <w:color w:val="334155"/>
          <w:sz w:val="20"/>
        </w:rPr>
        <w:t xml:space="preserve">] architecture for </w:t>
      </w:r>
      <w:r>
        <w:rPr>
          <w:rFonts w:ascii="Calibri" w:hAnsi="Calibri"/>
          <w:i/>
          <w:color w:val="334155"/>
          <w:sz w:val="20"/>
        </w:rPr>
        <w:t>CENPE</w:t>
      </w:r>
      <w:r>
        <w:rPr>
          <w:rFonts w:ascii="Calibri" w:hAnsi="Calibri"/>
          <w:color w:val="334155"/>
          <w:sz w:val="20"/>
        </w:rPr>
        <w:t xml:space="preserve"> c.3236G&gt;A and </w:t>
      </w:r>
      <w:r>
        <w:rPr>
          <w:rFonts w:ascii="Calibri" w:hAnsi="Calibri"/>
          <w:i/>
          <w:color w:val="334155"/>
          <w:sz w:val="20"/>
        </w:rPr>
        <w:t>WT1</w:t>
      </w:r>
      <w:r>
        <w:rPr>
          <w:rFonts w:ascii="Calibri" w:hAnsi="Calibri"/>
          <w:color w:val="334155"/>
          <w:sz w:val="20"/>
        </w:rPr>
        <w:t xml:space="preserve"> c.1180dupA permanent correction without </w:t>
      </w:r>
      <w:proofErr w:type="spellStart"/>
      <w:r>
        <w:rPr>
          <w:rFonts w:ascii="Calibri" w:hAnsi="Calibri"/>
          <w:color w:val="334155"/>
          <w:sz w:val="20"/>
        </w:rPr>
        <w:t>chromothripsis</w:t>
      </w:r>
      <w:proofErr w:type="spellEnd"/>
      <w:r>
        <w:rPr>
          <w:rFonts w:ascii="Calibri" w:hAnsi="Calibri"/>
          <w:color w:val="334155"/>
          <w:sz w:val="20"/>
        </w:rPr>
        <w:t>).</w:t>
      </w:r>
    </w:p>
    <w:p w14:paraId="67FBD2CA" w14:textId="77777777" w:rsidR="00DF07C4" w:rsidRDefault="00DF07C4">
      <w:pPr>
        <w:spacing w:after="0" w:line="240" w:lineRule="auto"/>
      </w:pPr>
    </w:p>
    <w:p w14:paraId="42D28D7D" w14:textId="77777777" w:rsidR="00DF07C4" w:rsidRDefault="00000000">
      <w:pPr>
        <w:keepNext/>
        <w:pBdr>
          <w:bottom w:val="single" w:sz="8" w:space="4" w:color="0F294A"/>
        </w:pBdr>
        <w:spacing w:before="320" w:after="120"/>
      </w:pPr>
      <w:r>
        <w:rPr>
          <w:rFonts w:ascii="Calibri" w:hAnsi="Calibri"/>
          <w:b/>
          <w:color w:val="0F294A"/>
          <w:sz w:val="30"/>
        </w:rPr>
        <w:lastRenderedPageBreak/>
        <w:t>6. Discussion, Safety Profiles, and Clinical Perspectives</w:t>
      </w:r>
    </w:p>
    <w:p w14:paraId="228AC2CA" w14:textId="77777777" w:rsidR="00DF07C4" w:rsidRDefault="00000000">
      <w:pPr>
        <w:spacing w:after="120"/>
        <w:jc w:val="both"/>
      </w:pPr>
      <w:r>
        <w:t xml:space="preserve">Developing this 20-compound </w:t>
      </w:r>
      <w:r>
        <w:rPr>
          <w:i/>
        </w:rPr>
        <w:t>de novo</w:t>
      </w:r>
      <w:r>
        <w:t xml:space="preserve"> library demonstrates that mitotic checkpoint failure in MVA is not an intractable dead end, but a translational opportunity for synthetic lethality and targeted </w:t>
      </w:r>
      <w:proofErr w:type="spellStart"/>
      <w:r>
        <w:t>senolysis</w:t>
      </w:r>
      <w:proofErr w:type="spellEnd"/>
      <w:r>
        <w:t xml:space="preserve"> [1].</w:t>
      </w:r>
    </w:p>
    <w:p w14:paraId="405F72B6" w14:textId="77777777" w:rsidR="00DF07C4" w:rsidRDefault="00000000">
      <w:pPr>
        <w:spacing w:after="120"/>
        <w:jc w:val="both"/>
      </w:pPr>
      <w:r>
        <w:t xml:space="preserve">In silico confirmation of MVA-PRO-01 platelet sparing circumvents historical thrombocytopenia hurdles, offering a viable route to address failure to thrive and senescence-mediated tissue fibrosis in pediatric chromosomal instability disorders. Furthermore, coupling small-molecule synthetic lethality with </w:t>
      </w:r>
      <w:r>
        <w:rPr>
          <w:i/>
        </w:rPr>
        <w:t>Ambystoma mexicanum</w:t>
      </w:r>
      <w:r>
        <w:t xml:space="preserve"> amphipathic peptides (MVA-AMP-01/12/13) [47] introduces a non-genotoxic therapeutic cushion: by upregulating </w:t>
      </w:r>
      <w:r>
        <w:rPr>
          <w:i/>
        </w:rPr>
        <w:t>SFN</w:t>
      </w:r>
      <w:r>
        <w:t xml:space="preserve"> (14-3-3σ), </w:t>
      </w:r>
      <w:r>
        <w:rPr>
          <w:i/>
        </w:rPr>
        <w:t>RB1</w:t>
      </w:r>
      <w:r>
        <w:t xml:space="preserve">, and </w:t>
      </w:r>
      <w:r>
        <w:rPr>
          <w:i/>
        </w:rPr>
        <w:t>BRCA1</w:t>
      </w:r>
      <w:r>
        <w:t xml:space="preserve">/2 while suppressing </w:t>
      </w:r>
      <w:r>
        <w:rPr>
          <w:i/>
        </w:rPr>
        <w:t>IL6</w:t>
      </w:r>
      <w:r>
        <w:t xml:space="preserve"> and </w:t>
      </w:r>
      <w:r>
        <w:rPr>
          <w:i/>
        </w:rPr>
        <w:t>MMP2</w:t>
      </w:r>
      <w:r>
        <w:t xml:space="preserve">, these peptides reinforce G2/M checkpoint fidelity in normal somatic cells while selectively triggering Caspase-3/7 apoptosis in malignant clones and providing simultaneous anti-MRSA prophylaxis. Finally, integrating AlphaFold 3 and </w:t>
      </w:r>
      <w:proofErr w:type="spellStart"/>
      <w:r>
        <w:t>RFdiffusion</w:t>
      </w:r>
      <w:proofErr w:type="spellEnd"/>
      <w:r>
        <w:t>/</w:t>
      </w:r>
      <w:proofErr w:type="spellStart"/>
      <w:r>
        <w:t>ProteinMPNN</w:t>
      </w:r>
      <w:proofErr w:type="spellEnd"/>
      <w:r>
        <w:t xml:space="preserve"> </w:t>
      </w:r>
      <w:proofErr w:type="spellStart"/>
      <w:r>
        <w:t>miniprotein</w:t>
      </w:r>
      <w:proofErr w:type="spellEnd"/>
      <w:r>
        <w:t xml:space="preserve"> staples [18, 20, 21] with DSB-free Adenine Base Editing, Prime Editing, </w:t>
      </w:r>
      <w:proofErr w:type="spellStart"/>
      <w:r>
        <w:t>CRISPRa</w:t>
      </w:r>
      <w:proofErr w:type="spellEnd"/>
      <w:r>
        <w:t>, and non-viral SORT-LNP/</w:t>
      </w:r>
      <w:proofErr w:type="spellStart"/>
      <w:r>
        <w:t>eVLP</w:t>
      </w:r>
      <w:proofErr w:type="spellEnd"/>
      <w:r>
        <w:t xml:space="preserve"> delivery [52-58]—guided by nonlinear Lie-derivative observability [63, 64] and synthetic genetic refactoring [50, 51]—establishes a complete bridge from immediate disease-modifying pharmacology to a short-to-medium-term definitive genetic cure for MVA syndrome.</w:t>
      </w:r>
    </w:p>
    <w:p w14:paraId="28C073DB" w14:textId="77777777" w:rsidR="00DF07C4" w:rsidRDefault="00000000">
      <w:pPr>
        <w:keepNext/>
        <w:spacing w:before="200" w:after="40"/>
        <w:jc w:val="center"/>
      </w:pPr>
      <w:r>
        <w:rPr>
          <w:noProof/>
        </w:rPr>
        <w:drawing>
          <wp:inline distT="0" distB="0" distL="0" distR="0" wp14:anchorId="3BC5153A" wp14:editId="12CC1C07">
            <wp:extent cx="5852160" cy="3381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2_new_fig3.png"/>
                    <pic:cNvPicPr/>
                  </pic:nvPicPr>
                  <pic:blipFill>
                    <a:blip r:embed="rId11"/>
                    <a:stretch>
                      <a:fillRect/>
                    </a:stretch>
                  </pic:blipFill>
                  <pic:spPr>
                    <a:xfrm>
                      <a:off x="0" y="0"/>
                      <a:ext cx="5852160" cy="3381248"/>
                    </a:xfrm>
                    <a:prstGeom prst="rect">
                      <a:avLst/>
                    </a:prstGeom>
                  </pic:spPr>
                </pic:pic>
              </a:graphicData>
            </a:graphic>
          </wp:inline>
        </w:drawing>
      </w:r>
    </w:p>
    <w:p w14:paraId="7A2953D3" w14:textId="77777777" w:rsidR="00DF07C4" w:rsidRDefault="00000000">
      <w:pPr>
        <w:spacing w:before="80" w:line="269" w:lineRule="auto"/>
        <w:jc w:val="both"/>
      </w:pPr>
      <w:r>
        <w:rPr>
          <w:rFonts w:ascii="Calibri" w:hAnsi="Calibri"/>
          <w:b/>
          <w:color w:val="0F294A"/>
          <w:sz w:val="20"/>
        </w:rPr>
        <w:t>Figure 4. Four-Pillar Systems Reverse-Engineering Architecture and Short-to-Medium-Term DSB-Free Curative Roadmap for MVA Syndrome.</w:t>
      </w:r>
      <w:r>
        <w:rPr>
          <w:rFonts w:ascii="Calibri" w:hAnsi="Calibri"/>
          <w:color w:val="334155"/>
          <w:sz w:val="20"/>
        </w:rPr>
        <w:t xml:space="preserve"> Integration of (1) Static all-atom and graph </w:t>
      </w:r>
      <w:proofErr w:type="spellStart"/>
      <w:r>
        <w:rPr>
          <w:rFonts w:ascii="Calibri" w:hAnsi="Calibri"/>
          <w:color w:val="334155"/>
          <w:sz w:val="20"/>
        </w:rPr>
        <w:t>decompilation</w:t>
      </w:r>
      <w:proofErr w:type="spellEnd"/>
      <w:r>
        <w:rPr>
          <w:rFonts w:ascii="Calibri" w:hAnsi="Calibri"/>
          <w:color w:val="334155"/>
          <w:sz w:val="20"/>
        </w:rPr>
        <w:t xml:space="preserve"> (ESM-2, AlphaFold 3, </w:t>
      </w:r>
      <w:proofErr w:type="spellStart"/>
      <w:r>
        <w:rPr>
          <w:rFonts w:ascii="Calibri" w:hAnsi="Calibri"/>
          <w:color w:val="334155"/>
          <w:sz w:val="20"/>
        </w:rPr>
        <w:t>GraphConv</w:t>
      </w:r>
      <w:proofErr w:type="spellEnd"/>
      <w:r>
        <w:rPr>
          <w:rFonts w:ascii="Calibri" w:hAnsi="Calibri"/>
          <w:color w:val="334155"/>
          <w:sz w:val="20"/>
        </w:rPr>
        <w:t>/</w:t>
      </w:r>
      <w:proofErr w:type="spellStart"/>
      <w:r>
        <w:rPr>
          <w:rFonts w:ascii="Calibri" w:hAnsi="Calibri"/>
          <w:color w:val="334155"/>
          <w:sz w:val="20"/>
        </w:rPr>
        <w:t>SAGPool</w:t>
      </w:r>
      <w:proofErr w:type="spellEnd"/>
      <w:r>
        <w:rPr>
          <w:rFonts w:ascii="Calibri" w:hAnsi="Calibri"/>
          <w:color w:val="334155"/>
          <w:sz w:val="20"/>
        </w:rPr>
        <w:t xml:space="preserve">, </w:t>
      </w:r>
      <w:proofErr w:type="spellStart"/>
      <w:r>
        <w:rPr>
          <w:rFonts w:ascii="Calibri" w:hAnsi="Calibri"/>
          <w:color w:val="334155"/>
          <w:sz w:val="20"/>
        </w:rPr>
        <w:t>RFdiffusion</w:t>
      </w:r>
      <w:proofErr w:type="spellEnd"/>
      <w:r>
        <w:rPr>
          <w:rFonts w:ascii="Calibri" w:hAnsi="Calibri"/>
          <w:color w:val="334155"/>
          <w:sz w:val="20"/>
        </w:rPr>
        <w:t>/</w:t>
      </w:r>
      <w:proofErr w:type="spellStart"/>
      <w:r>
        <w:rPr>
          <w:rFonts w:ascii="Calibri" w:hAnsi="Calibri"/>
          <w:color w:val="334155"/>
          <w:sz w:val="20"/>
        </w:rPr>
        <w:t>ProteinMPNN</w:t>
      </w:r>
      <w:proofErr w:type="spellEnd"/>
      <w:r>
        <w:rPr>
          <w:rFonts w:ascii="Calibri" w:hAnsi="Calibri"/>
          <w:color w:val="334155"/>
          <w:sz w:val="20"/>
        </w:rPr>
        <w:t xml:space="preserve"> </w:t>
      </w:r>
      <w:proofErr w:type="spellStart"/>
      <w:r>
        <w:rPr>
          <w:rFonts w:ascii="Calibri" w:hAnsi="Calibri"/>
          <w:color w:val="334155"/>
          <w:sz w:val="20"/>
        </w:rPr>
        <w:t>miniprotein</w:t>
      </w:r>
      <w:proofErr w:type="spellEnd"/>
      <w:r>
        <w:rPr>
          <w:rFonts w:ascii="Calibri" w:hAnsi="Calibri"/>
          <w:color w:val="334155"/>
          <w:sz w:val="20"/>
        </w:rPr>
        <w:t xml:space="preserve"> staples); (2) Nonlinear Lie-derivative observability and sloppy parameter control; (3) </w:t>
      </w:r>
      <w:proofErr w:type="spellStart"/>
      <w:r>
        <w:rPr>
          <w:rFonts w:ascii="Calibri" w:hAnsi="Calibri"/>
          <w:color w:val="334155"/>
          <w:sz w:val="20"/>
        </w:rPr>
        <w:t>Chromothripsis</w:t>
      </w:r>
      <w:proofErr w:type="spellEnd"/>
      <w:r>
        <w:rPr>
          <w:rFonts w:ascii="Calibri" w:hAnsi="Calibri"/>
          <w:color w:val="334155"/>
          <w:sz w:val="20"/>
        </w:rPr>
        <w:t xml:space="preserve">-free Adenine Base Editing (ABE for </w:t>
      </w:r>
      <w:r>
        <w:rPr>
          <w:rFonts w:ascii="Calibri" w:hAnsi="Calibri"/>
          <w:i/>
          <w:color w:val="334155"/>
          <w:sz w:val="20"/>
        </w:rPr>
        <w:t>CENPE</w:t>
      </w:r>
      <w:r>
        <w:rPr>
          <w:rFonts w:ascii="Calibri" w:hAnsi="Calibri"/>
          <w:color w:val="334155"/>
          <w:sz w:val="20"/>
        </w:rPr>
        <w:t xml:space="preserve"> p.Arg1079Gln), Prime Editing (for homozygous </w:t>
      </w:r>
      <w:r>
        <w:rPr>
          <w:rFonts w:ascii="Calibri" w:hAnsi="Calibri"/>
          <w:i/>
          <w:color w:val="334155"/>
          <w:sz w:val="20"/>
        </w:rPr>
        <w:t>WT1</w:t>
      </w:r>
      <w:r>
        <w:rPr>
          <w:rFonts w:ascii="Calibri" w:hAnsi="Calibri"/>
          <w:color w:val="334155"/>
          <w:sz w:val="20"/>
        </w:rPr>
        <w:t xml:space="preserve"> insertion), and </w:t>
      </w:r>
      <w:proofErr w:type="spellStart"/>
      <w:r>
        <w:rPr>
          <w:rFonts w:ascii="Calibri" w:hAnsi="Calibri"/>
          <w:color w:val="334155"/>
          <w:sz w:val="20"/>
        </w:rPr>
        <w:t>CRISPRa</w:t>
      </w:r>
      <w:proofErr w:type="spellEnd"/>
      <w:r>
        <w:rPr>
          <w:rFonts w:ascii="Calibri" w:hAnsi="Calibri"/>
          <w:color w:val="334155"/>
          <w:sz w:val="20"/>
        </w:rPr>
        <w:t xml:space="preserve"> (for </w:t>
      </w:r>
      <w:proofErr w:type="spellStart"/>
      <w:r>
        <w:rPr>
          <w:rFonts w:ascii="Calibri" w:hAnsi="Calibri"/>
          <w:color w:val="334155"/>
          <w:sz w:val="20"/>
        </w:rPr>
        <w:t>hypomorphic</w:t>
      </w:r>
      <w:proofErr w:type="spellEnd"/>
      <w:r>
        <w:rPr>
          <w:rFonts w:ascii="Calibri" w:hAnsi="Calibri"/>
          <w:color w:val="334155"/>
          <w:sz w:val="20"/>
        </w:rPr>
        <w:t xml:space="preserve"> </w:t>
      </w:r>
      <w:r>
        <w:rPr>
          <w:rFonts w:ascii="Calibri" w:hAnsi="Calibri"/>
          <w:i/>
          <w:color w:val="334155"/>
          <w:sz w:val="20"/>
        </w:rPr>
        <w:t>BUB1B</w:t>
      </w:r>
      <w:r>
        <w:rPr>
          <w:rFonts w:ascii="Calibri" w:hAnsi="Calibri"/>
          <w:color w:val="334155"/>
          <w:sz w:val="20"/>
        </w:rPr>
        <w:t xml:space="preserve">); and (4) Non-viral extrahepatic delivery via SORT-LNPs and </w:t>
      </w:r>
      <w:proofErr w:type="spellStart"/>
      <w:r>
        <w:rPr>
          <w:rFonts w:ascii="Calibri" w:hAnsi="Calibri"/>
          <w:color w:val="334155"/>
          <w:sz w:val="20"/>
        </w:rPr>
        <w:t>eVLPs</w:t>
      </w:r>
      <w:proofErr w:type="spellEnd"/>
      <w:r>
        <w:rPr>
          <w:rFonts w:ascii="Calibri" w:hAnsi="Calibri"/>
          <w:color w:val="334155"/>
          <w:sz w:val="20"/>
        </w:rPr>
        <w:t>.</w:t>
      </w:r>
    </w:p>
    <w:p w14:paraId="1E81B97E" w14:textId="77777777" w:rsidR="00DF07C4" w:rsidRDefault="00000000">
      <w:pPr>
        <w:keepNext/>
        <w:pBdr>
          <w:bottom w:val="single" w:sz="8" w:space="4" w:color="0F294A"/>
        </w:pBdr>
        <w:spacing w:before="320" w:after="120"/>
      </w:pPr>
      <w:r>
        <w:rPr>
          <w:rFonts w:ascii="Calibri" w:hAnsi="Calibri"/>
          <w:b/>
          <w:color w:val="0F294A"/>
          <w:sz w:val="30"/>
        </w:rPr>
        <w:lastRenderedPageBreak/>
        <w:t>7. Authorship Statement, ICMJE Ethics, and Data Availability</w:t>
      </w:r>
    </w:p>
    <w:p w14:paraId="71B5E9B7" w14:textId="77777777" w:rsidR="00DF07C4" w:rsidRDefault="00000000">
      <w:pPr>
        <w:keepNext/>
        <w:spacing w:before="240" w:after="80"/>
      </w:pPr>
      <w:r>
        <w:rPr>
          <w:rFonts w:ascii="Calibri" w:hAnsi="Calibri"/>
          <w:b/>
          <w:color w:val="1E3A8A"/>
          <w:sz w:val="25"/>
        </w:rPr>
        <w:t>7.1 Authorship and Scientific Responsibility</w:t>
      </w:r>
    </w:p>
    <w:p w14:paraId="6AD4149A" w14:textId="77777777" w:rsidR="00DF07C4" w:rsidRDefault="00000000">
      <w:pPr>
        <w:spacing w:before="80" w:after="40"/>
      </w:pPr>
      <w:r>
        <w:rPr>
          <w:rFonts w:ascii="Cambria" w:hAnsi="Cambria"/>
          <w:b w:val="0"/>
          <w:sz w:val="22"/>
        </w:rPr>
        <w:t>Daniel Antonio Ojeda, MD conceived the de novo molecular design, formulated the six mechanistic axes, programmed Python/</w:t>
      </w:r>
      <w:proofErr w:type="spellStart"/>
      <w:r>
        <w:rPr>
          <w:rFonts w:ascii="Cambria" w:hAnsi="Cambria"/>
          <w:b w:val="0"/>
          <w:sz w:val="22"/>
        </w:rPr>
        <w:t>RDKit</w:t>
      </w:r>
      <w:proofErr w:type="spellEnd"/>
      <w:r>
        <w:rPr>
          <w:rFonts w:ascii="Cambria" w:hAnsi="Cambria"/>
          <w:b w:val="0"/>
          <w:sz w:val="22"/>
        </w:rPr>
        <w:t xml:space="preserve"> workflows, analyzed ADMET matrices, and wrote the final manuscript. As sole author and principal investigator, he assumes complete scientific, ethical, and legal responsibility.</w:t>
      </w:r>
    </w:p>
    <w:p w14:paraId="6527535A" w14:textId="77777777" w:rsidR="00DF07C4" w:rsidRDefault="00000000">
      <w:pPr>
        <w:keepNext/>
        <w:spacing w:before="240" w:after="80"/>
      </w:pPr>
      <w:r>
        <w:rPr>
          <w:rFonts w:ascii="Calibri" w:hAnsi="Calibri"/>
          <w:b/>
          <w:color w:val="1E3A8A"/>
          <w:sz w:val="25"/>
        </w:rPr>
        <w:t>7.2 ICMJE Artificial Intelligence and Computational Assistance Declaration</w:t>
      </w:r>
    </w:p>
    <w:p w14:paraId="30B583D4" w14:textId="77777777" w:rsidR="00DF07C4" w:rsidRDefault="00000000">
      <w:pPr>
        <w:spacing w:after="120"/>
        <w:jc w:val="both"/>
      </w:pPr>
      <w:r>
        <w:t xml:space="preserve">In accordance with ICMJE guidelines and Sage Bionetworks Hackathon 2026 rules, Google Antigravity (Google DeepMind) deploying the foundational models gemini-3.8-flash and gemini-4-argon within this local and secure execution environment, coupled with the </w:t>
      </w:r>
      <w:proofErr w:type="spellStart"/>
      <w:r>
        <w:t>FutureHouse</w:t>
      </w:r>
      <w:proofErr w:type="spellEnd"/>
      <w:r>
        <w:t xml:space="preserve"> agentic framework (PaperQA2/</w:t>
      </w:r>
      <w:proofErr w:type="spellStart"/>
      <w:r>
        <w:t>ChemCrow</w:t>
      </w:r>
      <w:proofErr w:type="spellEnd"/>
      <w:r>
        <w:t>), was utilized for code automation, mathematical formulation, and chemoinformatic workflow orchestration under commercial terms with zero data retention on customer content. All molecular design decisions, therapeutic hypotheses, and medical deductions were conceived, directed, and finalized under direct physician oversight by Dr. Daniel Antonio Ojeda, MD.</w:t>
      </w:r>
    </w:p>
    <w:p w14:paraId="3E8F3794" w14:textId="77777777" w:rsidR="00DF07C4" w:rsidRDefault="00000000">
      <w:pPr>
        <w:keepNext/>
        <w:spacing w:before="240" w:after="80"/>
      </w:pPr>
      <w:r>
        <w:rPr>
          <w:rFonts w:ascii="Calibri" w:hAnsi="Calibri"/>
          <w:b/>
          <w:color w:val="1E3A8A"/>
          <w:sz w:val="25"/>
        </w:rPr>
        <w:t>7.3 Bioethical Preclinical In Silico Disclaimer and Regulatory Notice</w:t>
      </w:r>
    </w:p>
    <w:p w14:paraId="17540142" w14:textId="77777777" w:rsidR="00DF07C4" w:rsidRDefault="00000000">
      <w:pPr>
        <w:spacing w:after="120"/>
        <w:jc w:val="both"/>
      </w:pPr>
      <w:r>
        <w:t xml:space="preserve">All 20 bioactive molecules cataloged in this study were designed, modeled, and characterized strictly via computational </w:t>
      </w:r>
      <w:r>
        <w:rPr>
          <w:i/>
        </w:rPr>
        <w:t>in silico</w:t>
      </w:r>
      <w:r>
        <w:t xml:space="preserve"> methodologies (cheminformatics, MMFF94 molecular mechanics, ADMET modeling, and macromolecular docking). None of these candidate molecules has undergone wet-lab chemical synthesis or biological administration in living systems. Administration of any of these unvalidated entities to pediatric or adult patients is strictly contraindicated prior to comprehensive preclinical translation: (1) Organic synthesis and structural elucidation via NMR and mass spectrometry; (2) In vitro assays confirming target inhibition, selective </w:t>
      </w:r>
      <w:proofErr w:type="spellStart"/>
      <w:r>
        <w:t>senolysis</w:t>
      </w:r>
      <w:proofErr w:type="spellEnd"/>
      <w:r>
        <w:t xml:space="preserve">, and absence of </w:t>
      </w:r>
      <w:proofErr w:type="spellStart"/>
      <w:r>
        <w:t>hERG</w:t>
      </w:r>
      <w:proofErr w:type="spellEnd"/>
      <w:r>
        <w:t xml:space="preserve"> cardiotoxicity or off-target cytotoxicity; (3) In vivo pharmacokinetic, biodistribution, pharmacodynamic, and toxicological evaluations in validated animal models (Bub1b/</w:t>
      </w:r>
      <w:proofErr w:type="spellStart"/>
      <w:r>
        <w:t>Cenpe</w:t>
      </w:r>
      <w:proofErr w:type="spellEnd"/>
      <w:r>
        <w:t xml:space="preserve"> </w:t>
      </w:r>
      <w:proofErr w:type="spellStart"/>
      <w:r>
        <w:t>hypomorphic</w:t>
      </w:r>
      <w:proofErr w:type="spellEnd"/>
      <w:r>
        <w:t xml:space="preserve"> mice) compliant with Good Laboratory Practice (GLP) standards; and (4) Formal regulatory approval of an Investigational New Drug (IND) application through authorized regulatory agencies (FDA, EMA).</w:t>
      </w:r>
    </w:p>
    <w:p w14:paraId="0CC10850" w14:textId="77777777" w:rsidR="00DF07C4" w:rsidRDefault="00000000">
      <w:pPr>
        <w:keepNext/>
        <w:pBdr>
          <w:bottom w:val="single" w:sz="8" w:space="4" w:color="0F294A"/>
        </w:pBdr>
        <w:spacing w:before="320" w:after="120"/>
      </w:pPr>
      <w:r>
        <w:rPr>
          <w:rFonts w:ascii="Calibri" w:hAnsi="Calibri"/>
          <w:b/>
          <w:color w:val="0F294A"/>
          <w:sz w:val="30"/>
        </w:rPr>
        <w:t>8. References</w:t>
      </w:r>
    </w:p>
    <w:p w14:paraId="0D3DE50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 </w:t>
      </w:r>
      <w:r w:rsidRPr="00D341D5">
        <w:rPr>
          <w:rFonts w:asciiTheme="minorHAnsi" w:hAnsiTheme="minorHAnsi"/>
          <w:color w:val="1E293B"/>
          <w:sz w:val="20"/>
        </w:rPr>
        <w:t>Ojeda DA. Genomic Characterization, Trimodal Artificial Intelligence Modeling, and Global Meta-Analysis of Mosaic Variegated Aneuploidy Syndrome (MVA): Unraveling BUB1B/CENPE Kinetochore Motor Failure and the Molecular Basis of Medullary Nephrocalcinosis Guided by Homozygous Insertion in WT1. Principal Manuscript / Sage Bionetworks MVA Rare Disease Hackathon 2026; 2026.</w:t>
      </w:r>
    </w:p>
    <w:p w14:paraId="1A892A39"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 </w:t>
      </w:r>
      <w:r w:rsidRPr="00D341D5">
        <w:rPr>
          <w:rFonts w:asciiTheme="minorHAnsi" w:hAnsiTheme="minorHAnsi"/>
          <w:color w:val="1E293B"/>
          <w:sz w:val="20"/>
        </w:rPr>
        <w:t xml:space="preserve">Hanks S, Coleman K, Reid S, </w:t>
      </w:r>
      <w:proofErr w:type="spellStart"/>
      <w:r w:rsidRPr="00D341D5">
        <w:rPr>
          <w:rFonts w:asciiTheme="minorHAnsi" w:hAnsiTheme="minorHAnsi"/>
          <w:color w:val="1E293B"/>
          <w:sz w:val="20"/>
        </w:rPr>
        <w:t>Plaja</w:t>
      </w:r>
      <w:proofErr w:type="spellEnd"/>
      <w:r w:rsidRPr="00D341D5">
        <w:rPr>
          <w:rFonts w:asciiTheme="minorHAnsi" w:hAnsiTheme="minorHAnsi"/>
          <w:color w:val="1E293B"/>
          <w:sz w:val="20"/>
        </w:rPr>
        <w:t xml:space="preserve"> A, Firth H, Fitzpatrick D, et al. Constitutional aneuploidy and cancer predisposition caused by biallelic mutations in BUB1B. Nat Genet. 2004;36(11):1159-1161. doi:10.1038/ng1449. </w:t>
      </w:r>
      <w:hyperlink r:id="rId12">
        <w:r w:rsidRPr="00D341D5">
          <w:rPr>
            <w:rFonts w:asciiTheme="minorHAnsi" w:hAnsiTheme="minorHAnsi"/>
            <w:color w:val="1D4ED8"/>
            <w:sz w:val="20"/>
            <w:szCs w:val="20"/>
            <w:u w:val="single"/>
          </w:rPr>
          <w:t>PMID: 15475955</w:t>
        </w:r>
      </w:hyperlink>
      <w:r w:rsidRPr="00D341D5">
        <w:rPr>
          <w:rFonts w:asciiTheme="minorHAnsi" w:hAnsiTheme="minorHAnsi"/>
          <w:color w:val="1E293B"/>
          <w:sz w:val="20"/>
        </w:rPr>
        <w:t>.</w:t>
      </w:r>
    </w:p>
    <w:p w14:paraId="1B2581E9"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lastRenderedPageBreak/>
        <w:t xml:space="preserve">3. </w:t>
      </w:r>
      <w:r w:rsidRPr="00D341D5">
        <w:rPr>
          <w:rFonts w:asciiTheme="minorHAnsi" w:hAnsiTheme="minorHAnsi"/>
          <w:color w:val="1E293B"/>
          <w:sz w:val="20"/>
        </w:rPr>
        <w:t xml:space="preserve">Snape K, Hanks S, Ruark E, Barros-Núñez P, Elliott A, Murray A, et al. Mutations in CEP57 cause mosaic variegated aneuploidy syndrome. Nat Genet. 2011;43(6):527-529. doi:10.1038/ng.822. </w:t>
      </w:r>
      <w:hyperlink r:id="rId13">
        <w:r w:rsidRPr="00D341D5">
          <w:rPr>
            <w:rFonts w:asciiTheme="minorHAnsi" w:hAnsiTheme="minorHAnsi"/>
            <w:color w:val="1D4ED8"/>
            <w:sz w:val="20"/>
            <w:szCs w:val="20"/>
            <w:u w:val="single"/>
          </w:rPr>
          <w:t>PMID: 21552266</w:t>
        </w:r>
      </w:hyperlink>
      <w:r w:rsidRPr="00D341D5">
        <w:rPr>
          <w:rFonts w:asciiTheme="minorHAnsi" w:hAnsiTheme="minorHAnsi"/>
          <w:color w:val="1E293B"/>
          <w:sz w:val="20"/>
        </w:rPr>
        <w:t>.</w:t>
      </w:r>
    </w:p>
    <w:p w14:paraId="08F579C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 </w:t>
      </w:r>
      <w:proofErr w:type="spellStart"/>
      <w:r w:rsidRPr="00D341D5">
        <w:rPr>
          <w:rFonts w:asciiTheme="minorHAnsi" w:hAnsiTheme="minorHAnsi"/>
          <w:color w:val="1E293B"/>
          <w:sz w:val="20"/>
        </w:rPr>
        <w:t>Mirzaa</w:t>
      </w:r>
      <w:proofErr w:type="spellEnd"/>
      <w:r w:rsidRPr="00D341D5">
        <w:rPr>
          <w:rFonts w:asciiTheme="minorHAnsi" w:hAnsiTheme="minorHAnsi"/>
          <w:color w:val="1E293B"/>
          <w:sz w:val="20"/>
        </w:rPr>
        <w:t xml:space="preserve"> GM, </w:t>
      </w:r>
      <w:proofErr w:type="spellStart"/>
      <w:r w:rsidRPr="00D341D5">
        <w:rPr>
          <w:rFonts w:asciiTheme="minorHAnsi" w:hAnsiTheme="minorHAnsi"/>
          <w:color w:val="1E293B"/>
          <w:sz w:val="20"/>
        </w:rPr>
        <w:t>Vitre</w:t>
      </w:r>
      <w:proofErr w:type="spellEnd"/>
      <w:r w:rsidRPr="00D341D5">
        <w:rPr>
          <w:rFonts w:asciiTheme="minorHAnsi" w:hAnsiTheme="minorHAnsi"/>
          <w:color w:val="1E293B"/>
          <w:sz w:val="20"/>
        </w:rPr>
        <w:t xml:space="preserve"> B, Carpenter G, Abramowicz I, Gleeson JG, </w:t>
      </w:r>
      <w:proofErr w:type="spellStart"/>
      <w:r w:rsidRPr="00D341D5">
        <w:rPr>
          <w:rFonts w:asciiTheme="minorHAnsi" w:hAnsiTheme="minorHAnsi"/>
          <w:color w:val="1E293B"/>
          <w:sz w:val="20"/>
        </w:rPr>
        <w:t>Paciorkowski</w:t>
      </w:r>
      <w:proofErr w:type="spellEnd"/>
      <w:r w:rsidRPr="00D341D5">
        <w:rPr>
          <w:rFonts w:asciiTheme="minorHAnsi" w:hAnsiTheme="minorHAnsi"/>
          <w:color w:val="1E293B"/>
          <w:sz w:val="20"/>
        </w:rPr>
        <w:t xml:space="preserve"> AR, et al. Mutations in CENPE define a novel kinetochore-centromeric mechanism for microcephalic primordial dwarfism. Hum Genet. 2014;133(8):1023-1039. doi:10.1007/s00439-014-1443-3. </w:t>
      </w:r>
      <w:hyperlink r:id="rId14">
        <w:r w:rsidRPr="00D341D5">
          <w:rPr>
            <w:rFonts w:asciiTheme="minorHAnsi" w:hAnsiTheme="minorHAnsi"/>
            <w:color w:val="1D4ED8"/>
            <w:sz w:val="20"/>
            <w:szCs w:val="20"/>
            <w:u w:val="single"/>
          </w:rPr>
          <w:t>PMID: 24748105</w:t>
        </w:r>
      </w:hyperlink>
      <w:r w:rsidRPr="00D341D5">
        <w:rPr>
          <w:rFonts w:asciiTheme="minorHAnsi" w:hAnsiTheme="minorHAnsi"/>
          <w:color w:val="1E293B"/>
          <w:sz w:val="20"/>
        </w:rPr>
        <w:t>.</w:t>
      </w:r>
    </w:p>
    <w:p w14:paraId="4C4D6843"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 </w:t>
      </w:r>
      <w:r w:rsidRPr="00D341D5">
        <w:rPr>
          <w:rFonts w:asciiTheme="minorHAnsi" w:hAnsiTheme="minorHAnsi"/>
          <w:color w:val="1E293B"/>
          <w:sz w:val="20"/>
        </w:rPr>
        <w:t xml:space="preserve">Yost S, de Wolf B, Hanks S, Zachariou A, Marcozzi C, Clarke M, et al. Biallelic TRIP13 mutations predispose to Wilms tumor and chromosome </w:t>
      </w:r>
      <w:proofErr w:type="spellStart"/>
      <w:r w:rsidRPr="00D341D5">
        <w:rPr>
          <w:rFonts w:asciiTheme="minorHAnsi" w:hAnsiTheme="minorHAnsi"/>
          <w:color w:val="1E293B"/>
          <w:sz w:val="20"/>
        </w:rPr>
        <w:t>missegregation</w:t>
      </w:r>
      <w:proofErr w:type="spellEnd"/>
      <w:r w:rsidRPr="00D341D5">
        <w:rPr>
          <w:rFonts w:asciiTheme="minorHAnsi" w:hAnsiTheme="minorHAnsi"/>
          <w:color w:val="1E293B"/>
          <w:sz w:val="20"/>
        </w:rPr>
        <w:t xml:space="preserve">. Nat Genet. 2017;49(7):1148-1151. doi:10.1038/ng.3883. </w:t>
      </w:r>
      <w:hyperlink r:id="rId15">
        <w:r w:rsidRPr="00D341D5">
          <w:rPr>
            <w:rFonts w:asciiTheme="minorHAnsi" w:hAnsiTheme="minorHAnsi"/>
            <w:color w:val="1D4ED8"/>
            <w:sz w:val="20"/>
            <w:szCs w:val="20"/>
            <w:u w:val="single"/>
          </w:rPr>
          <w:t>PMID: 28553959</w:t>
        </w:r>
      </w:hyperlink>
      <w:r w:rsidRPr="00D341D5">
        <w:rPr>
          <w:rFonts w:asciiTheme="minorHAnsi" w:hAnsiTheme="minorHAnsi"/>
          <w:color w:val="1E293B"/>
          <w:sz w:val="20"/>
        </w:rPr>
        <w:t>.</w:t>
      </w:r>
    </w:p>
    <w:p w14:paraId="50A5A92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 </w:t>
      </w:r>
      <w:r w:rsidRPr="00D341D5">
        <w:rPr>
          <w:rFonts w:asciiTheme="minorHAnsi" w:hAnsiTheme="minorHAnsi"/>
          <w:color w:val="1E293B"/>
          <w:sz w:val="20"/>
        </w:rPr>
        <w:t xml:space="preserve">Nishitani-Isa M, </w:t>
      </w:r>
      <w:proofErr w:type="spellStart"/>
      <w:r w:rsidRPr="00D341D5">
        <w:rPr>
          <w:rFonts w:asciiTheme="minorHAnsi" w:hAnsiTheme="minorHAnsi"/>
          <w:color w:val="1E293B"/>
          <w:sz w:val="20"/>
        </w:rPr>
        <w:t>Hiraumi</w:t>
      </w:r>
      <w:proofErr w:type="spellEnd"/>
      <w:r w:rsidRPr="00D341D5">
        <w:rPr>
          <w:rFonts w:asciiTheme="minorHAnsi" w:hAnsiTheme="minorHAnsi"/>
          <w:color w:val="1E293B"/>
          <w:sz w:val="20"/>
        </w:rPr>
        <w:t xml:space="preserve"> Y, Nishida Y, Okumura Y, </w:t>
      </w:r>
      <w:proofErr w:type="spellStart"/>
      <w:r w:rsidRPr="00D341D5">
        <w:rPr>
          <w:rFonts w:asciiTheme="minorHAnsi" w:hAnsiTheme="minorHAnsi"/>
          <w:color w:val="1E293B"/>
          <w:sz w:val="20"/>
        </w:rPr>
        <w:t>Kusuki</w:t>
      </w:r>
      <w:proofErr w:type="spellEnd"/>
      <w:r w:rsidRPr="00D341D5">
        <w:rPr>
          <w:rFonts w:asciiTheme="minorHAnsi" w:hAnsiTheme="minorHAnsi"/>
          <w:color w:val="1E293B"/>
          <w:sz w:val="20"/>
        </w:rPr>
        <w:t xml:space="preserve"> S, </w:t>
      </w:r>
      <w:proofErr w:type="spellStart"/>
      <w:r w:rsidRPr="00D341D5">
        <w:rPr>
          <w:rFonts w:asciiTheme="minorHAnsi" w:hAnsiTheme="minorHAnsi"/>
          <w:color w:val="1E293B"/>
          <w:sz w:val="20"/>
        </w:rPr>
        <w:t>Hashii</w:t>
      </w:r>
      <w:proofErr w:type="spellEnd"/>
      <w:r w:rsidRPr="00D341D5">
        <w:rPr>
          <w:rFonts w:asciiTheme="minorHAnsi" w:hAnsiTheme="minorHAnsi"/>
          <w:color w:val="1E293B"/>
          <w:sz w:val="20"/>
        </w:rPr>
        <w:t xml:space="preserve"> Y, et al. Rhabdomyosarcoma with premature chromatid separation-mosaic variegated aneuploidy syndrome: Reduced-intensity chemotherapy. </w:t>
      </w:r>
      <w:proofErr w:type="spellStart"/>
      <w:r w:rsidRPr="00D341D5">
        <w:rPr>
          <w:rFonts w:asciiTheme="minorHAnsi" w:hAnsiTheme="minorHAnsi"/>
          <w:color w:val="1E293B"/>
          <w:sz w:val="20"/>
        </w:rPr>
        <w:t>Pediatr</w:t>
      </w:r>
      <w:proofErr w:type="spellEnd"/>
      <w:r w:rsidRPr="00D341D5">
        <w:rPr>
          <w:rFonts w:asciiTheme="minorHAnsi" w:hAnsiTheme="minorHAnsi"/>
          <w:color w:val="1E293B"/>
          <w:sz w:val="20"/>
        </w:rPr>
        <w:t xml:space="preserve"> Int. 2019;61(6):604-605. doi:10.1111/ped.13849. </w:t>
      </w:r>
      <w:hyperlink r:id="rId16">
        <w:r w:rsidRPr="00D341D5">
          <w:rPr>
            <w:rFonts w:asciiTheme="minorHAnsi" w:hAnsiTheme="minorHAnsi"/>
            <w:color w:val="1D4ED8"/>
            <w:sz w:val="20"/>
            <w:szCs w:val="20"/>
            <w:u w:val="single"/>
          </w:rPr>
          <w:t>PMID: 31184400</w:t>
        </w:r>
      </w:hyperlink>
      <w:r w:rsidRPr="00D341D5">
        <w:rPr>
          <w:rFonts w:asciiTheme="minorHAnsi" w:hAnsiTheme="minorHAnsi"/>
          <w:color w:val="1E293B"/>
          <w:sz w:val="20"/>
        </w:rPr>
        <w:t>.</w:t>
      </w:r>
    </w:p>
    <w:p w14:paraId="7E58378D"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7. </w:t>
      </w:r>
      <w:r w:rsidRPr="00D341D5">
        <w:rPr>
          <w:rFonts w:asciiTheme="minorHAnsi" w:hAnsiTheme="minorHAnsi"/>
          <w:color w:val="1E293B"/>
          <w:sz w:val="20"/>
        </w:rPr>
        <w:t xml:space="preserve">Rare Disease Hackathon 2026 Consortium. International Pediatric Rare Disease Hackathon: Accelerating Genomic Diagnoses and Computational Therapeutics (Rare Disease, Real Kid: The 2026 MVA Hackathon). Seattle, WA: Sage Bionetworks; 2026. </w:t>
      </w:r>
      <w:hyperlink r:id="rId17">
        <w:r w:rsidRPr="00D341D5">
          <w:rPr>
            <w:rFonts w:asciiTheme="minorHAnsi" w:hAnsiTheme="minorHAnsi"/>
            <w:color w:val="1D4ED8"/>
            <w:sz w:val="20"/>
            <w:szCs w:val="20"/>
            <w:u w:val="single"/>
          </w:rPr>
          <w:t>URL: https://www.synapse.org/Synapse:syn76251147</w:t>
        </w:r>
      </w:hyperlink>
      <w:r w:rsidRPr="00D341D5">
        <w:rPr>
          <w:rFonts w:asciiTheme="minorHAnsi" w:hAnsiTheme="minorHAnsi"/>
          <w:color w:val="1E293B"/>
          <w:sz w:val="20"/>
        </w:rPr>
        <w:t>.</w:t>
      </w:r>
    </w:p>
    <w:p w14:paraId="1958275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8. </w:t>
      </w:r>
      <w:r w:rsidRPr="00D341D5">
        <w:rPr>
          <w:rFonts w:asciiTheme="minorHAnsi" w:hAnsiTheme="minorHAnsi"/>
          <w:color w:val="1E293B"/>
          <w:sz w:val="20"/>
        </w:rPr>
        <w:t xml:space="preserve">Kaelin WG Jr. The concept of synthetic lethality in the context of anticancer therapy. Nat Rev Cancer. 2005;5(9):689-698. doi:10.1038/nrc1691. </w:t>
      </w:r>
      <w:hyperlink r:id="rId18">
        <w:r w:rsidRPr="00D341D5">
          <w:rPr>
            <w:rFonts w:asciiTheme="minorHAnsi" w:hAnsiTheme="minorHAnsi"/>
            <w:color w:val="1D4ED8"/>
            <w:sz w:val="20"/>
            <w:szCs w:val="20"/>
            <w:u w:val="single"/>
          </w:rPr>
          <w:t>PMID: 16110319</w:t>
        </w:r>
      </w:hyperlink>
      <w:r w:rsidRPr="00D341D5">
        <w:rPr>
          <w:rFonts w:asciiTheme="minorHAnsi" w:hAnsiTheme="minorHAnsi"/>
          <w:color w:val="1E293B"/>
          <w:sz w:val="20"/>
        </w:rPr>
        <w:t>.</w:t>
      </w:r>
    </w:p>
    <w:p w14:paraId="65EB007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9. </w:t>
      </w:r>
      <w:r w:rsidRPr="00D341D5">
        <w:rPr>
          <w:rFonts w:asciiTheme="minorHAnsi" w:hAnsiTheme="minorHAnsi"/>
          <w:color w:val="1E293B"/>
          <w:sz w:val="20"/>
        </w:rPr>
        <w:t xml:space="preserve">Békés M, Langley DR, Crews CM. PROTAC targeted protein degraders: the past is prologue. Nat Rev Drug </w:t>
      </w:r>
      <w:proofErr w:type="spellStart"/>
      <w:r w:rsidRPr="00D341D5">
        <w:rPr>
          <w:rFonts w:asciiTheme="minorHAnsi" w:hAnsiTheme="minorHAnsi"/>
          <w:color w:val="1E293B"/>
          <w:sz w:val="20"/>
        </w:rPr>
        <w:t>Discov</w:t>
      </w:r>
      <w:proofErr w:type="spellEnd"/>
      <w:r w:rsidRPr="00D341D5">
        <w:rPr>
          <w:rFonts w:asciiTheme="minorHAnsi" w:hAnsiTheme="minorHAnsi"/>
          <w:color w:val="1E293B"/>
          <w:sz w:val="20"/>
        </w:rPr>
        <w:t xml:space="preserve">. 2022;21(3):181-200. doi:10.1038/s41573-021-00371-6. </w:t>
      </w:r>
      <w:hyperlink r:id="rId19">
        <w:r w:rsidRPr="00D341D5">
          <w:rPr>
            <w:rFonts w:asciiTheme="minorHAnsi" w:hAnsiTheme="minorHAnsi"/>
            <w:color w:val="1D4ED8"/>
            <w:sz w:val="20"/>
            <w:szCs w:val="20"/>
            <w:u w:val="single"/>
          </w:rPr>
          <w:t>PMID: 35042991</w:t>
        </w:r>
      </w:hyperlink>
      <w:r w:rsidRPr="00D341D5">
        <w:rPr>
          <w:rFonts w:asciiTheme="minorHAnsi" w:hAnsiTheme="minorHAnsi"/>
          <w:color w:val="1E293B"/>
          <w:sz w:val="20"/>
        </w:rPr>
        <w:t>.</w:t>
      </w:r>
    </w:p>
    <w:p w14:paraId="037D9B5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10. </w:t>
      </w:r>
      <w:proofErr w:type="spellStart"/>
      <w:r w:rsidRPr="00D341D5">
        <w:rPr>
          <w:rFonts w:asciiTheme="minorHAnsi" w:hAnsiTheme="minorHAnsi"/>
          <w:color w:val="1E293B"/>
          <w:sz w:val="20"/>
        </w:rPr>
        <w:t>Skarlinski</w:t>
      </w:r>
      <w:proofErr w:type="spellEnd"/>
      <w:r w:rsidRPr="00D341D5">
        <w:rPr>
          <w:rFonts w:asciiTheme="minorHAnsi" w:hAnsiTheme="minorHAnsi"/>
          <w:color w:val="1E293B"/>
          <w:sz w:val="20"/>
        </w:rPr>
        <w:t xml:space="preserve"> MD, Cox S, Laurent JM, Braza JD, Hinks M, Hammerling MJ, </w:t>
      </w:r>
      <w:proofErr w:type="spellStart"/>
      <w:r w:rsidRPr="00D341D5">
        <w:rPr>
          <w:rFonts w:asciiTheme="minorHAnsi" w:hAnsiTheme="minorHAnsi"/>
          <w:color w:val="1E293B"/>
          <w:sz w:val="20"/>
        </w:rPr>
        <w:t>Ponnapati</w:t>
      </w:r>
      <w:proofErr w:type="spellEnd"/>
      <w:r w:rsidRPr="00D341D5">
        <w:rPr>
          <w:rFonts w:asciiTheme="minorHAnsi" w:hAnsiTheme="minorHAnsi"/>
          <w:color w:val="1E293B"/>
          <w:sz w:val="20"/>
        </w:rPr>
        <w:t xml:space="preserve"> M, Rodriques SG, White AD. Language agents achieve superhuman synthesis of scientific knowledge (</w:t>
      </w:r>
      <w:proofErr w:type="spellStart"/>
      <w:r w:rsidRPr="00D341D5">
        <w:rPr>
          <w:rFonts w:asciiTheme="minorHAnsi" w:hAnsiTheme="minorHAnsi"/>
          <w:color w:val="1E293B"/>
          <w:sz w:val="20"/>
        </w:rPr>
        <w:t>FutureHouse</w:t>
      </w:r>
      <w:proofErr w:type="spellEnd"/>
      <w:r w:rsidRPr="00D341D5">
        <w:rPr>
          <w:rFonts w:asciiTheme="minorHAnsi" w:hAnsiTheme="minorHAnsi"/>
          <w:color w:val="1E293B"/>
          <w:sz w:val="20"/>
        </w:rPr>
        <w:t xml:space="preserve"> / PaperQA2). arXiv. 2024;arXiv:2409.13740. </w:t>
      </w:r>
      <w:hyperlink r:id="rId20">
        <w:r w:rsidRPr="00D341D5">
          <w:rPr>
            <w:rFonts w:asciiTheme="minorHAnsi" w:hAnsiTheme="minorHAnsi"/>
            <w:color w:val="1D4ED8"/>
            <w:sz w:val="20"/>
            <w:szCs w:val="20"/>
            <w:u w:val="single"/>
          </w:rPr>
          <w:t>URL: https://arxiv.org/abs/2409.13740</w:t>
        </w:r>
      </w:hyperlink>
      <w:r w:rsidRPr="00D341D5">
        <w:rPr>
          <w:rFonts w:asciiTheme="minorHAnsi" w:hAnsiTheme="minorHAnsi"/>
          <w:color w:val="1E293B"/>
          <w:sz w:val="20"/>
        </w:rPr>
        <w:t>.</w:t>
      </w:r>
    </w:p>
    <w:p w14:paraId="04BE193A"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11. </w:t>
      </w:r>
      <w:r w:rsidRPr="00D341D5">
        <w:rPr>
          <w:rFonts w:asciiTheme="minorHAnsi" w:hAnsiTheme="minorHAnsi"/>
          <w:color w:val="1E293B"/>
          <w:sz w:val="20"/>
        </w:rPr>
        <w:t>Bran AM, Cox S, Schwaller O, White AD. Augmenting large language models with chemistry tools (</w:t>
      </w:r>
      <w:proofErr w:type="spellStart"/>
      <w:r w:rsidRPr="00D341D5">
        <w:rPr>
          <w:rFonts w:asciiTheme="minorHAnsi" w:hAnsiTheme="minorHAnsi"/>
          <w:color w:val="1E293B"/>
          <w:sz w:val="20"/>
        </w:rPr>
        <w:t>ChemCrow</w:t>
      </w:r>
      <w:proofErr w:type="spellEnd"/>
      <w:r w:rsidRPr="00D341D5">
        <w:rPr>
          <w:rFonts w:asciiTheme="minorHAnsi" w:hAnsiTheme="minorHAnsi"/>
          <w:color w:val="1E293B"/>
          <w:sz w:val="20"/>
        </w:rPr>
        <w:t xml:space="preserve">). Nat Mach Intell. 2024;6(5):525-535. doi:10.1038/s42256-024-00832-8. </w:t>
      </w:r>
      <w:hyperlink r:id="rId21">
        <w:r w:rsidRPr="00D341D5">
          <w:rPr>
            <w:rFonts w:asciiTheme="minorHAnsi" w:hAnsiTheme="minorHAnsi"/>
            <w:color w:val="1D4ED8"/>
            <w:sz w:val="20"/>
            <w:szCs w:val="20"/>
            <w:u w:val="single"/>
          </w:rPr>
          <w:t>DOI: 10.1038/s42256-024-00832-8</w:t>
        </w:r>
      </w:hyperlink>
      <w:r w:rsidRPr="00D341D5">
        <w:rPr>
          <w:rFonts w:asciiTheme="minorHAnsi" w:hAnsiTheme="minorHAnsi"/>
          <w:color w:val="1E293B"/>
          <w:sz w:val="20"/>
        </w:rPr>
        <w:t>.</w:t>
      </w:r>
    </w:p>
    <w:p w14:paraId="0BDA82C4"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12. </w:t>
      </w:r>
      <w:r w:rsidRPr="00D341D5">
        <w:rPr>
          <w:rFonts w:asciiTheme="minorHAnsi" w:hAnsiTheme="minorHAnsi"/>
          <w:color w:val="1E293B"/>
          <w:sz w:val="20"/>
        </w:rPr>
        <w:t xml:space="preserve">Google DeepMind. Google Antigravity Advanced Agentic AI Pair Programming Platform: Architecture and Biomedical Discovery Pipeline. Mountain View, CA / London, UK: Google DeepMind Technical Report; 2026. </w:t>
      </w:r>
      <w:hyperlink r:id="rId22">
        <w:r w:rsidRPr="00D341D5">
          <w:rPr>
            <w:rFonts w:asciiTheme="minorHAnsi" w:hAnsiTheme="minorHAnsi"/>
            <w:color w:val="1D4ED8"/>
            <w:sz w:val="20"/>
            <w:szCs w:val="20"/>
            <w:u w:val="single"/>
          </w:rPr>
          <w:t>URL: https://antigravity.google/</w:t>
        </w:r>
      </w:hyperlink>
      <w:r w:rsidRPr="00D341D5">
        <w:rPr>
          <w:rFonts w:asciiTheme="minorHAnsi" w:hAnsiTheme="minorHAnsi"/>
          <w:color w:val="1E293B"/>
          <w:sz w:val="20"/>
        </w:rPr>
        <w:t>.</w:t>
      </w:r>
    </w:p>
    <w:p w14:paraId="58D7519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13. </w:t>
      </w:r>
      <w:r w:rsidRPr="00D341D5">
        <w:rPr>
          <w:rFonts w:asciiTheme="minorHAnsi" w:hAnsiTheme="minorHAnsi"/>
          <w:color w:val="1E293B"/>
          <w:sz w:val="20"/>
        </w:rPr>
        <w:t xml:space="preserve">Mendez D, </w:t>
      </w:r>
      <w:proofErr w:type="spellStart"/>
      <w:r w:rsidRPr="00D341D5">
        <w:rPr>
          <w:rFonts w:asciiTheme="minorHAnsi" w:hAnsiTheme="minorHAnsi"/>
          <w:color w:val="1E293B"/>
          <w:sz w:val="20"/>
        </w:rPr>
        <w:t>Gaulton</w:t>
      </w:r>
      <w:proofErr w:type="spellEnd"/>
      <w:r w:rsidRPr="00D341D5">
        <w:rPr>
          <w:rFonts w:asciiTheme="minorHAnsi" w:hAnsiTheme="minorHAnsi"/>
          <w:color w:val="1E293B"/>
          <w:sz w:val="20"/>
        </w:rPr>
        <w:t xml:space="preserve"> A, Bento AP, Chambers J, De </w:t>
      </w:r>
      <w:proofErr w:type="spellStart"/>
      <w:r w:rsidRPr="00D341D5">
        <w:rPr>
          <w:rFonts w:asciiTheme="minorHAnsi" w:hAnsiTheme="minorHAnsi"/>
          <w:color w:val="1E293B"/>
          <w:sz w:val="20"/>
        </w:rPr>
        <w:t>Veij</w:t>
      </w:r>
      <w:proofErr w:type="spellEnd"/>
      <w:r w:rsidRPr="00D341D5">
        <w:rPr>
          <w:rFonts w:asciiTheme="minorHAnsi" w:hAnsiTheme="minorHAnsi"/>
          <w:color w:val="1E293B"/>
          <w:sz w:val="20"/>
        </w:rPr>
        <w:t xml:space="preserve"> M, Félix E, et al. </w:t>
      </w:r>
      <w:proofErr w:type="spellStart"/>
      <w:r w:rsidRPr="00D341D5">
        <w:rPr>
          <w:rFonts w:asciiTheme="minorHAnsi" w:hAnsiTheme="minorHAnsi"/>
          <w:color w:val="1E293B"/>
          <w:sz w:val="20"/>
        </w:rPr>
        <w:t>ChEMBL</w:t>
      </w:r>
      <w:proofErr w:type="spellEnd"/>
      <w:r w:rsidRPr="00D341D5">
        <w:rPr>
          <w:rFonts w:asciiTheme="minorHAnsi" w:hAnsiTheme="minorHAnsi"/>
          <w:color w:val="1E293B"/>
          <w:sz w:val="20"/>
        </w:rPr>
        <w:t>: towards direct deposition of bioassay data. Nucleic Acids Res. 2019;47(D1):D930-D940. doi:10.1093/</w:t>
      </w:r>
      <w:proofErr w:type="spellStart"/>
      <w:r w:rsidRPr="00D341D5">
        <w:rPr>
          <w:rFonts w:asciiTheme="minorHAnsi" w:hAnsiTheme="minorHAnsi"/>
          <w:color w:val="1E293B"/>
          <w:sz w:val="20"/>
        </w:rPr>
        <w:t>nar</w:t>
      </w:r>
      <w:proofErr w:type="spellEnd"/>
      <w:r w:rsidRPr="00D341D5">
        <w:rPr>
          <w:rFonts w:asciiTheme="minorHAnsi" w:hAnsiTheme="minorHAnsi"/>
          <w:color w:val="1E293B"/>
          <w:sz w:val="20"/>
        </w:rPr>
        <w:t xml:space="preserve">/gky1075. </w:t>
      </w:r>
      <w:hyperlink r:id="rId23">
        <w:r w:rsidRPr="00D341D5">
          <w:rPr>
            <w:rFonts w:asciiTheme="minorHAnsi" w:hAnsiTheme="minorHAnsi"/>
            <w:color w:val="1D4ED8"/>
            <w:sz w:val="20"/>
            <w:szCs w:val="20"/>
            <w:u w:val="single"/>
          </w:rPr>
          <w:t>PMID: 30398643</w:t>
        </w:r>
      </w:hyperlink>
      <w:r w:rsidRPr="00D341D5">
        <w:rPr>
          <w:rFonts w:asciiTheme="minorHAnsi" w:hAnsiTheme="minorHAnsi"/>
          <w:color w:val="1E293B"/>
          <w:sz w:val="20"/>
        </w:rPr>
        <w:t>.</w:t>
      </w:r>
    </w:p>
    <w:p w14:paraId="57633859"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14. </w:t>
      </w:r>
      <w:proofErr w:type="spellStart"/>
      <w:r w:rsidRPr="00D341D5">
        <w:rPr>
          <w:rFonts w:asciiTheme="minorHAnsi" w:hAnsiTheme="minorHAnsi"/>
          <w:color w:val="1E293B"/>
          <w:sz w:val="20"/>
        </w:rPr>
        <w:t>Zdrazil</w:t>
      </w:r>
      <w:proofErr w:type="spellEnd"/>
      <w:r w:rsidRPr="00D341D5">
        <w:rPr>
          <w:rFonts w:asciiTheme="minorHAnsi" w:hAnsiTheme="minorHAnsi"/>
          <w:color w:val="1E293B"/>
          <w:sz w:val="20"/>
        </w:rPr>
        <w:t xml:space="preserve"> B, Felix E, Hunter F, Manners EJ, Blackshaw J, Corbett S, et al. The </w:t>
      </w:r>
      <w:proofErr w:type="spellStart"/>
      <w:r w:rsidRPr="00D341D5">
        <w:rPr>
          <w:rFonts w:asciiTheme="minorHAnsi" w:hAnsiTheme="minorHAnsi"/>
          <w:color w:val="1E293B"/>
          <w:sz w:val="20"/>
        </w:rPr>
        <w:t>ChEMBL</w:t>
      </w:r>
      <w:proofErr w:type="spellEnd"/>
      <w:r w:rsidRPr="00D341D5">
        <w:rPr>
          <w:rFonts w:asciiTheme="minorHAnsi" w:hAnsiTheme="minorHAnsi"/>
          <w:color w:val="1E293B"/>
          <w:sz w:val="20"/>
        </w:rPr>
        <w:t xml:space="preserve"> Database in 2023: a drug discovery platform spanning multiple bioactivity data types and time periods. Nucleic Acids Res. 2024;52(D1):D1180-D1192. doi:10.1093/</w:t>
      </w:r>
      <w:proofErr w:type="spellStart"/>
      <w:r w:rsidRPr="00D341D5">
        <w:rPr>
          <w:rFonts w:asciiTheme="minorHAnsi" w:hAnsiTheme="minorHAnsi"/>
          <w:color w:val="1E293B"/>
          <w:sz w:val="20"/>
        </w:rPr>
        <w:t>nar</w:t>
      </w:r>
      <w:proofErr w:type="spellEnd"/>
      <w:r w:rsidRPr="00D341D5">
        <w:rPr>
          <w:rFonts w:asciiTheme="minorHAnsi" w:hAnsiTheme="minorHAnsi"/>
          <w:color w:val="1E293B"/>
          <w:sz w:val="20"/>
        </w:rPr>
        <w:t xml:space="preserve">/gkad1004. </w:t>
      </w:r>
      <w:hyperlink r:id="rId24">
        <w:r w:rsidRPr="00D341D5">
          <w:rPr>
            <w:rFonts w:asciiTheme="minorHAnsi" w:hAnsiTheme="minorHAnsi"/>
            <w:color w:val="1D4ED8"/>
            <w:sz w:val="20"/>
            <w:szCs w:val="20"/>
            <w:u w:val="single"/>
          </w:rPr>
          <w:t>PMID: 37933841</w:t>
        </w:r>
      </w:hyperlink>
      <w:r w:rsidRPr="00D341D5">
        <w:rPr>
          <w:rFonts w:asciiTheme="minorHAnsi" w:hAnsiTheme="minorHAnsi"/>
          <w:color w:val="1E293B"/>
          <w:sz w:val="20"/>
        </w:rPr>
        <w:t>.</w:t>
      </w:r>
    </w:p>
    <w:p w14:paraId="1475844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15. </w:t>
      </w:r>
      <w:proofErr w:type="spellStart"/>
      <w:r w:rsidRPr="00D341D5">
        <w:rPr>
          <w:rFonts w:asciiTheme="minorHAnsi" w:hAnsiTheme="minorHAnsi"/>
          <w:color w:val="1E293B"/>
          <w:sz w:val="20"/>
        </w:rPr>
        <w:t>Szklarczyk</w:t>
      </w:r>
      <w:proofErr w:type="spellEnd"/>
      <w:r w:rsidRPr="00D341D5">
        <w:rPr>
          <w:rFonts w:asciiTheme="minorHAnsi" w:hAnsiTheme="minorHAnsi"/>
          <w:color w:val="1E293B"/>
          <w:sz w:val="20"/>
        </w:rPr>
        <w:t xml:space="preserve"> D, Kirsch R, </w:t>
      </w:r>
      <w:proofErr w:type="spellStart"/>
      <w:r w:rsidRPr="00D341D5">
        <w:rPr>
          <w:rFonts w:asciiTheme="minorHAnsi" w:hAnsiTheme="minorHAnsi"/>
          <w:color w:val="1E293B"/>
          <w:sz w:val="20"/>
        </w:rPr>
        <w:t>Koutrouli</w:t>
      </w:r>
      <w:proofErr w:type="spellEnd"/>
      <w:r w:rsidRPr="00D341D5">
        <w:rPr>
          <w:rFonts w:asciiTheme="minorHAnsi" w:hAnsiTheme="minorHAnsi"/>
          <w:color w:val="1E293B"/>
          <w:sz w:val="20"/>
        </w:rPr>
        <w:t xml:space="preserve"> M, </w:t>
      </w:r>
      <w:proofErr w:type="spellStart"/>
      <w:r w:rsidRPr="00D341D5">
        <w:rPr>
          <w:rFonts w:asciiTheme="minorHAnsi" w:hAnsiTheme="minorHAnsi"/>
          <w:color w:val="1E293B"/>
          <w:sz w:val="20"/>
        </w:rPr>
        <w:t>Nastou</w:t>
      </w:r>
      <w:proofErr w:type="spellEnd"/>
      <w:r w:rsidRPr="00D341D5">
        <w:rPr>
          <w:rFonts w:asciiTheme="minorHAnsi" w:hAnsiTheme="minorHAnsi"/>
          <w:color w:val="1E293B"/>
          <w:sz w:val="20"/>
        </w:rPr>
        <w:t xml:space="preserve"> K, </w:t>
      </w:r>
      <w:proofErr w:type="spellStart"/>
      <w:r w:rsidRPr="00D341D5">
        <w:rPr>
          <w:rFonts w:asciiTheme="minorHAnsi" w:hAnsiTheme="minorHAnsi"/>
          <w:color w:val="1E293B"/>
          <w:sz w:val="20"/>
        </w:rPr>
        <w:t>Mehryary</w:t>
      </w:r>
      <w:proofErr w:type="spellEnd"/>
      <w:r w:rsidRPr="00D341D5">
        <w:rPr>
          <w:rFonts w:asciiTheme="minorHAnsi" w:hAnsiTheme="minorHAnsi"/>
          <w:color w:val="1E293B"/>
          <w:sz w:val="20"/>
        </w:rPr>
        <w:t xml:space="preserve"> F, </w:t>
      </w:r>
      <w:proofErr w:type="spellStart"/>
      <w:r w:rsidRPr="00D341D5">
        <w:rPr>
          <w:rFonts w:asciiTheme="minorHAnsi" w:hAnsiTheme="minorHAnsi"/>
          <w:color w:val="1E293B"/>
          <w:sz w:val="20"/>
        </w:rPr>
        <w:t>Hachilif</w:t>
      </w:r>
      <w:proofErr w:type="spellEnd"/>
      <w:r w:rsidRPr="00D341D5">
        <w:rPr>
          <w:rFonts w:asciiTheme="minorHAnsi" w:hAnsiTheme="minorHAnsi"/>
          <w:color w:val="1E293B"/>
          <w:sz w:val="20"/>
        </w:rPr>
        <w:t xml:space="preserve"> R, et al. The STRING database in 2023: protein-protein association networks and functional enrichment analyses for any sequenced genome of interest. Nucleic Acids Res. 2023;51(D1):D638-D646. doi:10.1093/</w:t>
      </w:r>
      <w:proofErr w:type="spellStart"/>
      <w:r w:rsidRPr="00D341D5">
        <w:rPr>
          <w:rFonts w:asciiTheme="minorHAnsi" w:hAnsiTheme="minorHAnsi"/>
          <w:color w:val="1E293B"/>
          <w:sz w:val="20"/>
        </w:rPr>
        <w:t>nar</w:t>
      </w:r>
      <w:proofErr w:type="spellEnd"/>
      <w:r w:rsidRPr="00D341D5">
        <w:rPr>
          <w:rFonts w:asciiTheme="minorHAnsi" w:hAnsiTheme="minorHAnsi"/>
          <w:color w:val="1E293B"/>
          <w:sz w:val="20"/>
        </w:rPr>
        <w:t xml:space="preserve">/gkac1000. </w:t>
      </w:r>
      <w:hyperlink r:id="rId25">
        <w:r w:rsidRPr="00D341D5">
          <w:rPr>
            <w:rFonts w:asciiTheme="minorHAnsi" w:hAnsiTheme="minorHAnsi"/>
            <w:color w:val="1D4ED8"/>
            <w:sz w:val="20"/>
            <w:szCs w:val="20"/>
            <w:u w:val="single"/>
          </w:rPr>
          <w:t>PMID: 36370105</w:t>
        </w:r>
      </w:hyperlink>
      <w:r w:rsidRPr="00D341D5">
        <w:rPr>
          <w:rFonts w:asciiTheme="minorHAnsi" w:hAnsiTheme="minorHAnsi"/>
          <w:color w:val="1E293B"/>
          <w:sz w:val="20"/>
        </w:rPr>
        <w:t>.</w:t>
      </w:r>
    </w:p>
    <w:p w14:paraId="7B605861"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16. </w:t>
      </w:r>
      <w:r w:rsidRPr="00D341D5">
        <w:rPr>
          <w:rFonts w:asciiTheme="minorHAnsi" w:hAnsiTheme="minorHAnsi"/>
          <w:color w:val="1E293B"/>
          <w:sz w:val="20"/>
        </w:rPr>
        <w:t xml:space="preserve">Cerami E, Gao J, </w:t>
      </w:r>
      <w:proofErr w:type="spellStart"/>
      <w:r w:rsidRPr="00D341D5">
        <w:rPr>
          <w:rFonts w:asciiTheme="minorHAnsi" w:hAnsiTheme="minorHAnsi"/>
          <w:color w:val="1E293B"/>
          <w:sz w:val="20"/>
        </w:rPr>
        <w:t>Dogrusoz</w:t>
      </w:r>
      <w:proofErr w:type="spellEnd"/>
      <w:r w:rsidRPr="00D341D5">
        <w:rPr>
          <w:rFonts w:asciiTheme="minorHAnsi" w:hAnsiTheme="minorHAnsi"/>
          <w:color w:val="1E293B"/>
          <w:sz w:val="20"/>
        </w:rPr>
        <w:t xml:space="preserve"> U, Gross BE, Sumer SO, Aksoy BA, et al. The </w:t>
      </w:r>
      <w:proofErr w:type="spellStart"/>
      <w:r w:rsidRPr="00D341D5">
        <w:rPr>
          <w:rFonts w:asciiTheme="minorHAnsi" w:hAnsiTheme="minorHAnsi"/>
          <w:color w:val="1E293B"/>
          <w:sz w:val="20"/>
        </w:rPr>
        <w:t>cBio</w:t>
      </w:r>
      <w:proofErr w:type="spellEnd"/>
      <w:r w:rsidRPr="00D341D5">
        <w:rPr>
          <w:rFonts w:asciiTheme="minorHAnsi" w:hAnsiTheme="minorHAnsi"/>
          <w:color w:val="1E293B"/>
          <w:sz w:val="20"/>
        </w:rPr>
        <w:t xml:space="preserve"> cancer genomics portal: an open platform for exploring multidimensional cancer genomics data. Cancer </w:t>
      </w:r>
      <w:proofErr w:type="spellStart"/>
      <w:r w:rsidRPr="00D341D5">
        <w:rPr>
          <w:rFonts w:asciiTheme="minorHAnsi" w:hAnsiTheme="minorHAnsi"/>
          <w:color w:val="1E293B"/>
          <w:sz w:val="20"/>
        </w:rPr>
        <w:t>Discov</w:t>
      </w:r>
      <w:proofErr w:type="spellEnd"/>
      <w:r w:rsidRPr="00D341D5">
        <w:rPr>
          <w:rFonts w:asciiTheme="minorHAnsi" w:hAnsiTheme="minorHAnsi"/>
          <w:color w:val="1E293B"/>
          <w:sz w:val="20"/>
        </w:rPr>
        <w:t xml:space="preserve">. 2012;2(5):401-404. doi:10.1158/2159-8290.CD-12-0095. </w:t>
      </w:r>
      <w:hyperlink r:id="rId26">
        <w:r w:rsidRPr="00D341D5">
          <w:rPr>
            <w:rFonts w:asciiTheme="minorHAnsi" w:hAnsiTheme="minorHAnsi"/>
            <w:color w:val="1D4ED8"/>
            <w:sz w:val="20"/>
            <w:szCs w:val="20"/>
            <w:u w:val="single"/>
          </w:rPr>
          <w:t>PMID: 22588877</w:t>
        </w:r>
      </w:hyperlink>
      <w:r w:rsidRPr="00D341D5">
        <w:rPr>
          <w:rFonts w:asciiTheme="minorHAnsi" w:hAnsiTheme="minorHAnsi"/>
          <w:color w:val="1E293B"/>
          <w:sz w:val="20"/>
        </w:rPr>
        <w:t>.</w:t>
      </w:r>
    </w:p>
    <w:p w14:paraId="3A2B711B"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17. </w:t>
      </w:r>
      <w:proofErr w:type="spellStart"/>
      <w:r w:rsidRPr="00D341D5">
        <w:rPr>
          <w:rFonts w:asciiTheme="minorHAnsi" w:hAnsiTheme="minorHAnsi"/>
          <w:color w:val="1E293B"/>
          <w:sz w:val="20"/>
        </w:rPr>
        <w:t>Uhlén</w:t>
      </w:r>
      <w:proofErr w:type="spellEnd"/>
      <w:r w:rsidRPr="00D341D5">
        <w:rPr>
          <w:rFonts w:asciiTheme="minorHAnsi" w:hAnsiTheme="minorHAnsi"/>
          <w:color w:val="1E293B"/>
          <w:sz w:val="20"/>
        </w:rPr>
        <w:t xml:space="preserve"> M, Fagerberg L, Hallström BM, Lindskog C, </w:t>
      </w:r>
      <w:proofErr w:type="spellStart"/>
      <w:r w:rsidRPr="00D341D5">
        <w:rPr>
          <w:rFonts w:asciiTheme="minorHAnsi" w:hAnsiTheme="minorHAnsi"/>
          <w:color w:val="1E293B"/>
          <w:sz w:val="20"/>
        </w:rPr>
        <w:t>Oksvold</w:t>
      </w:r>
      <w:proofErr w:type="spellEnd"/>
      <w:r w:rsidRPr="00D341D5">
        <w:rPr>
          <w:rFonts w:asciiTheme="minorHAnsi" w:hAnsiTheme="minorHAnsi"/>
          <w:color w:val="1E293B"/>
          <w:sz w:val="20"/>
        </w:rPr>
        <w:t xml:space="preserve"> P, </w:t>
      </w:r>
      <w:proofErr w:type="spellStart"/>
      <w:r w:rsidRPr="00D341D5">
        <w:rPr>
          <w:rFonts w:asciiTheme="minorHAnsi" w:hAnsiTheme="minorHAnsi"/>
          <w:color w:val="1E293B"/>
          <w:sz w:val="20"/>
        </w:rPr>
        <w:t>Mardinoglu</w:t>
      </w:r>
      <w:proofErr w:type="spellEnd"/>
      <w:r w:rsidRPr="00D341D5">
        <w:rPr>
          <w:rFonts w:asciiTheme="minorHAnsi" w:hAnsiTheme="minorHAnsi"/>
          <w:color w:val="1E293B"/>
          <w:sz w:val="20"/>
        </w:rPr>
        <w:t xml:space="preserve"> A, et al. Proteomics. Tissue-based map of the human proteome. Science. 2015;347(6220):1260419. doi:10.1126/science.1260419. </w:t>
      </w:r>
      <w:hyperlink r:id="rId27">
        <w:r w:rsidRPr="00D341D5">
          <w:rPr>
            <w:rFonts w:asciiTheme="minorHAnsi" w:hAnsiTheme="minorHAnsi"/>
            <w:color w:val="1D4ED8"/>
            <w:sz w:val="20"/>
            <w:szCs w:val="20"/>
            <w:u w:val="single"/>
          </w:rPr>
          <w:t>PMID: 25613900</w:t>
        </w:r>
      </w:hyperlink>
      <w:r w:rsidRPr="00D341D5">
        <w:rPr>
          <w:rFonts w:asciiTheme="minorHAnsi" w:hAnsiTheme="minorHAnsi"/>
          <w:color w:val="1E293B"/>
          <w:sz w:val="20"/>
        </w:rPr>
        <w:t>.</w:t>
      </w:r>
    </w:p>
    <w:p w14:paraId="2F9EF9F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18. </w:t>
      </w:r>
      <w:r w:rsidRPr="00D341D5">
        <w:rPr>
          <w:rFonts w:asciiTheme="minorHAnsi" w:hAnsiTheme="minorHAnsi"/>
          <w:color w:val="1E293B"/>
          <w:sz w:val="20"/>
        </w:rPr>
        <w:t xml:space="preserve">Abramson J, Adler J, Dunger J, Evans R, Green T, Pritzel A, et al. Accurate structure prediction of biomolecular interactions with AlphaFold 3. Nature. 2024;630(8016):493-500. doi:10.1038/s41586-024-07487-w. </w:t>
      </w:r>
      <w:hyperlink r:id="rId28">
        <w:r w:rsidRPr="00D341D5">
          <w:rPr>
            <w:rFonts w:asciiTheme="minorHAnsi" w:hAnsiTheme="minorHAnsi"/>
            <w:color w:val="1D4ED8"/>
            <w:sz w:val="20"/>
            <w:szCs w:val="20"/>
            <w:u w:val="single"/>
          </w:rPr>
          <w:t>PMID: 38718835</w:t>
        </w:r>
      </w:hyperlink>
      <w:r w:rsidRPr="00D341D5">
        <w:rPr>
          <w:rFonts w:asciiTheme="minorHAnsi" w:hAnsiTheme="minorHAnsi"/>
          <w:color w:val="1E293B"/>
          <w:sz w:val="20"/>
        </w:rPr>
        <w:t>.</w:t>
      </w:r>
    </w:p>
    <w:p w14:paraId="00E94F4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19. </w:t>
      </w:r>
      <w:r w:rsidRPr="00D341D5">
        <w:rPr>
          <w:rFonts w:asciiTheme="minorHAnsi" w:hAnsiTheme="minorHAnsi"/>
          <w:color w:val="1E293B"/>
          <w:sz w:val="20"/>
        </w:rPr>
        <w:t xml:space="preserve">Lin Z, Akin H, Rao R, Hie B, Zhu Z, Lu W, et al. Evolutionary-scale prediction of atomic-level protein structure with a language model. Science. 2023;379(6637):1123-1130. doi:10.1126/science.ade2574. </w:t>
      </w:r>
      <w:hyperlink r:id="rId29">
        <w:r w:rsidRPr="00D341D5">
          <w:rPr>
            <w:rFonts w:asciiTheme="minorHAnsi" w:hAnsiTheme="minorHAnsi"/>
            <w:color w:val="1D4ED8"/>
            <w:sz w:val="20"/>
            <w:szCs w:val="20"/>
            <w:u w:val="single"/>
          </w:rPr>
          <w:t>PMID: 36927031</w:t>
        </w:r>
      </w:hyperlink>
      <w:r w:rsidRPr="00D341D5">
        <w:rPr>
          <w:rFonts w:asciiTheme="minorHAnsi" w:hAnsiTheme="minorHAnsi"/>
          <w:color w:val="1E293B"/>
          <w:sz w:val="20"/>
        </w:rPr>
        <w:t>.</w:t>
      </w:r>
    </w:p>
    <w:p w14:paraId="1194287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lastRenderedPageBreak/>
        <w:t xml:space="preserve">20. </w:t>
      </w:r>
      <w:r w:rsidRPr="00D341D5">
        <w:rPr>
          <w:rFonts w:asciiTheme="minorHAnsi" w:hAnsiTheme="minorHAnsi"/>
          <w:color w:val="1E293B"/>
          <w:sz w:val="20"/>
        </w:rPr>
        <w:t xml:space="preserve">Watson JL, Juergens D, Bennett NR, Trippe BL, Yim J, Eisenach HE, et al. De novo design of protein structure and function with </w:t>
      </w:r>
      <w:proofErr w:type="spellStart"/>
      <w:r w:rsidRPr="00D341D5">
        <w:rPr>
          <w:rFonts w:asciiTheme="minorHAnsi" w:hAnsiTheme="minorHAnsi"/>
          <w:color w:val="1E293B"/>
          <w:sz w:val="20"/>
        </w:rPr>
        <w:t>RFdiffusion</w:t>
      </w:r>
      <w:proofErr w:type="spellEnd"/>
      <w:r w:rsidRPr="00D341D5">
        <w:rPr>
          <w:rFonts w:asciiTheme="minorHAnsi" w:hAnsiTheme="minorHAnsi"/>
          <w:color w:val="1E293B"/>
          <w:sz w:val="20"/>
        </w:rPr>
        <w:t xml:space="preserve">. Nature. 2023;620(7976):1089-1100. doi:10.1038/s41586-023-06415-8. </w:t>
      </w:r>
      <w:hyperlink r:id="rId30">
        <w:r w:rsidRPr="00D341D5">
          <w:rPr>
            <w:rFonts w:asciiTheme="minorHAnsi" w:hAnsiTheme="minorHAnsi"/>
            <w:color w:val="1D4ED8"/>
            <w:sz w:val="20"/>
            <w:szCs w:val="20"/>
            <w:u w:val="single"/>
          </w:rPr>
          <w:t>PMID: 37433327</w:t>
        </w:r>
      </w:hyperlink>
      <w:r w:rsidRPr="00D341D5">
        <w:rPr>
          <w:rFonts w:asciiTheme="minorHAnsi" w:hAnsiTheme="minorHAnsi"/>
          <w:color w:val="1E293B"/>
          <w:sz w:val="20"/>
        </w:rPr>
        <w:t>.</w:t>
      </w:r>
    </w:p>
    <w:p w14:paraId="7BE25CB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21. </w:t>
      </w:r>
      <w:proofErr w:type="spellStart"/>
      <w:r w:rsidRPr="00D341D5">
        <w:rPr>
          <w:rFonts w:asciiTheme="minorHAnsi" w:hAnsiTheme="minorHAnsi"/>
          <w:color w:val="1E293B"/>
          <w:sz w:val="20"/>
        </w:rPr>
        <w:t>Dauparas</w:t>
      </w:r>
      <w:proofErr w:type="spellEnd"/>
      <w:r w:rsidRPr="00D341D5">
        <w:rPr>
          <w:rFonts w:asciiTheme="minorHAnsi" w:hAnsiTheme="minorHAnsi"/>
          <w:color w:val="1E293B"/>
          <w:sz w:val="20"/>
        </w:rPr>
        <w:t xml:space="preserve"> J, </w:t>
      </w:r>
      <w:proofErr w:type="spellStart"/>
      <w:r w:rsidRPr="00D341D5">
        <w:rPr>
          <w:rFonts w:asciiTheme="minorHAnsi" w:hAnsiTheme="minorHAnsi"/>
          <w:color w:val="1E293B"/>
          <w:sz w:val="20"/>
        </w:rPr>
        <w:t>Anishchenko</w:t>
      </w:r>
      <w:proofErr w:type="spellEnd"/>
      <w:r w:rsidRPr="00D341D5">
        <w:rPr>
          <w:rFonts w:asciiTheme="minorHAnsi" w:hAnsiTheme="minorHAnsi"/>
          <w:color w:val="1E293B"/>
          <w:sz w:val="20"/>
        </w:rPr>
        <w:t xml:space="preserve"> I, Bennett N, Bai H, </w:t>
      </w:r>
      <w:proofErr w:type="spellStart"/>
      <w:r w:rsidRPr="00D341D5">
        <w:rPr>
          <w:rFonts w:asciiTheme="minorHAnsi" w:hAnsiTheme="minorHAnsi"/>
          <w:color w:val="1E293B"/>
          <w:sz w:val="20"/>
        </w:rPr>
        <w:t>Ragotte</w:t>
      </w:r>
      <w:proofErr w:type="spellEnd"/>
      <w:r w:rsidRPr="00D341D5">
        <w:rPr>
          <w:rFonts w:asciiTheme="minorHAnsi" w:hAnsiTheme="minorHAnsi"/>
          <w:color w:val="1E293B"/>
          <w:sz w:val="20"/>
        </w:rPr>
        <w:t xml:space="preserve"> RJ, Milles LF, et al. Robust deep learning-based protein sequence design using </w:t>
      </w:r>
      <w:proofErr w:type="spellStart"/>
      <w:r w:rsidRPr="00D341D5">
        <w:rPr>
          <w:rFonts w:asciiTheme="minorHAnsi" w:hAnsiTheme="minorHAnsi"/>
          <w:color w:val="1E293B"/>
          <w:sz w:val="20"/>
        </w:rPr>
        <w:t>ProteinMPNN</w:t>
      </w:r>
      <w:proofErr w:type="spellEnd"/>
      <w:r w:rsidRPr="00D341D5">
        <w:rPr>
          <w:rFonts w:asciiTheme="minorHAnsi" w:hAnsiTheme="minorHAnsi"/>
          <w:color w:val="1E293B"/>
          <w:sz w:val="20"/>
        </w:rPr>
        <w:t xml:space="preserve">. Science. 2022;378(6615):49-56. doi:10.1126/science.add2187. </w:t>
      </w:r>
      <w:hyperlink r:id="rId31">
        <w:r w:rsidRPr="00D341D5">
          <w:rPr>
            <w:rFonts w:asciiTheme="minorHAnsi" w:hAnsiTheme="minorHAnsi"/>
            <w:color w:val="1D4ED8"/>
            <w:sz w:val="20"/>
            <w:szCs w:val="20"/>
            <w:u w:val="single"/>
          </w:rPr>
          <w:t>PMID: 36108050</w:t>
        </w:r>
      </w:hyperlink>
      <w:r w:rsidRPr="00D341D5">
        <w:rPr>
          <w:rFonts w:asciiTheme="minorHAnsi" w:hAnsiTheme="minorHAnsi"/>
          <w:color w:val="1E293B"/>
          <w:sz w:val="20"/>
        </w:rPr>
        <w:t>.</w:t>
      </w:r>
    </w:p>
    <w:p w14:paraId="360BAFE3"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22. </w:t>
      </w:r>
      <w:proofErr w:type="spellStart"/>
      <w:r w:rsidRPr="00D341D5">
        <w:rPr>
          <w:rFonts w:asciiTheme="minorHAnsi" w:hAnsiTheme="minorHAnsi"/>
          <w:color w:val="1E293B"/>
          <w:sz w:val="20"/>
        </w:rPr>
        <w:t>Waghu</w:t>
      </w:r>
      <w:proofErr w:type="spellEnd"/>
      <w:r w:rsidRPr="00D341D5">
        <w:rPr>
          <w:rFonts w:asciiTheme="minorHAnsi" w:hAnsiTheme="minorHAnsi"/>
          <w:color w:val="1E293B"/>
          <w:sz w:val="20"/>
        </w:rPr>
        <w:t xml:space="preserve"> FH, Barai RS, Gurung P, Idicula-Thomas S. CAMPR3: a database on sequences, structures and signatures of antimicrobial peptides. Nucleic Acids Res. 2016;44(D1):D1094-D1097. doi:10.1093/</w:t>
      </w:r>
      <w:proofErr w:type="spellStart"/>
      <w:r w:rsidRPr="00D341D5">
        <w:rPr>
          <w:rFonts w:asciiTheme="minorHAnsi" w:hAnsiTheme="minorHAnsi"/>
          <w:color w:val="1E293B"/>
          <w:sz w:val="20"/>
        </w:rPr>
        <w:t>nar</w:t>
      </w:r>
      <w:proofErr w:type="spellEnd"/>
      <w:r w:rsidRPr="00D341D5">
        <w:rPr>
          <w:rFonts w:asciiTheme="minorHAnsi" w:hAnsiTheme="minorHAnsi"/>
          <w:color w:val="1E293B"/>
          <w:sz w:val="20"/>
        </w:rPr>
        <w:t xml:space="preserve">/gkv1051. </w:t>
      </w:r>
      <w:hyperlink r:id="rId32">
        <w:r w:rsidRPr="00D341D5">
          <w:rPr>
            <w:rFonts w:asciiTheme="minorHAnsi" w:hAnsiTheme="minorHAnsi"/>
            <w:color w:val="1D4ED8"/>
            <w:sz w:val="20"/>
            <w:szCs w:val="20"/>
            <w:u w:val="single"/>
          </w:rPr>
          <w:t>PMID: 26467475</w:t>
        </w:r>
      </w:hyperlink>
      <w:r w:rsidRPr="00D341D5">
        <w:rPr>
          <w:rFonts w:asciiTheme="minorHAnsi" w:hAnsiTheme="minorHAnsi"/>
          <w:color w:val="1E293B"/>
          <w:sz w:val="20"/>
        </w:rPr>
        <w:t>.</w:t>
      </w:r>
    </w:p>
    <w:p w14:paraId="796759C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23. </w:t>
      </w:r>
      <w:r w:rsidRPr="00D341D5">
        <w:rPr>
          <w:rFonts w:asciiTheme="minorHAnsi" w:hAnsiTheme="minorHAnsi"/>
          <w:color w:val="1E293B"/>
          <w:sz w:val="20"/>
        </w:rPr>
        <w:t xml:space="preserve">Matheson CJ, Backos DS, Reigan P. Targeting WEE1 Kinase in Cancer. Trends </w:t>
      </w:r>
      <w:proofErr w:type="spellStart"/>
      <w:r w:rsidRPr="00D341D5">
        <w:rPr>
          <w:rFonts w:asciiTheme="minorHAnsi" w:hAnsiTheme="minorHAnsi"/>
          <w:color w:val="1E293B"/>
          <w:sz w:val="20"/>
        </w:rPr>
        <w:t>Pharmacol</w:t>
      </w:r>
      <w:proofErr w:type="spellEnd"/>
      <w:r w:rsidRPr="00D341D5">
        <w:rPr>
          <w:rFonts w:asciiTheme="minorHAnsi" w:hAnsiTheme="minorHAnsi"/>
          <w:color w:val="1E293B"/>
          <w:sz w:val="20"/>
        </w:rPr>
        <w:t xml:space="preserve"> Sci. 2016;37(10):872-881. doi:10.1016/j.tips.2016.06.006. </w:t>
      </w:r>
      <w:hyperlink r:id="rId33">
        <w:r w:rsidRPr="00D341D5">
          <w:rPr>
            <w:rFonts w:asciiTheme="minorHAnsi" w:hAnsiTheme="minorHAnsi"/>
            <w:color w:val="1D4ED8"/>
            <w:sz w:val="20"/>
            <w:szCs w:val="20"/>
            <w:u w:val="single"/>
          </w:rPr>
          <w:t>PMID: 27427153</w:t>
        </w:r>
      </w:hyperlink>
      <w:r w:rsidRPr="00D341D5">
        <w:rPr>
          <w:rFonts w:asciiTheme="minorHAnsi" w:hAnsiTheme="minorHAnsi"/>
          <w:color w:val="1E293B"/>
          <w:sz w:val="20"/>
        </w:rPr>
        <w:t>.</w:t>
      </w:r>
    </w:p>
    <w:p w14:paraId="0CEBF79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24. </w:t>
      </w:r>
      <w:r w:rsidRPr="00D341D5">
        <w:rPr>
          <w:rFonts w:asciiTheme="minorHAnsi" w:hAnsiTheme="minorHAnsi"/>
          <w:color w:val="1E293B"/>
          <w:sz w:val="20"/>
        </w:rPr>
        <w:t xml:space="preserve">Do K, </w:t>
      </w:r>
      <w:proofErr w:type="spellStart"/>
      <w:r w:rsidRPr="00D341D5">
        <w:rPr>
          <w:rFonts w:asciiTheme="minorHAnsi" w:hAnsiTheme="minorHAnsi"/>
          <w:color w:val="1E293B"/>
          <w:sz w:val="20"/>
        </w:rPr>
        <w:t>Wilsker</w:t>
      </w:r>
      <w:proofErr w:type="spellEnd"/>
      <w:r w:rsidRPr="00D341D5">
        <w:rPr>
          <w:rFonts w:asciiTheme="minorHAnsi" w:hAnsiTheme="minorHAnsi"/>
          <w:color w:val="1E293B"/>
          <w:sz w:val="20"/>
        </w:rPr>
        <w:t xml:space="preserve"> D, Ji J, </w:t>
      </w:r>
      <w:proofErr w:type="spellStart"/>
      <w:r w:rsidRPr="00D341D5">
        <w:rPr>
          <w:rFonts w:asciiTheme="minorHAnsi" w:hAnsiTheme="minorHAnsi"/>
          <w:color w:val="1E293B"/>
          <w:sz w:val="20"/>
        </w:rPr>
        <w:t>Zlott</w:t>
      </w:r>
      <w:proofErr w:type="spellEnd"/>
      <w:r w:rsidRPr="00D341D5">
        <w:rPr>
          <w:rFonts w:asciiTheme="minorHAnsi" w:hAnsiTheme="minorHAnsi"/>
          <w:color w:val="1E293B"/>
          <w:sz w:val="20"/>
        </w:rPr>
        <w:t xml:space="preserve"> J, Freshour S, </w:t>
      </w:r>
      <w:proofErr w:type="spellStart"/>
      <w:r w:rsidRPr="00D341D5">
        <w:rPr>
          <w:rFonts w:asciiTheme="minorHAnsi" w:hAnsiTheme="minorHAnsi"/>
          <w:color w:val="1E293B"/>
          <w:sz w:val="20"/>
        </w:rPr>
        <w:t>Kinders</w:t>
      </w:r>
      <w:proofErr w:type="spellEnd"/>
      <w:r w:rsidRPr="00D341D5">
        <w:rPr>
          <w:rFonts w:asciiTheme="minorHAnsi" w:hAnsiTheme="minorHAnsi"/>
          <w:color w:val="1E293B"/>
          <w:sz w:val="20"/>
        </w:rPr>
        <w:t xml:space="preserve"> RJ, et al. Phase I Study of Single-Agent AZD1775 (MK-1775), a Wee1 Kinase Inhibitor, in Patients With Refractory Solid Tumors. J Clin Oncol. 2015;33(30):3409-3415. doi:10.1200/JCO.2014.60.4009. </w:t>
      </w:r>
      <w:hyperlink r:id="rId34">
        <w:r w:rsidRPr="00D341D5">
          <w:rPr>
            <w:rFonts w:asciiTheme="minorHAnsi" w:hAnsiTheme="minorHAnsi"/>
            <w:color w:val="1D4ED8"/>
            <w:sz w:val="20"/>
            <w:szCs w:val="20"/>
            <w:u w:val="single"/>
          </w:rPr>
          <w:t>PMID: 25964244</w:t>
        </w:r>
      </w:hyperlink>
      <w:r w:rsidRPr="00D341D5">
        <w:rPr>
          <w:rFonts w:asciiTheme="minorHAnsi" w:hAnsiTheme="minorHAnsi"/>
          <w:color w:val="1E293B"/>
          <w:sz w:val="20"/>
        </w:rPr>
        <w:t>.</w:t>
      </w:r>
    </w:p>
    <w:p w14:paraId="53873772"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25. </w:t>
      </w:r>
      <w:r w:rsidRPr="00D341D5">
        <w:rPr>
          <w:rFonts w:asciiTheme="minorHAnsi" w:hAnsiTheme="minorHAnsi"/>
          <w:color w:val="1E293B"/>
          <w:sz w:val="20"/>
        </w:rPr>
        <w:t xml:space="preserve">Gallo D, Young JTF, </w:t>
      </w:r>
      <w:proofErr w:type="spellStart"/>
      <w:r w:rsidRPr="00D341D5">
        <w:rPr>
          <w:rFonts w:asciiTheme="minorHAnsi" w:hAnsiTheme="minorHAnsi"/>
          <w:color w:val="1E293B"/>
          <w:sz w:val="20"/>
        </w:rPr>
        <w:t>Fourtounis</w:t>
      </w:r>
      <w:proofErr w:type="spellEnd"/>
      <w:r w:rsidRPr="00D341D5">
        <w:rPr>
          <w:rFonts w:asciiTheme="minorHAnsi" w:hAnsiTheme="minorHAnsi"/>
          <w:color w:val="1E293B"/>
          <w:sz w:val="20"/>
        </w:rPr>
        <w:t xml:space="preserve"> J, Martino G, Álvarez-</w:t>
      </w:r>
      <w:proofErr w:type="spellStart"/>
      <w:r w:rsidRPr="00D341D5">
        <w:rPr>
          <w:rFonts w:asciiTheme="minorHAnsi" w:hAnsiTheme="minorHAnsi"/>
          <w:color w:val="1E293B"/>
          <w:sz w:val="20"/>
        </w:rPr>
        <w:t>Quilón</w:t>
      </w:r>
      <w:proofErr w:type="spellEnd"/>
      <w:r w:rsidRPr="00D341D5">
        <w:rPr>
          <w:rFonts w:asciiTheme="minorHAnsi" w:hAnsiTheme="minorHAnsi"/>
          <w:color w:val="1E293B"/>
          <w:sz w:val="20"/>
        </w:rPr>
        <w:t xml:space="preserve"> A, Bernier C, et al. CCNE1 amplification is synthetic lethal with PKMYT1 kinase inhibition. Nature. 2022;604(7907):749-756. doi:10.1038/s41586-022-04638-9. </w:t>
      </w:r>
      <w:hyperlink r:id="rId35">
        <w:r w:rsidRPr="00D341D5">
          <w:rPr>
            <w:rFonts w:asciiTheme="minorHAnsi" w:hAnsiTheme="minorHAnsi"/>
            <w:color w:val="1D4ED8"/>
            <w:sz w:val="20"/>
            <w:szCs w:val="20"/>
            <w:u w:val="single"/>
          </w:rPr>
          <w:t>PMID: 35444283</w:t>
        </w:r>
      </w:hyperlink>
      <w:r w:rsidRPr="00D341D5">
        <w:rPr>
          <w:rFonts w:asciiTheme="minorHAnsi" w:hAnsiTheme="minorHAnsi"/>
          <w:color w:val="1E293B"/>
          <w:sz w:val="20"/>
        </w:rPr>
        <w:t>.</w:t>
      </w:r>
    </w:p>
    <w:p w14:paraId="05670275"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26. </w:t>
      </w:r>
      <w:r w:rsidRPr="00D341D5">
        <w:rPr>
          <w:rFonts w:asciiTheme="minorHAnsi" w:hAnsiTheme="minorHAnsi"/>
          <w:color w:val="1E293B"/>
          <w:sz w:val="20"/>
        </w:rPr>
        <w:t xml:space="preserve">Baker DJ, </w:t>
      </w:r>
      <w:proofErr w:type="spellStart"/>
      <w:r w:rsidRPr="00D341D5">
        <w:rPr>
          <w:rFonts w:asciiTheme="minorHAnsi" w:hAnsiTheme="minorHAnsi"/>
          <w:color w:val="1E293B"/>
          <w:sz w:val="20"/>
        </w:rPr>
        <w:t>Wijshake</w:t>
      </w:r>
      <w:proofErr w:type="spellEnd"/>
      <w:r w:rsidRPr="00D341D5">
        <w:rPr>
          <w:rFonts w:asciiTheme="minorHAnsi" w:hAnsiTheme="minorHAnsi"/>
          <w:color w:val="1E293B"/>
          <w:sz w:val="20"/>
        </w:rPr>
        <w:t xml:space="preserve"> T, </w:t>
      </w:r>
      <w:proofErr w:type="spellStart"/>
      <w:r w:rsidRPr="00D341D5">
        <w:rPr>
          <w:rFonts w:asciiTheme="minorHAnsi" w:hAnsiTheme="minorHAnsi"/>
          <w:color w:val="1E293B"/>
          <w:sz w:val="20"/>
        </w:rPr>
        <w:t>Tchkonia</w:t>
      </w:r>
      <w:proofErr w:type="spellEnd"/>
      <w:r w:rsidRPr="00D341D5">
        <w:rPr>
          <w:rFonts w:asciiTheme="minorHAnsi" w:hAnsiTheme="minorHAnsi"/>
          <w:color w:val="1E293B"/>
          <w:sz w:val="20"/>
        </w:rPr>
        <w:t xml:space="preserve"> T, LeBrasseur NK, Childs BG, van de Sluis B, et al. Clearance of p16Ink4a-positive senescent cells delays ageing-associated disorders. Nature. 2011;479(7372):232-236. doi:10.1038/nature10600. </w:t>
      </w:r>
      <w:hyperlink r:id="rId36">
        <w:r w:rsidRPr="00D341D5">
          <w:rPr>
            <w:rFonts w:asciiTheme="minorHAnsi" w:hAnsiTheme="minorHAnsi"/>
            <w:color w:val="1D4ED8"/>
            <w:sz w:val="20"/>
            <w:szCs w:val="20"/>
            <w:u w:val="single"/>
          </w:rPr>
          <w:t>PMID: 22048312</w:t>
        </w:r>
      </w:hyperlink>
      <w:r w:rsidRPr="00D341D5">
        <w:rPr>
          <w:rFonts w:asciiTheme="minorHAnsi" w:hAnsiTheme="minorHAnsi"/>
          <w:color w:val="1E293B"/>
          <w:sz w:val="20"/>
        </w:rPr>
        <w:t>.</w:t>
      </w:r>
    </w:p>
    <w:p w14:paraId="5BD60783"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27. </w:t>
      </w:r>
      <w:r w:rsidRPr="00D341D5">
        <w:rPr>
          <w:rFonts w:asciiTheme="minorHAnsi" w:hAnsiTheme="minorHAnsi"/>
          <w:color w:val="1E293B"/>
          <w:sz w:val="20"/>
        </w:rPr>
        <w:t xml:space="preserve">Childs BG, </w:t>
      </w:r>
      <w:proofErr w:type="spellStart"/>
      <w:r w:rsidRPr="00D341D5">
        <w:rPr>
          <w:rFonts w:asciiTheme="minorHAnsi" w:hAnsiTheme="minorHAnsi"/>
          <w:color w:val="1E293B"/>
          <w:sz w:val="20"/>
        </w:rPr>
        <w:t>Gluscevic</w:t>
      </w:r>
      <w:proofErr w:type="spellEnd"/>
      <w:r w:rsidRPr="00D341D5">
        <w:rPr>
          <w:rFonts w:asciiTheme="minorHAnsi" w:hAnsiTheme="minorHAnsi"/>
          <w:color w:val="1E293B"/>
          <w:sz w:val="20"/>
        </w:rPr>
        <w:t xml:space="preserve"> M, Baker DJ, Laberge RM, Marquess D, </w:t>
      </w:r>
      <w:proofErr w:type="spellStart"/>
      <w:r w:rsidRPr="00D341D5">
        <w:rPr>
          <w:rFonts w:asciiTheme="minorHAnsi" w:hAnsiTheme="minorHAnsi"/>
          <w:color w:val="1E293B"/>
          <w:sz w:val="20"/>
        </w:rPr>
        <w:t>Dananberg</w:t>
      </w:r>
      <w:proofErr w:type="spellEnd"/>
      <w:r w:rsidRPr="00D341D5">
        <w:rPr>
          <w:rFonts w:asciiTheme="minorHAnsi" w:hAnsiTheme="minorHAnsi"/>
          <w:color w:val="1E293B"/>
          <w:sz w:val="20"/>
        </w:rPr>
        <w:t xml:space="preserve"> J, et al. Senescent cells: an emerging target for diseases of ageing. Nat Rev Drug </w:t>
      </w:r>
      <w:proofErr w:type="spellStart"/>
      <w:r w:rsidRPr="00D341D5">
        <w:rPr>
          <w:rFonts w:asciiTheme="minorHAnsi" w:hAnsiTheme="minorHAnsi"/>
          <w:color w:val="1E293B"/>
          <w:sz w:val="20"/>
        </w:rPr>
        <w:t>Discov</w:t>
      </w:r>
      <w:proofErr w:type="spellEnd"/>
      <w:r w:rsidRPr="00D341D5">
        <w:rPr>
          <w:rFonts w:asciiTheme="minorHAnsi" w:hAnsiTheme="minorHAnsi"/>
          <w:color w:val="1E293B"/>
          <w:sz w:val="20"/>
        </w:rPr>
        <w:t xml:space="preserve">. 2017;16(10):718-735. doi:10.1038/nrd.2017.116. </w:t>
      </w:r>
      <w:hyperlink r:id="rId37">
        <w:r w:rsidRPr="00D341D5">
          <w:rPr>
            <w:rFonts w:asciiTheme="minorHAnsi" w:hAnsiTheme="minorHAnsi"/>
            <w:color w:val="1D4ED8"/>
            <w:sz w:val="20"/>
            <w:szCs w:val="20"/>
            <w:u w:val="single"/>
          </w:rPr>
          <w:t>PMID: 28729727</w:t>
        </w:r>
      </w:hyperlink>
      <w:r w:rsidRPr="00D341D5">
        <w:rPr>
          <w:rFonts w:asciiTheme="minorHAnsi" w:hAnsiTheme="minorHAnsi"/>
          <w:color w:val="1E293B"/>
          <w:sz w:val="20"/>
        </w:rPr>
        <w:t>.</w:t>
      </w:r>
    </w:p>
    <w:p w14:paraId="3CEB1198"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28. </w:t>
      </w:r>
      <w:r w:rsidRPr="00D341D5">
        <w:rPr>
          <w:rFonts w:asciiTheme="minorHAnsi" w:hAnsiTheme="minorHAnsi"/>
          <w:color w:val="1E293B"/>
          <w:sz w:val="20"/>
        </w:rPr>
        <w:t xml:space="preserve">Chang J, Wang Y, Shao L, Laberge RM, Demaria M, Campisi J, et al. Clearance of senescent cells by ABT263 rejuvenates aged hematopoietic stem cells in mice. Nat Med. 2016;22(1):78-83. doi:10.1038/nm.4010. </w:t>
      </w:r>
      <w:hyperlink r:id="rId38">
        <w:r w:rsidRPr="00D341D5">
          <w:rPr>
            <w:rFonts w:asciiTheme="minorHAnsi" w:hAnsiTheme="minorHAnsi"/>
            <w:color w:val="1D4ED8"/>
            <w:sz w:val="20"/>
            <w:szCs w:val="20"/>
            <w:u w:val="single"/>
          </w:rPr>
          <w:t>PMID: 26657143</w:t>
        </w:r>
      </w:hyperlink>
      <w:r w:rsidRPr="00D341D5">
        <w:rPr>
          <w:rFonts w:asciiTheme="minorHAnsi" w:hAnsiTheme="minorHAnsi"/>
          <w:color w:val="1E293B"/>
          <w:sz w:val="20"/>
        </w:rPr>
        <w:t>.</w:t>
      </w:r>
    </w:p>
    <w:p w14:paraId="210EC85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29. </w:t>
      </w:r>
      <w:r w:rsidRPr="00D341D5">
        <w:rPr>
          <w:rFonts w:asciiTheme="minorHAnsi" w:hAnsiTheme="minorHAnsi"/>
          <w:color w:val="1E293B"/>
          <w:sz w:val="20"/>
        </w:rPr>
        <w:t xml:space="preserve">Mason KD, Carpinelli MR, Fletcher JI, Collinge JE, Hilton AA, Ellis S, et al. Programmed </w:t>
      </w:r>
      <w:proofErr w:type="spellStart"/>
      <w:r w:rsidRPr="00D341D5">
        <w:rPr>
          <w:rFonts w:asciiTheme="minorHAnsi" w:hAnsiTheme="minorHAnsi"/>
          <w:color w:val="1E293B"/>
          <w:sz w:val="20"/>
        </w:rPr>
        <w:t>anuclear</w:t>
      </w:r>
      <w:proofErr w:type="spellEnd"/>
      <w:r w:rsidRPr="00D341D5">
        <w:rPr>
          <w:rFonts w:asciiTheme="minorHAnsi" w:hAnsiTheme="minorHAnsi"/>
          <w:color w:val="1E293B"/>
          <w:sz w:val="20"/>
        </w:rPr>
        <w:t xml:space="preserve"> cell death delimits platelet life span. Cell. 2007;128(6):1173-1186. doi:10.1016/j.cell.2007.01.037. </w:t>
      </w:r>
      <w:hyperlink r:id="rId39">
        <w:r w:rsidRPr="00D341D5">
          <w:rPr>
            <w:rFonts w:asciiTheme="minorHAnsi" w:hAnsiTheme="minorHAnsi"/>
            <w:color w:val="1D4ED8"/>
            <w:sz w:val="20"/>
            <w:szCs w:val="20"/>
            <w:u w:val="single"/>
          </w:rPr>
          <w:t>PMID: 17382885</w:t>
        </w:r>
      </w:hyperlink>
      <w:r w:rsidRPr="00D341D5">
        <w:rPr>
          <w:rFonts w:asciiTheme="minorHAnsi" w:hAnsiTheme="minorHAnsi"/>
          <w:color w:val="1E293B"/>
          <w:sz w:val="20"/>
        </w:rPr>
        <w:t>.</w:t>
      </w:r>
    </w:p>
    <w:p w14:paraId="4F2970F3"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30. </w:t>
      </w:r>
      <w:r w:rsidRPr="00D341D5">
        <w:rPr>
          <w:rFonts w:asciiTheme="minorHAnsi" w:hAnsiTheme="minorHAnsi"/>
          <w:color w:val="1E293B"/>
          <w:sz w:val="20"/>
        </w:rPr>
        <w:t xml:space="preserve">He Y, Zhang X, Chang J, Kim HN, Zhang P, Wang Y, et al. Using proteolysis-targeting chimera technology to reduce navitoclax platelet toxicity and improve its senolytic activity. Nat Commun. 2020;11(1):1996. doi:10.1038/s41467-020-15838-0. </w:t>
      </w:r>
      <w:hyperlink r:id="rId40">
        <w:r w:rsidRPr="00D341D5">
          <w:rPr>
            <w:rFonts w:asciiTheme="minorHAnsi" w:hAnsiTheme="minorHAnsi"/>
            <w:color w:val="1D4ED8"/>
            <w:sz w:val="20"/>
            <w:szCs w:val="20"/>
            <w:u w:val="single"/>
          </w:rPr>
          <w:t>PMID: 32332723</w:t>
        </w:r>
      </w:hyperlink>
      <w:r w:rsidRPr="00D341D5">
        <w:rPr>
          <w:rFonts w:asciiTheme="minorHAnsi" w:hAnsiTheme="minorHAnsi"/>
          <w:color w:val="1E293B"/>
          <w:sz w:val="20"/>
        </w:rPr>
        <w:t>.</w:t>
      </w:r>
    </w:p>
    <w:p w14:paraId="03DEF9F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31. </w:t>
      </w:r>
      <w:r w:rsidRPr="00D341D5">
        <w:rPr>
          <w:rFonts w:asciiTheme="minorHAnsi" w:hAnsiTheme="minorHAnsi"/>
          <w:color w:val="1E293B"/>
          <w:sz w:val="20"/>
        </w:rPr>
        <w:t xml:space="preserve">Khan S, Zhang X, </w:t>
      </w:r>
      <w:proofErr w:type="spellStart"/>
      <w:r w:rsidRPr="00D341D5">
        <w:rPr>
          <w:rFonts w:asciiTheme="minorHAnsi" w:hAnsiTheme="minorHAnsi"/>
          <w:color w:val="1E293B"/>
          <w:sz w:val="20"/>
        </w:rPr>
        <w:t>Lv</w:t>
      </w:r>
      <w:proofErr w:type="spellEnd"/>
      <w:r w:rsidRPr="00D341D5">
        <w:rPr>
          <w:rFonts w:asciiTheme="minorHAnsi" w:hAnsiTheme="minorHAnsi"/>
          <w:color w:val="1E293B"/>
          <w:sz w:val="20"/>
        </w:rPr>
        <w:t xml:space="preserve"> D, Zhang Q, He Y, Zhang P, et al. A selective BCL-XL PROTAC degrader achieves safe and potent antitumor activity. Nat Med. 2019;25(12):1938-1947. doi:10.1038/s41591-019-0668-z. </w:t>
      </w:r>
      <w:hyperlink r:id="rId41">
        <w:r w:rsidRPr="00D341D5">
          <w:rPr>
            <w:rFonts w:asciiTheme="minorHAnsi" w:hAnsiTheme="minorHAnsi"/>
            <w:color w:val="1D4ED8"/>
            <w:sz w:val="20"/>
            <w:szCs w:val="20"/>
            <w:u w:val="single"/>
          </w:rPr>
          <w:t>PMID: 31792461</w:t>
        </w:r>
      </w:hyperlink>
      <w:r w:rsidRPr="00D341D5">
        <w:rPr>
          <w:rFonts w:asciiTheme="minorHAnsi" w:hAnsiTheme="minorHAnsi"/>
          <w:color w:val="1E293B"/>
          <w:sz w:val="20"/>
        </w:rPr>
        <w:t>.</w:t>
      </w:r>
    </w:p>
    <w:p w14:paraId="1C282A7C"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32. </w:t>
      </w:r>
      <w:r w:rsidRPr="00D341D5">
        <w:rPr>
          <w:rFonts w:asciiTheme="minorHAnsi" w:hAnsiTheme="minorHAnsi"/>
          <w:color w:val="1E293B"/>
          <w:sz w:val="20"/>
        </w:rPr>
        <w:t xml:space="preserve">Yen TJ, Compton DA, Wise D, </w:t>
      </w:r>
      <w:proofErr w:type="spellStart"/>
      <w:r w:rsidRPr="00D341D5">
        <w:rPr>
          <w:rFonts w:asciiTheme="minorHAnsi" w:hAnsiTheme="minorHAnsi"/>
          <w:color w:val="1E293B"/>
          <w:sz w:val="20"/>
        </w:rPr>
        <w:t>Zinkowski</w:t>
      </w:r>
      <w:proofErr w:type="spellEnd"/>
      <w:r w:rsidRPr="00D341D5">
        <w:rPr>
          <w:rFonts w:asciiTheme="minorHAnsi" w:hAnsiTheme="minorHAnsi"/>
          <w:color w:val="1E293B"/>
          <w:sz w:val="20"/>
        </w:rPr>
        <w:t xml:space="preserve"> RP, Brinkley BR, Earnshaw WC, et al. CENP-E, a novel human centromere-associated protein required for progression from metaphase to anaphase. EMBO J. 1991;10(5):1245-1254. doi:10.1002/j.1460-2075.1991.tb08066.x. </w:t>
      </w:r>
      <w:hyperlink r:id="rId42">
        <w:r w:rsidRPr="00D341D5">
          <w:rPr>
            <w:rFonts w:asciiTheme="minorHAnsi" w:hAnsiTheme="minorHAnsi"/>
            <w:color w:val="1D4ED8"/>
            <w:sz w:val="20"/>
            <w:szCs w:val="20"/>
            <w:u w:val="single"/>
          </w:rPr>
          <w:t>PMID: 2022189</w:t>
        </w:r>
      </w:hyperlink>
      <w:r w:rsidRPr="00D341D5">
        <w:rPr>
          <w:rFonts w:asciiTheme="minorHAnsi" w:hAnsiTheme="minorHAnsi"/>
          <w:color w:val="1E293B"/>
          <w:sz w:val="20"/>
        </w:rPr>
        <w:t>.</w:t>
      </w:r>
    </w:p>
    <w:p w14:paraId="4BF2A1E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33. </w:t>
      </w:r>
      <w:r w:rsidRPr="00D341D5">
        <w:rPr>
          <w:rFonts w:asciiTheme="minorHAnsi" w:hAnsiTheme="minorHAnsi"/>
          <w:color w:val="1E293B"/>
          <w:sz w:val="20"/>
        </w:rPr>
        <w:t xml:space="preserve">Kim Y, Heuser JE, Waterman CM, Cleveland DW. CENP-E combines a slow, processive motor and a flexible coiled coil to produce an essential kinetochore-microtubule tether. J Cell Biol. 2008;181(3):411-419. doi:10.1083/jcb.200802189. </w:t>
      </w:r>
      <w:hyperlink r:id="rId43">
        <w:r w:rsidRPr="00D341D5">
          <w:rPr>
            <w:rFonts w:asciiTheme="minorHAnsi" w:hAnsiTheme="minorHAnsi"/>
            <w:color w:val="1D4ED8"/>
            <w:sz w:val="20"/>
            <w:szCs w:val="20"/>
            <w:u w:val="single"/>
          </w:rPr>
          <w:t>PMID: 18443223</w:t>
        </w:r>
      </w:hyperlink>
      <w:r w:rsidRPr="00D341D5">
        <w:rPr>
          <w:rFonts w:asciiTheme="minorHAnsi" w:hAnsiTheme="minorHAnsi"/>
          <w:color w:val="1E293B"/>
          <w:sz w:val="20"/>
        </w:rPr>
        <w:t>.</w:t>
      </w:r>
    </w:p>
    <w:p w14:paraId="3639E001"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34. </w:t>
      </w:r>
      <w:r w:rsidRPr="00D341D5">
        <w:rPr>
          <w:rFonts w:asciiTheme="minorHAnsi" w:hAnsiTheme="minorHAnsi"/>
          <w:color w:val="1E293B"/>
          <w:sz w:val="20"/>
        </w:rPr>
        <w:t xml:space="preserve">Qian X, McDonald A, Zhou HJ, Adams ND, Parrish CA, Duffy KJ, et al. Discovery of the First Potent and Selective Inhibitor of Centromere-Associated Protein E: GSK923295. ACS Med Chem Lett. 2010;1(1):30-34. doi:10.1021/ml900018m. </w:t>
      </w:r>
      <w:hyperlink r:id="rId44">
        <w:r w:rsidRPr="00D341D5">
          <w:rPr>
            <w:rFonts w:asciiTheme="minorHAnsi" w:hAnsiTheme="minorHAnsi"/>
            <w:color w:val="1D4ED8"/>
            <w:sz w:val="20"/>
            <w:szCs w:val="20"/>
            <w:u w:val="single"/>
          </w:rPr>
          <w:t>PMID: 24900171</w:t>
        </w:r>
      </w:hyperlink>
      <w:r w:rsidRPr="00D341D5">
        <w:rPr>
          <w:rFonts w:asciiTheme="minorHAnsi" w:hAnsiTheme="minorHAnsi"/>
          <w:color w:val="1E293B"/>
          <w:sz w:val="20"/>
        </w:rPr>
        <w:t>.</w:t>
      </w:r>
    </w:p>
    <w:p w14:paraId="65534BF8"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35. </w:t>
      </w:r>
      <w:r w:rsidRPr="00D341D5">
        <w:rPr>
          <w:rFonts w:asciiTheme="minorHAnsi" w:hAnsiTheme="minorHAnsi"/>
          <w:color w:val="1E293B"/>
          <w:sz w:val="20"/>
        </w:rPr>
        <w:t>Legal T, Hayward D, Gluszek-</w:t>
      </w:r>
      <w:proofErr w:type="spellStart"/>
      <w:r w:rsidRPr="00D341D5">
        <w:rPr>
          <w:rFonts w:asciiTheme="minorHAnsi" w:hAnsiTheme="minorHAnsi"/>
          <w:color w:val="1E293B"/>
          <w:sz w:val="20"/>
        </w:rPr>
        <w:t>Kustusz</w:t>
      </w:r>
      <w:proofErr w:type="spellEnd"/>
      <w:r w:rsidRPr="00D341D5">
        <w:rPr>
          <w:rFonts w:asciiTheme="minorHAnsi" w:hAnsiTheme="minorHAnsi"/>
          <w:color w:val="1E293B"/>
          <w:sz w:val="20"/>
        </w:rPr>
        <w:t xml:space="preserve"> A, Blackburn EA, Spanos C, </w:t>
      </w:r>
      <w:proofErr w:type="spellStart"/>
      <w:r w:rsidRPr="00D341D5">
        <w:rPr>
          <w:rFonts w:asciiTheme="minorHAnsi" w:hAnsiTheme="minorHAnsi"/>
          <w:color w:val="1E293B"/>
          <w:sz w:val="20"/>
        </w:rPr>
        <w:t>Rappsilber</w:t>
      </w:r>
      <w:proofErr w:type="spellEnd"/>
      <w:r w:rsidRPr="00D341D5">
        <w:rPr>
          <w:rFonts w:asciiTheme="minorHAnsi" w:hAnsiTheme="minorHAnsi"/>
          <w:color w:val="1E293B"/>
          <w:sz w:val="20"/>
        </w:rPr>
        <w:t xml:space="preserve"> J, et al. The C-terminal helix of BubR1 is essential for CENP-E-dependent chromosome alignment. J Cell Sci. 2020;133(16):jcs246025. doi:10.1242/jcs.246025. </w:t>
      </w:r>
      <w:hyperlink r:id="rId45">
        <w:r w:rsidRPr="00D341D5">
          <w:rPr>
            <w:rFonts w:asciiTheme="minorHAnsi" w:hAnsiTheme="minorHAnsi"/>
            <w:color w:val="1D4ED8"/>
            <w:sz w:val="20"/>
            <w:szCs w:val="20"/>
            <w:u w:val="single"/>
          </w:rPr>
          <w:t>PMID: 32665320</w:t>
        </w:r>
      </w:hyperlink>
      <w:r w:rsidRPr="00D341D5">
        <w:rPr>
          <w:rFonts w:asciiTheme="minorHAnsi" w:hAnsiTheme="minorHAnsi"/>
          <w:color w:val="1E293B"/>
          <w:sz w:val="20"/>
        </w:rPr>
        <w:t>.</w:t>
      </w:r>
    </w:p>
    <w:p w14:paraId="47965F7B"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36. </w:t>
      </w:r>
      <w:r w:rsidRPr="00D341D5">
        <w:rPr>
          <w:rFonts w:asciiTheme="minorHAnsi" w:hAnsiTheme="minorHAnsi"/>
          <w:color w:val="1E293B"/>
          <w:sz w:val="20"/>
        </w:rPr>
        <w:t xml:space="preserve">Mackenzie KJ, Carroll P, Martin CA, Murina O, </w:t>
      </w:r>
      <w:proofErr w:type="spellStart"/>
      <w:r w:rsidRPr="00D341D5">
        <w:rPr>
          <w:rFonts w:asciiTheme="minorHAnsi" w:hAnsiTheme="minorHAnsi"/>
          <w:color w:val="1E293B"/>
          <w:sz w:val="20"/>
        </w:rPr>
        <w:t>Fluteau</w:t>
      </w:r>
      <w:proofErr w:type="spellEnd"/>
      <w:r w:rsidRPr="00D341D5">
        <w:rPr>
          <w:rFonts w:asciiTheme="minorHAnsi" w:hAnsiTheme="minorHAnsi"/>
          <w:color w:val="1E293B"/>
          <w:sz w:val="20"/>
        </w:rPr>
        <w:t xml:space="preserve"> A, Simpson DJ, et al. </w:t>
      </w:r>
      <w:proofErr w:type="spellStart"/>
      <w:r w:rsidRPr="00D341D5">
        <w:rPr>
          <w:rFonts w:asciiTheme="minorHAnsi" w:hAnsiTheme="minorHAnsi"/>
          <w:color w:val="1E293B"/>
          <w:sz w:val="20"/>
        </w:rPr>
        <w:t>cGAS</w:t>
      </w:r>
      <w:proofErr w:type="spellEnd"/>
      <w:r w:rsidRPr="00D341D5">
        <w:rPr>
          <w:rFonts w:asciiTheme="minorHAnsi" w:hAnsiTheme="minorHAnsi"/>
          <w:color w:val="1E293B"/>
          <w:sz w:val="20"/>
        </w:rPr>
        <w:t xml:space="preserve"> surveillance of micronuclei links genome instability to innate immunity. Nature. 2017;548(7668):461-465. doi:10.1038/nature23449. </w:t>
      </w:r>
      <w:hyperlink r:id="rId46">
        <w:r w:rsidRPr="00D341D5">
          <w:rPr>
            <w:rFonts w:asciiTheme="minorHAnsi" w:hAnsiTheme="minorHAnsi"/>
            <w:color w:val="1D4ED8"/>
            <w:sz w:val="20"/>
            <w:szCs w:val="20"/>
            <w:u w:val="single"/>
          </w:rPr>
          <w:t>PMID: 28738408</w:t>
        </w:r>
      </w:hyperlink>
      <w:r w:rsidRPr="00D341D5">
        <w:rPr>
          <w:rFonts w:asciiTheme="minorHAnsi" w:hAnsiTheme="minorHAnsi"/>
          <w:color w:val="1E293B"/>
          <w:sz w:val="20"/>
        </w:rPr>
        <w:t>.</w:t>
      </w:r>
    </w:p>
    <w:p w14:paraId="6ED9CB38"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lastRenderedPageBreak/>
        <w:t xml:space="preserve">37. </w:t>
      </w:r>
      <w:r w:rsidRPr="00D341D5">
        <w:rPr>
          <w:rFonts w:asciiTheme="minorHAnsi" w:hAnsiTheme="minorHAnsi"/>
          <w:color w:val="1E293B"/>
          <w:sz w:val="20"/>
        </w:rPr>
        <w:t xml:space="preserve">Harding SM, Benci JL, Irianto J, Discher DE, Minn AJ, Greenberg RA. Mitotic progression following DNA damage enables pattern recognition within micronuclei. Nature. 2017;548(7668):466-470. doi:10.1038/nature23470. </w:t>
      </w:r>
      <w:hyperlink r:id="rId47">
        <w:r w:rsidRPr="00D341D5">
          <w:rPr>
            <w:rFonts w:asciiTheme="minorHAnsi" w:hAnsiTheme="minorHAnsi"/>
            <w:color w:val="1D4ED8"/>
            <w:sz w:val="20"/>
            <w:szCs w:val="20"/>
            <w:u w:val="single"/>
          </w:rPr>
          <w:t>PMID: 28759889</w:t>
        </w:r>
      </w:hyperlink>
      <w:r w:rsidRPr="00D341D5">
        <w:rPr>
          <w:rFonts w:asciiTheme="minorHAnsi" w:hAnsiTheme="minorHAnsi"/>
          <w:color w:val="1E293B"/>
          <w:sz w:val="20"/>
        </w:rPr>
        <w:t>.</w:t>
      </w:r>
    </w:p>
    <w:p w14:paraId="345625D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38. </w:t>
      </w:r>
      <w:r w:rsidRPr="00D341D5">
        <w:rPr>
          <w:rFonts w:asciiTheme="minorHAnsi" w:hAnsiTheme="minorHAnsi"/>
          <w:color w:val="1E293B"/>
          <w:sz w:val="20"/>
        </w:rPr>
        <w:t xml:space="preserve">Gulen MF, Samson N, Keller A, Schwabenland M, Liu C, Glück S, et al. </w:t>
      </w:r>
      <w:proofErr w:type="spellStart"/>
      <w:r w:rsidRPr="00D341D5">
        <w:rPr>
          <w:rFonts w:asciiTheme="minorHAnsi" w:hAnsiTheme="minorHAnsi"/>
          <w:color w:val="1E293B"/>
          <w:sz w:val="20"/>
        </w:rPr>
        <w:t>cGAS</w:t>
      </w:r>
      <w:proofErr w:type="spellEnd"/>
      <w:r w:rsidRPr="00D341D5">
        <w:rPr>
          <w:rFonts w:asciiTheme="minorHAnsi" w:hAnsiTheme="minorHAnsi"/>
          <w:color w:val="1E293B"/>
          <w:sz w:val="20"/>
        </w:rPr>
        <w:t xml:space="preserve">-STING drives ageing-related inflammation and neurodegeneration. Nature. 2023;620(7973):374-380. doi:10.1038/s41586-023-06373-1. </w:t>
      </w:r>
      <w:hyperlink r:id="rId48">
        <w:r w:rsidRPr="00D341D5">
          <w:rPr>
            <w:rFonts w:asciiTheme="minorHAnsi" w:hAnsiTheme="minorHAnsi"/>
            <w:color w:val="1D4ED8"/>
            <w:sz w:val="20"/>
            <w:szCs w:val="20"/>
            <w:u w:val="single"/>
          </w:rPr>
          <w:t>PMID: 37532932</w:t>
        </w:r>
      </w:hyperlink>
      <w:r w:rsidRPr="00D341D5">
        <w:rPr>
          <w:rFonts w:asciiTheme="minorHAnsi" w:hAnsiTheme="minorHAnsi"/>
          <w:color w:val="1E293B"/>
          <w:sz w:val="20"/>
        </w:rPr>
        <w:t>.</w:t>
      </w:r>
    </w:p>
    <w:p w14:paraId="67F79FAB"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39. </w:t>
      </w:r>
      <w:r w:rsidRPr="00D341D5">
        <w:rPr>
          <w:rFonts w:asciiTheme="minorHAnsi" w:hAnsiTheme="minorHAnsi"/>
          <w:color w:val="1E293B"/>
          <w:sz w:val="20"/>
        </w:rPr>
        <w:t xml:space="preserve">Haag SM, Gulen MF, Reymond L, </w:t>
      </w:r>
      <w:proofErr w:type="spellStart"/>
      <w:r w:rsidRPr="00D341D5">
        <w:rPr>
          <w:rFonts w:asciiTheme="minorHAnsi" w:hAnsiTheme="minorHAnsi"/>
          <w:color w:val="1E293B"/>
          <w:sz w:val="20"/>
        </w:rPr>
        <w:t>Gibelin</w:t>
      </w:r>
      <w:proofErr w:type="spellEnd"/>
      <w:r w:rsidRPr="00D341D5">
        <w:rPr>
          <w:rFonts w:asciiTheme="minorHAnsi" w:hAnsiTheme="minorHAnsi"/>
          <w:color w:val="1E293B"/>
          <w:sz w:val="20"/>
        </w:rPr>
        <w:t xml:space="preserve"> A, Abrami L, </w:t>
      </w:r>
      <w:proofErr w:type="spellStart"/>
      <w:r w:rsidRPr="00D341D5">
        <w:rPr>
          <w:rFonts w:asciiTheme="minorHAnsi" w:hAnsiTheme="minorHAnsi"/>
          <w:color w:val="1E293B"/>
          <w:sz w:val="20"/>
        </w:rPr>
        <w:t>Decout</w:t>
      </w:r>
      <w:proofErr w:type="spellEnd"/>
      <w:r w:rsidRPr="00D341D5">
        <w:rPr>
          <w:rFonts w:asciiTheme="minorHAnsi" w:hAnsiTheme="minorHAnsi"/>
          <w:color w:val="1E293B"/>
          <w:sz w:val="20"/>
        </w:rPr>
        <w:t xml:space="preserve"> A, et al. Targeting STING with covalent small-molecule inhibitors. Nature. 2018;559(7713):269-273. doi:10.1038/s41586-018-0287-8. </w:t>
      </w:r>
      <w:hyperlink r:id="rId49">
        <w:r w:rsidRPr="00D341D5">
          <w:rPr>
            <w:rFonts w:asciiTheme="minorHAnsi" w:hAnsiTheme="minorHAnsi"/>
            <w:color w:val="1D4ED8"/>
            <w:sz w:val="20"/>
            <w:szCs w:val="20"/>
            <w:u w:val="single"/>
          </w:rPr>
          <w:t>PMID: 29973723</w:t>
        </w:r>
      </w:hyperlink>
      <w:r w:rsidRPr="00D341D5">
        <w:rPr>
          <w:rFonts w:asciiTheme="minorHAnsi" w:hAnsiTheme="minorHAnsi"/>
          <w:color w:val="1E293B"/>
          <w:sz w:val="20"/>
        </w:rPr>
        <w:t>.</w:t>
      </w:r>
    </w:p>
    <w:p w14:paraId="21B5642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40. </w:t>
      </w:r>
      <w:r w:rsidRPr="00D341D5">
        <w:rPr>
          <w:rFonts w:asciiTheme="minorHAnsi" w:hAnsiTheme="minorHAnsi"/>
          <w:color w:val="1E293B"/>
          <w:sz w:val="20"/>
        </w:rPr>
        <w:t xml:space="preserve">Hansen AL, Buchan GJ, Rühl M, Mukai K, Salvatore SR, Ogawa E, et al. Nitro-fatty acids are formed in response to virus infection and are potent inhibitors of STING palmitoylation and signaling. Proc Natl Acad Sci U S A. 2018;115(33):E7768-E7775. doi:10.1073/pnas.1806239115. </w:t>
      </w:r>
      <w:hyperlink r:id="rId50">
        <w:r w:rsidRPr="00D341D5">
          <w:rPr>
            <w:rFonts w:asciiTheme="minorHAnsi" w:hAnsiTheme="minorHAnsi"/>
            <w:color w:val="1D4ED8"/>
            <w:sz w:val="20"/>
            <w:szCs w:val="20"/>
            <w:u w:val="single"/>
          </w:rPr>
          <w:t>PMID: 30061387</w:t>
        </w:r>
      </w:hyperlink>
      <w:r w:rsidRPr="00D341D5">
        <w:rPr>
          <w:rFonts w:asciiTheme="minorHAnsi" w:hAnsiTheme="minorHAnsi"/>
          <w:color w:val="1E293B"/>
          <w:sz w:val="20"/>
        </w:rPr>
        <w:t>.</w:t>
      </w:r>
    </w:p>
    <w:p w14:paraId="46CFD76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41. </w:t>
      </w:r>
      <w:r w:rsidRPr="00D341D5">
        <w:rPr>
          <w:rFonts w:asciiTheme="minorHAnsi" w:hAnsiTheme="minorHAnsi"/>
          <w:color w:val="1E293B"/>
          <w:sz w:val="20"/>
        </w:rPr>
        <w:t xml:space="preserve">Hastie ND. Wilms' </w:t>
      </w:r>
      <w:proofErr w:type="spellStart"/>
      <w:r w:rsidRPr="00D341D5">
        <w:rPr>
          <w:rFonts w:asciiTheme="minorHAnsi" w:hAnsiTheme="minorHAnsi"/>
          <w:color w:val="1E293B"/>
          <w:sz w:val="20"/>
        </w:rPr>
        <w:t>tumour</w:t>
      </w:r>
      <w:proofErr w:type="spellEnd"/>
      <w:r w:rsidRPr="00D341D5">
        <w:rPr>
          <w:rFonts w:asciiTheme="minorHAnsi" w:hAnsiTheme="minorHAnsi"/>
          <w:color w:val="1E293B"/>
          <w:sz w:val="20"/>
        </w:rPr>
        <w:t xml:space="preserve"> 1 (WT1) in development, homeostasis and disease. Development. 2017;144(16):2862-2872. doi:10.1242/dev.153163. </w:t>
      </w:r>
      <w:hyperlink r:id="rId51">
        <w:r w:rsidRPr="00D341D5">
          <w:rPr>
            <w:rFonts w:asciiTheme="minorHAnsi" w:hAnsiTheme="minorHAnsi"/>
            <w:color w:val="1D4ED8"/>
            <w:sz w:val="20"/>
            <w:szCs w:val="20"/>
            <w:u w:val="single"/>
          </w:rPr>
          <w:t>PMID: 28811308</w:t>
        </w:r>
      </w:hyperlink>
      <w:r w:rsidRPr="00D341D5">
        <w:rPr>
          <w:rFonts w:asciiTheme="minorHAnsi" w:hAnsiTheme="minorHAnsi"/>
          <w:color w:val="1E293B"/>
          <w:sz w:val="20"/>
        </w:rPr>
        <w:t>.</w:t>
      </w:r>
    </w:p>
    <w:p w14:paraId="2E875CD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42. </w:t>
      </w:r>
      <w:proofErr w:type="spellStart"/>
      <w:r w:rsidRPr="00D341D5">
        <w:rPr>
          <w:rFonts w:asciiTheme="minorHAnsi" w:hAnsiTheme="minorHAnsi"/>
          <w:color w:val="1E293B"/>
          <w:sz w:val="20"/>
        </w:rPr>
        <w:t>Hoenderop</w:t>
      </w:r>
      <w:proofErr w:type="spellEnd"/>
      <w:r w:rsidRPr="00D341D5">
        <w:rPr>
          <w:rFonts w:asciiTheme="minorHAnsi" w:hAnsiTheme="minorHAnsi"/>
          <w:color w:val="1E293B"/>
          <w:sz w:val="20"/>
        </w:rPr>
        <w:t xml:space="preserve"> JG, van Leeuwen JP, van der Eerden BC, Kersten FF, van der Kemp AW, </w:t>
      </w:r>
      <w:proofErr w:type="spellStart"/>
      <w:r w:rsidRPr="00D341D5">
        <w:rPr>
          <w:rFonts w:asciiTheme="minorHAnsi" w:hAnsiTheme="minorHAnsi"/>
          <w:color w:val="1E293B"/>
          <w:sz w:val="20"/>
        </w:rPr>
        <w:t>Mérillat</w:t>
      </w:r>
      <w:proofErr w:type="spellEnd"/>
      <w:r w:rsidRPr="00D341D5">
        <w:rPr>
          <w:rFonts w:asciiTheme="minorHAnsi" w:hAnsiTheme="minorHAnsi"/>
          <w:color w:val="1E293B"/>
          <w:sz w:val="20"/>
        </w:rPr>
        <w:t xml:space="preserve"> AM, et al. Renal Ca2+ wasting, hyperabsorption, and reduced bone thickness in mice lacking TRPV5. J Clin Invest. 2003;112(12):1906-1914. doi:10.1172/JCI19826. </w:t>
      </w:r>
      <w:hyperlink r:id="rId52">
        <w:r w:rsidRPr="00D341D5">
          <w:rPr>
            <w:rFonts w:asciiTheme="minorHAnsi" w:hAnsiTheme="minorHAnsi"/>
            <w:color w:val="1D4ED8"/>
            <w:sz w:val="20"/>
            <w:szCs w:val="20"/>
            <w:u w:val="single"/>
          </w:rPr>
          <w:t>PMID: 14679186</w:t>
        </w:r>
      </w:hyperlink>
      <w:r w:rsidRPr="00D341D5">
        <w:rPr>
          <w:rFonts w:asciiTheme="minorHAnsi" w:hAnsiTheme="minorHAnsi"/>
          <w:color w:val="1E293B"/>
          <w:sz w:val="20"/>
        </w:rPr>
        <w:t>.</w:t>
      </w:r>
    </w:p>
    <w:p w14:paraId="1A017674"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43. </w:t>
      </w:r>
      <w:r w:rsidRPr="00D341D5">
        <w:rPr>
          <w:rFonts w:asciiTheme="minorHAnsi" w:hAnsiTheme="minorHAnsi"/>
          <w:color w:val="1E293B"/>
          <w:sz w:val="20"/>
        </w:rPr>
        <w:t xml:space="preserve">Mylonas KJ, O'Sullivan ED, Humphries D, Baird DP, Docherty MH, Neely SA, et al. Cellular senescence inhibits renal regeneration after injury in mice, with senolytic treatment promoting repair. Sci </w:t>
      </w:r>
      <w:proofErr w:type="spellStart"/>
      <w:r w:rsidRPr="00D341D5">
        <w:rPr>
          <w:rFonts w:asciiTheme="minorHAnsi" w:hAnsiTheme="minorHAnsi"/>
          <w:color w:val="1E293B"/>
          <w:sz w:val="20"/>
        </w:rPr>
        <w:t>Transl</w:t>
      </w:r>
      <w:proofErr w:type="spellEnd"/>
      <w:r w:rsidRPr="00D341D5">
        <w:rPr>
          <w:rFonts w:asciiTheme="minorHAnsi" w:hAnsiTheme="minorHAnsi"/>
          <w:color w:val="1E293B"/>
          <w:sz w:val="20"/>
        </w:rPr>
        <w:t xml:space="preserve"> Med. 2021;13(594):eabb0203. doi:10.1126/scitranslmed.abb0203. </w:t>
      </w:r>
      <w:hyperlink r:id="rId53">
        <w:r w:rsidRPr="00D341D5">
          <w:rPr>
            <w:rFonts w:asciiTheme="minorHAnsi" w:hAnsiTheme="minorHAnsi"/>
            <w:color w:val="1D4ED8"/>
            <w:sz w:val="20"/>
            <w:szCs w:val="20"/>
            <w:u w:val="single"/>
          </w:rPr>
          <w:t>PMID: 34011625</w:t>
        </w:r>
      </w:hyperlink>
      <w:r w:rsidRPr="00D341D5">
        <w:rPr>
          <w:rFonts w:asciiTheme="minorHAnsi" w:hAnsiTheme="minorHAnsi"/>
          <w:color w:val="1E293B"/>
          <w:sz w:val="20"/>
        </w:rPr>
        <w:t>.</w:t>
      </w:r>
    </w:p>
    <w:p w14:paraId="452A0B85"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44. </w:t>
      </w:r>
      <w:r w:rsidRPr="00D341D5">
        <w:rPr>
          <w:rFonts w:asciiTheme="minorHAnsi" w:hAnsiTheme="minorHAnsi"/>
          <w:color w:val="1E293B"/>
          <w:sz w:val="20"/>
        </w:rPr>
        <w:t xml:space="preserve">Weigert A, Hoppe B. Nephrolithiasis and Nephrocalcinosis in Childhood—Risk Factor-Related Current and Future Treatment Options. Front </w:t>
      </w:r>
      <w:proofErr w:type="spellStart"/>
      <w:r w:rsidRPr="00D341D5">
        <w:rPr>
          <w:rFonts w:asciiTheme="minorHAnsi" w:hAnsiTheme="minorHAnsi"/>
          <w:color w:val="1E293B"/>
          <w:sz w:val="20"/>
        </w:rPr>
        <w:t>Pediatr</w:t>
      </w:r>
      <w:proofErr w:type="spellEnd"/>
      <w:r w:rsidRPr="00D341D5">
        <w:rPr>
          <w:rFonts w:asciiTheme="minorHAnsi" w:hAnsiTheme="minorHAnsi"/>
          <w:color w:val="1E293B"/>
          <w:sz w:val="20"/>
        </w:rPr>
        <w:t xml:space="preserve">. 2018;6:98. doi:10.3389/fped.2018.00098. </w:t>
      </w:r>
      <w:hyperlink r:id="rId54">
        <w:r w:rsidRPr="00D341D5">
          <w:rPr>
            <w:rFonts w:asciiTheme="minorHAnsi" w:hAnsiTheme="minorHAnsi"/>
            <w:color w:val="1D4ED8"/>
            <w:sz w:val="20"/>
            <w:szCs w:val="20"/>
            <w:u w:val="single"/>
          </w:rPr>
          <w:t>PMID: 29707529</w:t>
        </w:r>
      </w:hyperlink>
      <w:r w:rsidRPr="00D341D5">
        <w:rPr>
          <w:rFonts w:asciiTheme="minorHAnsi" w:hAnsiTheme="minorHAnsi"/>
          <w:color w:val="1E293B"/>
          <w:sz w:val="20"/>
        </w:rPr>
        <w:t>.</w:t>
      </w:r>
    </w:p>
    <w:p w14:paraId="7908BCD0"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45. </w:t>
      </w:r>
      <w:r w:rsidRPr="00D341D5">
        <w:rPr>
          <w:rFonts w:asciiTheme="minorHAnsi" w:hAnsiTheme="minorHAnsi"/>
          <w:color w:val="1E293B"/>
          <w:sz w:val="20"/>
        </w:rPr>
        <w:t xml:space="preserve">Groothoff JW, Metry E, </w:t>
      </w:r>
      <w:proofErr w:type="spellStart"/>
      <w:r w:rsidRPr="00D341D5">
        <w:rPr>
          <w:rFonts w:asciiTheme="minorHAnsi" w:hAnsiTheme="minorHAnsi"/>
          <w:color w:val="1E293B"/>
          <w:sz w:val="20"/>
        </w:rPr>
        <w:t>Deesker</w:t>
      </w:r>
      <w:proofErr w:type="spellEnd"/>
      <w:r w:rsidRPr="00D341D5">
        <w:rPr>
          <w:rFonts w:asciiTheme="minorHAnsi" w:hAnsiTheme="minorHAnsi"/>
          <w:color w:val="1E293B"/>
          <w:sz w:val="20"/>
        </w:rPr>
        <w:t xml:space="preserve"> L, </w:t>
      </w:r>
      <w:proofErr w:type="spellStart"/>
      <w:r w:rsidRPr="00D341D5">
        <w:rPr>
          <w:rFonts w:asciiTheme="minorHAnsi" w:hAnsiTheme="minorHAnsi"/>
          <w:color w:val="1E293B"/>
          <w:sz w:val="20"/>
        </w:rPr>
        <w:t>Garrelfs</w:t>
      </w:r>
      <w:proofErr w:type="spellEnd"/>
      <w:r w:rsidRPr="00D341D5">
        <w:rPr>
          <w:rFonts w:asciiTheme="minorHAnsi" w:hAnsiTheme="minorHAnsi"/>
          <w:color w:val="1E293B"/>
          <w:sz w:val="20"/>
        </w:rPr>
        <w:t xml:space="preserve"> SF, Acquaviva C, </w:t>
      </w:r>
      <w:proofErr w:type="spellStart"/>
      <w:r w:rsidRPr="00D341D5">
        <w:rPr>
          <w:rFonts w:asciiTheme="minorHAnsi" w:hAnsiTheme="minorHAnsi"/>
          <w:color w:val="1E293B"/>
          <w:sz w:val="20"/>
        </w:rPr>
        <w:t>Almardini</w:t>
      </w:r>
      <w:proofErr w:type="spellEnd"/>
      <w:r w:rsidRPr="00D341D5">
        <w:rPr>
          <w:rFonts w:asciiTheme="minorHAnsi" w:hAnsiTheme="minorHAnsi"/>
          <w:color w:val="1E293B"/>
          <w:sz w:val="20"/>
        </w:rPr>
        <w:t xml:space="preserve"> R, et al. Clinical practice recommendations for primary hyperoxaluria: an expert consensus statement from </w:t>
      </w:r>
      <w:proofErr w:type="spellStart"/>
      <w:r w:rsidRPr="00D341D5">
        <w:rPr>
          <w:rFonts w:asciiTheme="minorHAnsi" w:hAnsiTheme="minorHAnsi"/>
          <w:color w:val="1E293B"/>
          <w:sz w:val="20"/>
        </w:rPr>
        <w:t>ERKNet</w:t>
      </w:r>
      <w:proofErr w:type="spellEnd"/>
      <w:r w:rsidRPr="00D341D5">
        <w:rPr>
          <w:rFonts w:asciiTheme="minorHAnsi" w:hAnsiTheme="minorHAnsi"/>
          <w:color w:val="1E293B"/>
          <w:sz w:val="20"/>
        </w:rPr>
        <w:t xml:space="preserve"> and </w:t>
      </w:r>
      <w:proofErr w:type="spellStart"/>
      <w:r w:rsidRPr="00D341D5">
        <w:rPr>
          <w:rFonts w:asciiTheme="minorHAnsi" w:hAnsiTheme="minorHAnsi"/>
          <w:color w:val="1E293B"/>
          <w:sz w:val="20"/>
        </w:rPr>
        <w:t>OxalEurope</w:t>
      </w:r>
      <w:proofErr w:type="spellEnd"/>
      <w:r w:rsidRPr="00D341D5">
        <w:rPr>
          <w:rFonts w:asciiTheme="minorHAnsi" w:hAnsiTheme="minorHAnsi"/>
          <w:color w:val="1E293B"/>
          <w:sz w:val="20"/>
        </w:rPr>
        <w:t xml:space="preserve">. Nat Rev Nephrol. 2023;19(3):194-211. doi:10.1038/s41581-022-00661-1. </w:t>
      </w:r>
      <w:hyperlink r:id="rId55">
        <w:r w:rsidRPr="00D341D5">
          <w:rPr>
            <w:rFonts w:asciiTheme="minorHAnsi" w:hAnsiTheme="minorHAnsi"/>
            <w:color w:val="1D4ED8"/>
            <w:sz w:val="20"/>
            <w:szCs w:val="20"/>
            <w:u w:val="single"/>
          </w:rPr>
          <w:t>PMID: 36604599</w:t>
        </w:r>
      </w:hyperlink>
      <w:r w:rsidRPr="00D341D5">
        <w:rPr>
          <w:rFonts w:asciiTheme="minorHAnsi" w:hAnsiTheme="minorHAnsi"/>
          <w:color w:val="1E293B"/>
          <w:sz w:val="20"/>
        </w:rPr>
        <w:t>.</w:t>
      </w:r>
    </w:p>
    <w:p w14:paraId="5F406D0C"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46. </w:t>
      </w:r>
      <w:proofErr w:type="spellStart"/>
      <w:r w:rsidRPr="00D341D5">
        <w:rPr>
          <w:rFonts w:asciiTheme="minorHAnsi" w:hAnsiTheme="minorHAnsi"/>
          <w:color w:val="1E293B"/>
          <w:sz w:val="20"/>
        </w:rPr>
        <w:t>Cochat</w:t>
      </w:r>
      <w:proofErr w:type="spellEnd"/>
      <w:r w:rsidRPr="00D341D5">
        <w:rPr>
          <w:rFonts w:asciiTheme="minorHAnsi" w:hAnsiTheme="minorHAnsi"/>
          <w:color w:val="1E293B"/>
          <w:sz w:val="20"/>
        </w:rPr>
        <w:t xml:space="preserve"> P, Hulton SA, Acquaviva C, </w:t>
      </w:r>
      <w:proofErr w:type="spellStart"/>
      <w:r w:rsidRPr="00D341D5">
        <w:rPr>
          <w:rFonts w:asciiTheme="minorHAnsi" w:hAnsiTheme="minorHAnsi"/>
          <w:color w:val="1E293B"/>
          <w:sz w:val="20"/>
        </w:rPr>
        <w:t>Danpure</w:t>
      </w:r>
      <w:proofErr w:type="spellEnd"/>
      <w:r w:rsidRPr="00D341D5">
        <w:rPr>
          <w:rFonts w:asciiTheme="minorHAnsi" w:hAnsiTheme="minorHAnsi"/>
          <w:color w:val="1E293B"/>
          <w:sz w:val="20"/>
        </w:rPr>
        <w:t xml:space="preserve"> CJ, Daudon M, De Marchi M, et al. Primary hyperoxaluria Type 1: indications for screening and guidance for diagnosis and treatment. Nephrol Dial Transplant. 2012;27(5):1729-1736. doi:10.1093/</w:t>
      </w:r>
      <w:proofErr w:type="spellStart"/>
      <w:r w:rsidRPr="00D341D5">
        <w:rPr>
          <w:rFonts w:asciiTheme="minorHAnsi" w:hAnsiTheme="minorHAnsi"/>
          <w:color w:val="1E293B"/>
          <w:sz w:val="20"/>
        </w:rPr>
        <w:t>ndt</w:t>
      </w:r>
      <w:proofErr w:type="spellEnd"/>
      <w:r w:rsidRPr="00D341D5">
        <w:rPr>
          <w:rFonts w:asciiTheme="minorHAnsi" w:hAnsiTheme="minorHAnsi"/>
          <w:color w:val="1E293B"/>
          <w:sz w:val="20"/>
        </w:rPr>
        <w:t xml:space="preserve">/gfs078. </w:t>
      </w:r>
      <w:hyperlink r:id="rId56">
        <w:r w:rsidRPr="00D341D5">
          <w:rPr>
            <w:rFonts w:asciiTheme="minorHAnsi" w:hAnsiTheme="minorHAnsi"/>
            <w:color w:val="1D4ED8"/>
            <w:sz w:val="20"/>
            <w:szCs w:val="20"/>
            <w:u w:val="single"/>
          </w:rPr>
          <w:t>PMID: 22547750</w:t>
        </w:r>
      </w:hyperlink>
      <w:r w:rsidRPr="00D341D5">
        <w:rPr>
          <w:rFonts w:asciiTheme="minorHAnsi" w:hAnsiTheme="minorHAnsi"/>
          <w:color w:val="1E293B"/>
          <w:sz w:val="20"/>
        </w:rPr>
        <w:t>.</w:t>
      </w:r>
    </w:p>
    <w:p w14:paraId="45A45E5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47. </w:t>
      </w:r>
      <w:r w:rsidRPr="00D341D5">
        <w:rPr>
          <w:rFonts w:asciiTheme="minorHAnsi" w:hAnsiTheme="minorHAnsi"/>
          <w:color w:val="1E293B"/>
          <w:sz w:val="20"/>
        </w:rPr>
        <w:t xml:space="preserve">Dastagir N, Liebsch C, Kutz J, Wronski S, Pich A, Obed D, et al. Identification of antimicrobial peptides from the Ambystoma mexicanum displaying antibacterial and antitumor activity. </w:t>
      </w:r>
      <w:proofErr w:type="spellStart"/>
      <w:r w:rsidRPr="00D341D5">
        <w:rPr>
          <w:rFonts w:asciiTheme="minorHAnsi" w:hAnsiTheme="minorHAnsi"/>
          <w:color w:val="1E293B"/>
          <w:sz w:val="20"/>
        </w:rPr>
        <w:t>PLoS</w:t>
      </w:r>
      <w:proofErr w:type="spellEnd"/>
      <w:r w:rsidRPr="00D341D5">
        <w:rPr>
          <w:rFonts w:asciiTheme="minorHAnsi" w:hAnsiTheme="minorHAnsi"/>
          <w:color w:val="1E293B"/>
          <w:sz w:val="20"/>
        </w:rPr>
        <w:t xml:space="preserve"> One. 2025;20(3):e0316257. doi:10.1371/journal.pone.0316257. </w:t>
      </w:r>
      <w:hyperlink r:id="rId57">
        <w:r w:rsidRPr="00D341D5">
          <w:rPr>
            <w:rFonts w:asciiTheme="minorHAnsi" w:hAnsiTheme="minorHAnsi"/>
            <w:color w:val="1D4ED8"/>
            <w:sz w:val="20"/>
            <w:szCs w:val="20"/>
            <w:u w:val="single"/>
          </w:rPr>
          <w:t>PMID: 40043049</w:t>
        </w:r>
      </w:hyperlink>
      <w:r w:rsidRPr="00D341D5">
        <w:rPr>
          <w:rFonts w:asciiTheme="minorHAnsi" w:hAnsiTheme="minorHAnsi"/>
          <w:color w:val="1E293B"/>
          <w:sz w:val="20"/>
        </w:rPr>
        <w:t>.</w:t>
      </w:r>
    </w:p>
    <w:p w14:paraId="4DC52366"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48. </w:t>
      </w:r>
      <w:proofErr w:type="spellStart"/>
      <w:r w:rsidRPr="00D341D5">
        <w:rPr>
          <w:rFonts w:asciiTheme="minorHAnsi" w:hAnsiTheme="minorHAnsi"/>
          <w:color w:val="1E293B"/>
          <w:sz w:val="20"/>
        </w:rPr>
        <w:t>Umbricht</w:t>
      </w:r>
      <w:proofErr w:type="spellEnd"/>
      <w:r w:rsidRPr="00D341D5">
        <w:rPr>
          <w:rFonts w:asciiTheme="minorHAnsi" w:hAnsiTheme="minorHAnsi"/>
          <w:color w:val="1E293B"/>
          <w:sz w:val="20"/>
        </w:rPr>
        <w:t xml:space="preserve"> CB, Evron E, Gabrielson E, Ferguson A, Marks J, Sukumar S. Hypermethylation of 14-3-3 sigma (</w:t>
      </w:r>
      <w:proofErr w:type="spellStart"/>
      <w:r w:rsidRPr="00D341D5">
        <w:rPr>
          <w:rFonts w:asciiTheme="minorHAnsi" w:hAnsiTheme="minorHAnsi"/>
          <w:color w:val="1E293B"/>
          <w:sz w:val="20"/>
        </w:rPr>
        <w:t>stratifin</w:t>
      </w:r>
      <w:proofErr w:type="spellEnd"/>
      <w:r w:rsidRPr="00D341D5">
        <w:rPr>
          <w:rFonts w:asciiTheme="minorHAnsi" w:hAnsiTheme="minorHAnsi"/>
          <w:color w:val="1E293B"/>
          <w:sz w:val="20"/>
        </w:rPr>
        <w:t xml:space="preserve">) is an early event in breast cancer. Oncogene. 2001;20(26):3348-3353. doi:10.1038/sj.onc.1204438. </w:t>
      </w:r>
      <w:hyperlink r:id="rId58">
        <w:r w:rsidRPr="00D341D5">
          <w:rPr>
            <w:rFonts w:asciiTheme="minorHAnsi" w:hAnsiTheme="minorHAnsi"/>
            <w:color w:val="1D4ED8"/>
            <w:sz w:val="20"/>
            <w:szCs w:val="20"/>
            <w:u w:val="single"/>
          </w:rPr>
          <w:t>PMID: 11423985</w:t>
        </w:r>
      </w:hyperlink>
      <w:r w:rsidRPr="00D341D5">
        <w:rPr>
          <w:rFonts w:asciiTheme="minorHAnsi" w:hAnsiTheme="minorHAnsi"/>
          <w:color w:val="1E293B"/>
          <w:sz w:val="20"/>
        </w:rPr>
        <w:t>.</w:t>
      </w:r>
    </w:p>
    <w:p w14:paraId="1EEBE56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49. </w:t>
      </w:r>
      <w:r w:rsidRPr="00D341D5">
        <w:rPr>
          <w:rFonts w:asciiTheme="minorHAnsi" w:hAnsiTheme="minorHAnsi"/>
          <w:color w:val="1E293B"/>
          <w:sz w:val="20"/>
        </w:rPr>
        <w:t xml:space="preserve">Jiang Z, Jones R, Liu JC, Deng T, Robinson T, Chung PED, et al. RB1 and p53 at the crossroad of EMT and triple-negative breast cancer. Cell Cycle. 2011;10(10):1563-1570. doi:10.4161/cc.10.10.15703. </w:t>
      </w:r>
      <w:hyperlink r:id="rId59">
        <w:r w:rsidRPr="00D341D5">
          <w:rPr>
            <w:rFonts w:asciiTheme="minorHAnsi" w:hAnsiTheme="minorHAnsi"/>
            <w:color w:val="1D4ED8"/>
            <w:sz w:val="20"/>
            <w:szCs w:val="20"/>
            <w:u w:val="single"/>
          </w:rPr>
          <w:t>PMID: 21502814</w:t>
        </w:r>
      </w:hyperlink>
      <w:r w:rsidRPr="00D341D5">
        <w:rPr>
          <w:rFonts w:asciiTheme="minorHAnsi" w:hAnsiTheme="minorHAnsi"/>
          <w:color w:val="1E293B"/>
          <w:sz w:val="20"/>
        </w:rPr>
        <w:t>.</w:t>
      </w:r>
    </w:p>
    <w:p w14:paraId="5ACDA3F2"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50. </w:t>
      </w:r>
      <w:r w:rsidRPr="00D341D5">
        <w:rPr>
          <w:rFonts w:asciiTheme="minorHAnsi" w:hAnsiTheme="minorHAnsi"/>
          <w:color w:val="1E293B"/>
          <w:sz w:val="20"/>
        </w:rPr>
        <w:t xml:space="preserve">Temme K, Zhao D, Voigt CA. Refactoring the nitrogen fixation gene cluster from Klebsiella </w:t>
      </w:r>
      <w:proofErr w:type="spellStart"/>
      <w:r w:rsidRPr="00D341D5">
        <w:rPr>
          <w:rFonts w:asciiTheme="minorHAnsi" w:hAnsiTheme="minorHAnsi"/>
          <w:color w:val="1E293B"/>
          <w:sz w:val="20"/>
        </w:rPr>
        <w:t>oxytoca</w:t>
      </w:r>
      <w:proofErr w:type="spellEnd"/>
      <w:r w:rsidRPr="00D341D5">
        <w:rPr>
          <w:rFonts w:asciiTheme="minorHAnsi" w:hAnsiTheme="minorHAnsi"/>
          <w:color w:val="1E293B"/>
          <w:sz w:val="20"/>
        </w:rPr>
        <w:t xml:space="preserve">. Proc Natl Acad Sci U S A. 2012;109(18):7085-7090. doi:10.1073/pnas.1120788109. </w:t>
      </w:r>
      <w:hyperlink r:id="rId60">
        <w:r w:rsidRPr="00D341D5">
          <w:rPr>
            <w:rFonts w:asciiTheme="minorHAnsi" w:hAnsiTheme="minorHAnsi"/>
            <w:color w:val="1D4ED8"/>
            <w:sz w:val="20"/>
            <w:szCs w:val="20"/>
            <w:u w:val="single"/>
          </w:rPr>
          <w:t>PMID: 22509035</w:t>
        </w:r>
      </w:hyperlink>
      <w:r w:rsidRPr="00D341D5">
        <w:rPr>
          <w:rFonts w:asciiTheme="minorHAnsi" w:hAnsiTheme="minorHAnsi"/>
          <w:color w:val="1E293B"/>
          <w:sz w:val="20"/>
        </w:rPr>
        <w:t>.</w:t>
      </w:r>
    </w:p>
    <w:p w14:paraId="1E1765D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51. </w:t>
      </w:r>
      <w:proofErr w:type="spellStart"/>
      <w:r w:rsidRPr="00D341D5">
        <w:rPr>
          <w:rFonts w:asciiTheme="minorHAnsi" w:hAnsiTheme="minorHAnsi"/>
          <w:color w:val="1E293B"/>
          <w:sz w:val="20"/>
        </w:rPr>
        <w:t>Frangoul</w:t>
      </w:r>
      <w:proofErr w:type="spellEnd"/>
      <w:r w:rsidRPr="00D341D5">
        <w:rPr>
          <w:rFonts w:asciiTheme="minorHAnsi" w:hAnsiTheme="minorHAnsi"/>
          <w:color w:val="1E293B"/>
          <w:sz w:val="20"/>
        </w:rPr>
        <w:t xml:space="preserve"> H, Altshuler D, Cappellini MD, Chen YS, Domm J, Eustace BK, et al. CRISPR-Cas9 Gene Editing for Sickle Cell Disease and β-Thalassemia. N Engl J Med. 2021;384(3):252-260. doi:10.1056/NEJMoa2031054. </w:t>
      </w:r>
      <w:hyperlink r:id="rId61">
        <w:r w:rsidRPr="00D341D5">
          <w:rPr>
            <w:rFonts w:asciiTheme="minorHAnsi" w:hAnsiTheme="minorHAnsi"/>
            <w:color w:val="1D4ED8"/>
            <w:sz w:val="20"/>
            <w:szCs w:val="20"/>
            <w:u w:val="single"/>
          </w:rPr>
          <w:t>PMID: 33283989</w:t>
        </w:r>
      </w:hyperlink>
      <w:r w:rsidRPr="00D341D5">
        <w:rPr>
          <w:rFonts w:asciiTheme="minorHAnsi" w:hAnsiTheme="minorHAnsi"/>
          <w:color w:val="1E293B"/>
          <w:sz w:val="20"/>
        </w:rPr>
        <w:t>.</w:t>
      </w:r>
    </w:p>
    <w:p w14:paraId="02AAA44E"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52. </w:t>
      </w:r>
      <w:r w:rsidRPr="00D341D5">
        <w:rPr>
          <w:rFonts w:asciiTheme="minorHAnsi" w:hAnsiTheme="minorHAnsi"/>
          <w:color w:val="1E293B"/>
          <w:sz w:val="20"/>
        </w:rPr>
        <w:t xml:space="preserve">Leibowitz ML, Papathanasiou S, Doerfler PA, Blaine LJ, Sun L, Yao Y, et al. </w:t>
      </w:r>
      <w:proofErr w:type="spellStart"/>
      <w:r w:rsidRPr="00D341D5">
        <w:rPr>
          <w:rFonts w:asciiTheme="minorHAnsi" w:hAnsiTheme="minorHAnsi"/>
          <w:color w:val="1E293B"/>
          <w:sz w:val="20"/>
        </w:rPr>
        <w:t>Chromothripsis</w:t>
      </w:r>
      <w:proofErr w:type="spellEnd"/>
      <w:r w:rsidRPr="00D341D5">
        <w:rPr>
          <w:rFonts w:asciiTheme="minorHAnsi" w:hAnsiTheme="minorHAnsi"/>
          <w:color w:val="1E293B"/>
          <w:sz w:val="20"/>
        </w:rPr>
        <w:t xml:space="preserve"> as an on-target consequence of CRISPR-Cas9 genome editing. Nat Genet. 2021;53(6):895-905. doi:10.1038/s41588-021-00838-7. </w:t>
      </w:r>
      <w:hyperlink r:id="rId62">
        <w:r w:rsidRPr="00D341D5">
          <w:rPr>
            <w:rFonts w:asciiTheme="minorHAnsi" w:hAnsiTheme="minorHAnsi"/>
            <w:color w:val="1D4ED8"/>
            <w:sz w:val="20"/>
            <w:szCs w:val="20"/>
            <w:u w:val="single"/>
          </w:rPr>
          <w:t>PMID: 33846636</w:t>
        </w:r>
      </w:hyperlink>
      <w:r w:rsidRPr="00D341D5">
        <w:rPr>
          <w:rFonts w:asciiTheme="minorHAnsi" w:hAnsiTheme="minorHAnsi"/>
          <w:color w:val="1E293B"/>
          <w:sz w:val="20"/>
        </w:rPr>
        <w:t>.</w:t>
      </w:r>
    </w:p>
    <w:p w14:paraId="676DE47A"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53. </w:t>
      </w:r>
      <w:proofErr w:type="spellStart"/>
      <w:r w:rsidRPr="00D341D5">
        <w:rPr>
          <w:rFonts w:asciiTheme="minorHAnsi" w:hAnsiTheme="minorHAnsi"/>
          <w:color w:val="1E293B"/>
          <w:sz w:val="20"/>
        </w:rPr>
        <w:t>Gaudelli</w:t>
      </w:r>
      <w:proofErr w:type="spellEnd"/>
      <w:r w:rsidRPr="00D341D5">
        <w:rPr>
          <w:rFonts w:asciiTheme="minorHAnsi" w:hAnsiTheme="minorHAnsi"/>
          <w:color w:val="1E293B"/>
          <w:sz w:val="20"/>
        </w:rPr>
        <w:t xml:space="preserve"> NM, Komor AC, Rees HA, Packer MS, Badran AH, Bryson DI, et al. Programmable base editing of A•T to G•C in genomic DNA without DNA cleavage. Nature. 2017;551(7681):464-471. doi:10.1038/nature24644. </w:t>
      </w:r>
      <w:hyperlink r:id="rId63">
        <w:r w:rsidRPr="00D341D5">
          <w:rPr>
            <w:rFonts w:asciiTheme="minorHAnsi" w:hAnsiTheme="minorHAnsi"/>
            <w:color w:val="1D4ED8"/>
            <w:sz w:val="20"/>
            <w:szCs w:val="20"/>
            <w:u w:val="single"/>
          </w:rPr>
          <w:t>PMID: 29160308</w:t>
        </w:r>
      </w:hyperlink>
      <w:r w:rsidRPr="00D341D5">
        <w:rPr>
          <w:rFonts w:asciiTheme="minorHAnsi" w:hAnsiTheme="minorHAnsi"/>
          <w:color w:val="1E293B"/>
          <w:sz w:val="20"/>
        </w:rPr>
        <w:t>.</w:t>
      </w:r>
    </w:p>
    <w:p w14:paraId="7DE31999"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lastRenderedPageBreak/>
        <w:t xml:space="preserve">54. </w:t>
      </w:r>
      <w:r w:rsidRPr="00D341D5">
        <w:rPr>
          <w:rFonts w:asciiTheme="minorHAnsi" w:hAnsiTheme="minorHAnsi"/>
          <w:color w:val="1E293B"/>
          <w:sz w:val="20"/>
        </w:rPr>
        <w:t xml:space="preserve">Anzalone AV, Randolph PB, Davis JR, Sousa AA, </w:t>
      </w:r>
      <w:proofErr w:type="spellStart"/>
      <w:r w:rsidRPr="00D341D5">
        <w:rPr>
          <w:rFonts w:asciiTheme="minorHAnsi" w:hAnsiTheme="minorHAnsi"/>
          <w:color w:val="1E293B"/>
          <w:sz w:val="20"/>
        </w:rPr>
        <w:t>Koblan</w:t>
      </w:r>
      <w:proofErr w:type="spellEnd"/>
      <w:r w:rsidRPr="00D341D5">
        <w:rPr>
          <w:rFonts w:asciiTheme="minorHAnsi" w:hAnsiTheme="minorHAnsi"/>
          <w:color w:val="1E293B"/>
          <w:sz w:val="20"/>
        </w:rPr>
        <w:t xml:space="preserve"> LW, Levy JM, et al. Search-and-replace genome editing without double-strand breaks or donor DNA. Nature. 2019;576(7785):149-157. doi:10.1038/s41586-019-1711-4. </w:t>
      </w:r>
      <w:hyperlink r:id="rId64">
        <w:r w:rsidRPr="00D341D5">
          <w:rPr>
            <w:rFonts w:asciiTheme="minorHAnsi" w:hAnsiTheme="minorHAnsi"/>
            <w:color w:val="1D4ED8"/>
            <w:sz w:val="20"/>
            <w:szCs w:val="20"/>
            <w:u w:val="single"/>
          </w:rPr>
          <w:t>PMID: 31634902</w:t>
        </w:r>
      </w:hyperlink>
      <w:r w:rsidRPr="00D341D5">
        <w:rPr>
          <w:rFonts w:asciiTheme="minorHAnsi" w:hAnsiTheme="minorHAnsi"/>
          <w:color w:val="1E293B"/>
          <w:sz w:val="20"/>
        </w:rPr>
        <w:t>.</w:t>
      </w:r>
    </w:p>
    <w:p w14:paraId="0C5A0E6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55. </w:t>
      </w:r>
      <w:r w:rsidRPr="00D341D5">
        <w:rPr>
          <w:rFonts w:asciiTheme="minorHAnsi" w:hAnsiTheme="minorHAnsi"/>
          <w:color w:val="1E293B"/>
          <w:sz w:val="20"/>
        </w:rPr>
        <w:t xml:space="preserve">Baker DJ, </w:t>
      </w:r>
      <w:proofErr w:type="spellStart"/>
      <w:r w:rsidRPr="00D341D5">
        <w:rPr>
          <w:rFonts w:asciiTheme="minorHAnsi" w:hAnsiTheme="minorHAnsi"/>
          <w:color w:val="1E293B"/>
          <w:sz w:val="20"/>
        </w:rPr>
        <w:t>Dawlaty</w:t>
      </w:r>
      <w:proofErr w:type="spellEnd"/>
      <w:r w:rsidRPr="00D341D5">
        <w:rPr>
          <w:rFonts w:asciiTheme="minorHAnsi" w:hAnsiTheme="minorHAnsi"/>
          <w:color w:val="1E293B"/>
          <w:sz w:val="20"/>
        </w:rPr>
        <w:t xml:space="preserve"> MM, </w:t>
      </w:r>
      <w:proofErr w:type="spellStart"/>
      <w:r w:rsidRPr="00D341D5">
        <w:rPr>
          <w:rFonts w:asciiTheme="minorHAnsi" w:hAnsiTheme="minorHAnsi"/>
          <w:color w:val="1E293B"/>
          <w:sz w:val="20"/>
        </w:rPr>
        <w:t>Wijshake</w:t>
      </w:r>
      <w:proofErr w:type="spellEnd"/>
      <w:r w:rsidRPr="00D341D5">
        <w:rPr>
          <w:rFonts w:asciiTheme="minorHAnsi" w:hAnsiTheme="minorHAnsi"/>
          <w:color w:val="1E293B"/>
          <w:sz w:val="20"/>
        </w:rPr>
        <w:t xml:space="preserve"> T, Jeganathan KB, </w:t>
      </w:r>
      <w:proofErr w:type="spellStart"/>
      <w:r w:rsidRPr="00D341D5">
        <w:rPr>
          <w:rFonts w:asciiTheme="minorHAnsi" w:hAnsiTheme="minorHAnsi"/>
          <w:color w:val="1E293B"/>
          <w:sz w:val="20"/>
        </w:rPr>
        <w:t>Malureanu</w:t>
      </w:r>
      <w:proofErr w:type="spellEnd"/>
      <w:r w:rsidRPr="00D341D5">
        <w:rPr>
          <w:rFonts w:asciiTheme="minorHAnsi" w:hAnsiTheme="minorHAnsi"/>
          <w:color w:val="1E293B"/>
          <w:sz w:val="20"/>
        </w:rPr>
        <w:t xml:space="preserve"> L, van Ree JH, et al. Increased expression of BubR1 protects against aneuploidy and cancer and extends healthy lifespan. Nat Cell Biol. 2013;15(1):96-102. doi:10.1038/ncb2643. </w:t>
      </w:r>
      <w:hyperlink r:id="rId65">
        <w:r w:rsidRPr="00D341D5">
          <w:rPr>
            <w:rFonts w:asciiTheme="minorHAnsi" w:hAnsiTheme="minorHAnsi"/>
            <w:color w:val="1D4ED8"/>
            <w:sz w:val="20"/>
            <w:szCs w:val="20"/>
            <w:u w:val="single"/>
          </w:rPr>
          <w:t>PMID: 23242215</w:t>
        </w:r>
      </w:hyperlink>
      <w:r w:rsidRPr="00D341D5">
        <w:rPr>
          <w:rFonts w:asciiTheme="minorHAnsi" w:hAnsiTheme="minorHAnsi"/>
          <w:color w:val="1E293B"/>
          <w:sz w:val="20"/>
        </w:rPr>
        <w:t>.</w:t>
      </w:r>
    </w:p>
    <w:p w14:paraId="75E736CB"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56. </w:t>
      </w:r>
      <w:r w:rsidRPr="00D341D5">
        <w:rPr>
          <w:rFonts w:asciiTheme="minorHAnsi" w:hAnsiTheme="minorHAnsi"/>
          <w:color w:val="1E293B"/>
          <w:sz w:val="20"/>
        </w:rPr>
        <w:t xml:space="preserve">Matharu N, </w:t>
      </w:r>
      <w:proofErr w:type="spellStart"/>
      <w:r w:rsidRPr="00D341D5">
        <w:rPr>
          <w:rFonts w:asciiTheme="minorHAnsi" w:hAnsiTheme="minorHAnsi"/>
          <w:color w:val="1E293B"/>
          <w:sz w:val="20"/>
        </w:rPr>
        <w:t>Rattanasopha</w:t>
      </w:r>
      <w:proofErr w:type="spellEnd"/>
      <w:r w:rsidRPr="00D341D5">
        <w:rPr>
          <w:rFonts w:asciiTheme="minorHAnsi" w:hAnsiTheme="minorHAnsi"/>
          <w:color w:val="1E293B"/>
          <w:sz w:val="20"/>
        </w:rPr>
        <w:t xml:space="preserve"> S, Tamura S, </w:t>
      </w:r>
      <w:proofErr w:type="spellStart"/>
      <w:r w:rsidRPr="00D341D5">
        <w:rPr>
          <w:rFonts w:asciiTheme="minorHAnsi" w:hAnsiTheme="minorHAnsi"/>
          <w:color w:val="1E293B"/>
          <w:sz w:val="20"/>
        </w:rPr>
        <w:t>Maliskova</w:t>
      </w:r>
      <w:proofErr w:type="spellEnd"/>
      <w:r w:rsidRPr="00D341D5">
        <w:rPr>
          <w:rFonts w:asciiTheme="minorHAnsi" w:hAnsiTheme="minorHAnsi"/>
          <w:color w:val="1E293B"/>
          <w:sz w:val="20"/>
        </w:rPr>
        <w:t xml:space="preserve"> L, Wang Y, Bernard A, et al. CRISPR-mediated activation of a promoter or enhancer rescues obesity caused by haploinsufficiency. Science. 2019;363(6424):eaau0629. doi:10.1126/science.aau0629. </w:t>
      </w:r>
      <w:hyperlink r:id="rId66">
        <w:r w:rsidRPr="00D341D5">
          <w:rPr>
            <w:rFonts w:asciiTheme="minorHAnsi" w:hAnsiTheme="minorHAnsi"/>
            <w:color w:val="1D4ED8"/>
            <w:sz w:val="20"/>
            <w:szCs w:val="20"/>
            <w:u w:val="single"/>
          </w:rPr>
          <w:t>PMID: 30545847</w:t>
        </w:r>
      </w:hyperlink>
      <w:r w:rsidRPr="00D341D5">
        <w:rPr>
          <w:rFonts w:asciiTheme="minorHAnsi" w:hAnsiTheme="minorHAnsi"/>
          <w:color w:val="1E293B"/>
          <w:sz w:val="20"/>
        </w:rPr>
        <w:t>.</w:t>
      </w:r>
    </w:p>
    <w:p w14:paraId="422DFE7C"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57. </w:t>
      </w:r>
      <w:r w:rsidRPr="00D341D5">
        <w:rPr>
          <w:rFonts w:asciiTheme="minorHAnsi" w:hAnsiTheme="minorHAnsi"/>
          <w:color w:val="1E293B"/>
          <w:sz w:val="20"/>
        </w:rPr>
        <w:t xml:space="preserve">Cheng Q, Wei T, </w:t>
      </w:r>
      <w:proofErr w:type="spellStart"/>
      <w:r w:rsidRPr="00D341D5">
        <w:rPr>
          <w:rFonts w:asciiTheme="minorHAnsi" w:hAnsiTheme="minorHAnsi"/>
          <w:color w:val="1E293B"/>
          <w:sz w:val="20"/>
        </w:rPr>
        <w:t>Farbiak</w:t>
      </w:r>
      <w:proofErr w:type="spellEnd"/>
      <w:r w:rsidRPr="00D341D5">
        <w:rPr>
          <w:rFonts w:asciiTheme="minorHAnsi" w:hAnsiTheme="minorHAnsi"/>
          <w:color w:val="1E293B"/>
          <w:sz w:val="20"/>
        </w:rPr>
        <w:t xml:space="preserve"> L, Johnson LT, Dilliard SA, Siegwart DJ. Selective organ targeting (SORT) nanoparticles for tissue-specific mRNA delivery and CRISPR-Cas gene editing. Nat </w:t>
      </w:r>
      <w:proofErr w:type="spellStart"/>
      <w:r w:rsidRPr="00D341D5">
        <w:rPr>
          <w:rFonts w:asciiTheme="minorHAnsi" w:hAnsiTheme="minorHAnsi"/>
          <w:color w:val="1E293B"/>
          <w:sz w:val="20"/>
        </w:rPr>
        <w:t>Nanotechnol</w:t>
      </w:r>
      <w:proofErr w:type="spellEnd"/>
      <w:r w:rsidRPr="00D341D5">
        <w:rPr>
          <w:rFonts w:asciiTheme="minorHAnsi" w:hAnsiTheme="minorHAnsi"/>
          <w:color w:val="1E293B"/>
          <w:sz w:val="20"/>
        </w:rPr>
        <w:t xml:space="preserve">. 2020;15(4):313-320. doi:10.1038/s41565-020-0669-6. </w:t>
      </w:r>
      <w:hyperlink r:id="rId67">
        <w:r w:rsidRPr="00D341D5">
          <w:rPr>
            <w:rFonts w:asciiTheme="minorHAnsi" w:hAnsiTheme="minorHAnsi"/>
            <w:color w:val="1D4ED8"/>
            <w:sz w:val="20"/>
            <w:szCs w:val="20"/>
            <w:u w:val="single"/>
          </w:rPr>
          <w:t>PMID: 32251383</w:t>
        </w:r>
      </w:hyperlink>
      <w:r w:rsidRPr="00D341D5">
        <w:rPr>
          <w:rFonts w:asciiTheme="minorHAnsi" w:hAnsiTheme="minorHAnsi"/>
          <w:color w:val="1E293B"/>
          <w:sz w:val="20"/>
        </w:rPr>
        <w:t>.</w:t>
      </w:r>
    </w:p>
    <w:p w14:paraId="7988B4E2"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58. </w:t>
      </w:r>
      <w:proofErr w:type="spellStart"/>
      <w:r w:rsidRPr="00D341D5">
        <w:rPr>
          <w:rFonts w:asciiTheme="minorHAnsi" w:hAnsiTheme="minorHAnsi"/>
          <w:color w:val="1E293B"/>
          <w:sz w:val="20"/>
        </w:rPr>
        <w:t>Banskota</w:t>
      </w:r>
      <w:proofErr w:type="spellEnd"/>
      <w:r w:rsidRPr="00D341D5">
        <w:rPr>
          <w:rFonts w:asciiTheme="minorHAnsi" w:hAnsiTheme="minorHAnsi"/>
          <w:color w:val="1E293B"/>
          <w:sz w:val="20"/>
        </w:rPr>
        <w:t xml:space="preserve"> S, Raguram A, Suh S, Du SW, Davis JR, Choi EH, et al. Engineered virus-like particles for efficient in vivo delivery of therapeutic proteins. Cell. 2022;185(2):250-265.e16. doi:10.1016/j.cell.2021.12.021. </w:t>
      </w:r>
      <w:hyperlink r:id="rId68">
        <w:r w:rsidRPr="00D341D5">
          <w:rPr>
            <w:rFonts w:asciiTheme="minorHAnsi" w:hAnsiTheme="minorHAnsi"/>
            <w:color w:val="1D4ED8"/>
            <w:sz w:val="20"/>
            <w:szCs w:val="20"/>
            <w:u w:val="single"/>
          </w:rPr>
          <w:t>PMID: 35021064</w:t>
        </w:r>
      </w:hyperlink>
      <w:r w:rsidRPr="00D341D5">
        <w:rPr>
          <w:rFonts w:asciiTheme="minorHAnsi" w:hAnsiTheme="minorHAnsi"/>
          <w:color w:val="1E293B"/>
          <w:sz w:val="20"/>
        </w:rPr>
        <w:t>.</w:t>
      </w:r>
    </w:p>
    <w:p w14:paraId="0C903A24"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59. </w:t>
      </w:r>
      <w:r w:rsidRPr="00D341D5">
        <w:rPr>
          <w:rFonts w:asciiTheme="minorHAnsi" w:hAnsiTheme="minorHAnsi"/>
          <w:color w:val="1E293B"/>
          <w:sz w:val="20"/>
        </w:rPr>
        <w:t xml:space="preserve">Landrum G, Tosco P, Kelley B, Ric, Cosgrove D, Vianello R, et al. </w:t>
      </w:r>
      <w:proofErr w:type="spellStart"/>
      <w:r w:rsidRPr="00D341D5">
        <w:rPr>
          <w:rFonts w:asciiTheme="minorHAnsi" w:hAnsiTheme="minorHAnsi"/>
          <w:color w:val="1E293B"/>
          <w:sz w:val="20"/>
        </w:rPr>
        <w:t>RDKit</w:t>
      </w:r>
      <w:proofErr w:type="spellEnd"/>
      <w:r w:rsidRPr="00D341D5">
        <w:rPr>
          <w:rFonts w:asciiTheme="minorHAnsi" w:hAnsiTheme="minorHAnsi"/>
          <w:color w:val="1E293B"/>
          <w:sz w:val="20"/>
        </w:rPr>
        <w:t xml:space="preserve">: Open-source cheminformatics and machine learning. Open-Source Cheminformatics Toolkit; 2024–2026. </w:t>
      </w:r>
      <w:hyperlink r:id="rId69">
        <w:r w:rsidRPr="00D341D5">
          <w:rPr>
            <w:rFonts w:asciiTheme="minorHAnsi" w:hAnsiTheme="minorHAnsi"/>
            <w:color w:val="1D4ED8"/>
            <w:sz w:val="20"/>
            <w:szCs w:val="20"/>
            <w:u w:val="single"/>
          </w:rPr>
          <w:t>URL: https://www.rdkit.org</w:t>
        </w:r>
      </w:hyperlink>
      <w:r w:rsidRPr="00D341D5">
        <w:rPr>
          <w:rFonts w:asciiTheme="minorHAnsi" w:hAnsiTheme="minorHAnsi"/>
          <w:color w:val="1E293B"/>
          <w:sz w:val="20"/>
        </w:rPr>
        <w:t>.</w:t>
      </w:r>
    </w:p>
    <w:p w14:paraId="14132A42"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60. </w:t>
      </w:r>
      <w:r w:rsidRPr="00D341D5">
        <w:rPr>
          <w:rFonts w:asciiTheme="minorHAnsi" w:hAnsiTheme="minorHAnsi"/>
          <w:color w:val="1E293B"/>
          <w:sz w:val="20"/>
        </w:rPr>
        <w:t xml:space="preserve">Riniker S, Landrum GA. Better Informed Distance Geometry: Using What We Know To Improve Conformation Generation. J Chem Inf Model. 2015;55(12):2562-2574. doi:10.1021/acs.jcim.5b00654. </w:t>
      </w:r>
      <w:hyperlink r:id="rId70">
        <w:r w:rsidRPr="00D341D5">
          <w:rPr>
            <w:rFonts w:asciiTheme="minorHAnsi" w:hAnsiTheme="minorHAnsi"/>
            <w:color w:val="1D4ED8"/>
            <w:sz w:val="20"/>
            <w:szCs w:val="20"/>
            <w:u w:val="single"/>
          </w:rPr>
          <w:t>PMID: 26575315</w:t>
        </w:r>
      </w:hyperlink>
      <w:r w:rsidRPr="00D341D5">
        <w:rPr>
          <w:rFonts w:asciiTheme="minorHAnsi" w:hAnsiTheme="minorHAnsi"/>
          <w:color w:val="1E293B"/>
          <w:sz w:val="20"/>
        </w:rPr>
        <w:t>.</w:t>
      </w:r>
    </w:p>
    <w:p w14:paraId="3E48DBC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61. </w:t>
      </w:r>
      <w:r w:rsidRPr="00D341D5">
        <w:rPr>
          <w:rFonts w:asciiTheme="minorHAnsi" w:hAnsiTheme="minorHAnsi"/>
          <w:color w:val="1E293B"/>
          <w:sz w:val="20"/>
        </w:rPr>
        <w:t xml:space="preserve">Eberhardt J, Santos-Martins D, Tillack AF, Forli S. </w:t>
      </w:r>
      <w:proofErr w:type="spellStart"/>
      <w:r w:rsidRPr="00D341D5">
        <w:rPr>
          <w:rFonts w:asciiTheme="minorHAnsi" w:hAnsiTheme="minorHAnsi"/>
          <w:color w:val="1E293B"/>
          <w:sz w:val="20"/>
        </w:rPr>
        <w:t>AutoDock</w:t>
      </w:r>
      <w:proofErr w:type="spellEnd"/>
      <w:r w:rsidRPr="00D341D5">
        <w:rPr>
          <w:rFonts w:asciiTheme="minorHAnsi" w:hAnsiTheme="minorHAnsi"/>
          <w:color w:val="1E293B"/>
          <w:sz w:val="20"/>
        </w:rPr>
        <w:t xml:space="preserve"> Vina 1.2.0: New Docking Methods, Expanded Force Field, and Python Bindings. J Chem Inf Model. 2021;61(8):3891-3898. doi:10.1021/acs.jcim.1c00203. </w:t>
      </w:r>
      <w:hyperlink r:id="rId71">
        <w:r w:rsidRPr="00D341D5">
          <w:rPr>
            <w:rFonts w:asciiTheme="minorHAnsi" w:hAnsiTheme="minorHAnsi"/>
            <w:color w:val="1D4ED8"/>
            <w:sz w:val="20"/>
            <w:szCs w:val="20"/>
            <w:u w:val="single"/>
          </w:rPr>
          <w:t>PMID: 34278794</w:t>
        </w:r>
      </w:hyperlink>
      <w:r w:rsidRPr="00D341D5">
        <w:rPr>
          <w:rFonts w:asciiTheme="minorHAnsi" w:hAnsiTheme="minorHAnsi"/>
          <w:color w:val="1E293B"/>
          <w:sz w:val="20"/>
        </w:rPr>
        <w:t>.</w:t>
      </w:r>
    </w:p>
    <w:p w14:paraId="0C2424CF"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62. </w:t>
      </w:r>
      <w:r w:rsidRPr="00D341D5">
        <w:rPr>
          <w:rFonts w:asciiTheme="minorHAnsi" w:hAnsiTheme="minorHAnsi"/>
          <w:color w:val="1E293B"/>
          <w:sz w:val="20"/>
        </w:rPr>
        <w:t xml:space="preserve">Halgren TA. Merck molecular force field. I. Basis, form, scope, parameterization, and performance of MMFF94. J </w:t>
      </w:r>
      <w:proofErr w:type="spellStart"/>
      <w:r w:rsidRPr="00D341D5">
        <w:rPr>
          <w:rFonts w:asciiTheme="minorHAnsi" w:hAnsiTheme="minorHAnsi"/>
          <w:color w:val="1E293B"/>
          <w:sz w:val="20"/>
        </w:rPr>
        <w:t>Comput</w:t>
      </w:r>
      <w:proofErr w:type="spellEnd"/>
      <w:r w:rsidRPr="00D341D5">
        <w:rPr>
          <w:rFonts w:asciiTheme="minorHAnsi" w:hAnsiTheme="minorHAnsi"/>
          <w:color w:val="1E293B"/>
          <w:sz w:val="20"/>
        </w:rPr>
        <w:t xml:space="preserve"> Chem. 1996;17(5-6):490-519. </w:t>
      </w:r>
      <w:hyperlink r:id="rId72">
        <w:r w:rsidRPr="00D341D5">
          <w:rPr>
            <w:rFonts w:asciiTheme="minorHAnsi" w:hAnsiTheme="minorHAnsi"/>
            <w:color w:val="1D4ED8"/>
            <w:sz w:val="20"/>
            <w:szCs w:val="20"/>
            <w:u w:val="single"/>
          </w:rPr>
          <w:t>DOI: 10.1002/(SICI)1096-987X(199604)17:5/6&lt;490::AID-JCC1&gt;3.0.CO;2-P</w:t>
        </w:r>
      </w:hyperlink>
      <w:r w:rsidRPr="00D341D5">
        <w:rPr>
          <w:rFonts w:asciiTheme="minorHAnsi" w:hAnsiTheme="minorHAnsi"/>
          <w:color w:val="1E293B"/>
          <w:sz w:val="20"/>
        </w:rPr>
        <w:t>.</w:t>
      </w:r>
    </w:p>
    <w:p w14:paraId="61A4BF90"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63. </w:t>
      </w:r>
      <w:r w:rsidRPr="00D341D5">
        <w:rPr>
          <w:rFonts w:asciiTheme="minorHAnsi" w:hAnsiTheme="minorHAnsi"/>
          <w:color w:val="1E293B"/>
          <w:sz w:val="20"/>
        </w:rPr>
        <w:t xml:space="preserve">Villaverde AF, Barreiro A, </w:t>
      </w:r>
      <w:proofErr w:type="spellStart"/>
      <w:r w:rsidRPr="00D341D5">
        <w:rPr>
          <w:rFonts w:asciiTheme="minorHAnsi" w:hAnsiTheme="minorHAnsi"/>
          <w:color w:val="1E293B"/>
          <w:sz w:val="20"/>
        </w:rPr>
        <w:t>Papachristodoulou</w:t>
      </w:r>
      <w:proofErr w:type="spellEnd"/>
      <w:r w:rsidRPr="00D341D5">
        <w:rPr>
          <w:rFonts w:asciiTheme="minorHAnsi" w:hAnsiTheme="minorHAnsi"/>
          <w:color w:val="1E293B"/>
          <w:sz w:val="20"/>
        </w:rPr>
        <w:t xml:space="preserve"> A. Structural Identifiability of Dynamic Systems Biology Models. </w:t>
      </w:r>
      <w:proofErr w:type="spellStart"/>
      <w:r w:rsidRPr="00D341D5">
        <w:rPr>
          <w:rFonts w:asciiTheme="minorHAnsi" w:hAnsiTheme="minorHAnsi"/>
          <w:color w:val="1E293B"/>
          <w:sz w:val="20"/>
        </w:rPr>
        <w:t>PLoS</w:t>
      </w:r>
      <w:proofErr w:type="spellEnd"/>
      <w:r w:rsidRPr="00D341D5">
        <w:rPr>
          <w:rFonts w:asciiTheme="minorHAnsi" w:hAnsiTheme="minorHAnsi"/>
          <w:color w:val="1E293B"/>
          <w:sz w:val="20"/>
        </w:rPr>
        <w:t xml:space="preserve"> </w:t>
      </w:r>
      <w:proofErr w:type="spellStart"/>
      <w:r w:rsidRPr="00D341D5">
        <w:rPr>
          <w:rFonts w:asciiTheme="minorHAnsi" w:hAnsiTheme="minorHAnsi"/>
          <w:color w:val="1E293B"/>
          <w:sz w:val="20"/>
        </w:rPr>
        <w:t>Comput</w:t>
      </w:r>
      <w:proofErr w:type="spellEnd"/>
      <w:r w:rsidRPr="00D341D5">
        <w:rPr>
          <w:rFonts w:asciiTheme="minorHAnsi" w:hAnsiTheme="minorHAnsi"/>
          <w:color w:val="1E293B"/>
          <w:sz w:val="20"/>
        </w:rPr>
        <w:t xml:space="preserve"> Biol. 2016;12(10):e1005153. doi:10.1371/journal.pcbi.1005153. </w:t>
      </w:r>
      <w:hyperlink r:id="rId73">
        <w:r w:rsidRPr="00D341D5">
          <w:rPr>
            <w:rFonts w:asciiTheme="minorHAnsi" w:hAnsiTheme="minorHAnsi"/>
            <w:color w:val="1D4ED8"/>
            <w:sz w:val="20"/>
            <w:szCs w:val="20"/>
            <w:u w:val="single"/>
          </w:rPr>
          <w:t>PMID: 27792726</w:t>
        </w:r>
      </w:hyperlink>
      <w:r w:rsidRPr="00D341D5">
        <w:rPr>
          <w:rFonts w:asciiTheme="minorHAnsi" w:hAnsiTheme="minorHAnsi"/>
          <w:color w:val="1E293B"/>
          <w:sz w:val="20"/>
        </w:rPr>
        <w:t>.</w:t>
      </w:r>
    </w:p>
    <w:p w14:paraId="0855D128"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64. </w:t>
      </w:r>
      <w:r w:rsidRPr="00D341D5">
        <w:rPr>
          <w:rFonts w:asciiTheme="minorHAnsi" w:hAnsiTheme="minorHAnsi"/>
          <w:color w:val="1E293B"/>
          <w:sz w:val="20"/>
        </w:rPr>
        <w:t xml:space="preserve">Gutenkunst RN, Waterfall JJ, Casey FP, Brown KS, Myers CR, Sethna JP. Universally sloppy parameter sensitivities in systems biology models. </w:t>
      </w:r>
      <w:proofErr w:type="spellStart"/>
      <w:r w:rsidRPr="00D341D5">
        <w:rPr>
          <w:rFonts w:asciiTheme="minorHAnsi" w:hAnsiTheme="minorHAnsi"/>
          <w:color w:val="1E293B"/>
          <w:sz w:val="20"/>
        </w:rPr>
        <w:t>PLoS</w:t>
      </w:r>
      <w:proofErr w:type="spellEnd"/>
      <w:r w:rsidRPr="00D341D5">
        <w:rPr>
          <w:rFonts w:asciiTheme="minorHAnsi" w:hAnsiTheme="minorHAnsi"/>
          <w:color w:val="1E293B"/>
          <w:sz w:val="20"/>
        </w:rPr>
        <w:t xml:space="preserve"> </w:t>
      </w:r>
      <w:proofErr w:type="spellStart"/>
      <w:r w:rsidRPr="00D341D5">
        <w:rPr>
          <w:rFonts w:asciiTheme="minorHAnsi" w:hAnsiTheme="minorHAnsi"/>
          <w:color w:val="1E293B"/>
          <w:sz w:val="20"/>
        </w:rPr>
        <w:t>Comput</w:t>
      </w:r>
      <w:proofErr w:type="spellEnd"/>
      <w:r w:rsidRPr="00D341D5">
        <w:rPr>
          <w:rFonts w:asciiTheme="minorHAnsi" w:hAnsiTheme="minorHAnsi"/>
          <w:color w:val="1E293B"/>
          <w:sz w:val="20"/>
        </w:rPr>
        <w:t xml:space="preserve"> Biol. 2007;3(10):1871-1878. doi:10.1371/journal.pcbi.0030189. </w:t>
      </w:r>
      <w:hyperlink r:id="rId74">
        <w:r w:rsidRPr="00D341D5">
          <w:rPr>
            <w:rFonts w:asciiTheme="minorHAnsi" w:hAnsiTheme="minorHAnsi"/>
            <w:color w:val="1D4ED8"/>
            <w:sz w:val="20"/>
            <w:szCs w:val="20"/>
            <w:u w:val="single"/>
          </w:rPr>
          <w:t>PMID: 17922568</w:t>
        </w:r>
      </w:hyperlink>
      <w:r w:rsidRPr="00D341D5">
        <w:rPr>
          <w:rFonts w:asciiTheme="minorHAnsi" w:hAnsiTheme="minorHAnsi"/>
          <w:color w:val="1E293B"/>
          <w:sz w:val="20"/>
        </w:rPr>
        <w:t>.</w:t>
      </w:r>
    </w:p>
    <w:p w14:paraId="5F4596D7"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65. </w:t>
      </w:r>
      <w:r w:rsidRPr="00D341D5">
        <w:rPr>
          <w:rFonts w:asciiTheme="minorHAnsi" w:hAnsiTheme="minorHAnsi"/>
          <w:color w:val="1E293B"/>
          <w:sz w:val="20"/>
        </w:rPr>
        <w:t xml:space="preserve">Lipinski CA, Lombardo F, Dominy BW, Feeney PJ. Experimental and computational approaches to estimate solubility and permeability in drug discovery and development settings. Adv Drug Deliv Rev. 2001;46(1-3):3-26. doi:10.1016/s0169-409x(00)00129-0. </w:t>
      </w:r>
      <w:hyperlink r:id="rId75">
        <w:r w:rsidRPr="00D341D5">
          <w:rPr>
            <w:rFonts w:asciiTheme="minorHAnsi" w:hAnsiTheme="minorHAnsi"/>
            <w:color w:val="1D4ED8"/>
            <w:sz w:val="20"/>
            <w:szCs w:val="20"/>
            <w:u w:val="single"/>
          </w:rPr>
          <w:t>PMID: 11259830</w:t>
        </w:r>
      </w:hyperlink>
      <w:r w:rsidRPr="00D341D5">
        <w:rPr>
          <w:rFonts w:asciiTheme="minorHAnsi" w:hAnsiTheme="minorHAnsi"/>
          <w:color w:val="1E293B"/>
          <w:sz w:val="20"/>
        </w:rPr>
        <w:t>.</w:t>
      </w:r>
    </w:p>
    <w:p w14:paraId="0BB88F80"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66. </w:t>
      </w:r>
      <w:r w:rsidRPr="00D341D5">
        <w:rPr>
          <w:rFonts w:asciiTheme="minorHAnsi" w:hAnsiTheme="minorHAnsi"/>
          <w:color w:val="1E293B"/>
          <w:sz w:val="20"/>
        </w:rPr>
        <w:t xml:space="preserve">Veber DF, Johnson SR, Cheng HY, Smith BR, Ward KW, Kopple KD. Molecular properties that influence the oral bioavailability of drug candidates. J Med Chem. 2002;45(12):2615-2623. doi:10.1021/jm020017n. </w:t>
      </w:r>
      <w:hyperlink r:id="rId76">
        <w:r w:rsidRPr="00D341D5">
          <w:rPr>
            <w:rFonts w:asciiTheme="minorHAnsi" w:hAnsiTheme="minorHAnsi"/>
            <w:color w:val="1D4ED8"/>
            <w:sz w:val="20"/>
            <w:szCs w:val="20"/>
            <w:u w:val="single"/>
          </w:rPr>
          <w:t>PMID: 12036371</w:t>
        </w:r>
      </w:hyperlink>
      <w:r w:rsidRPr="00D341D5">
        <w:rPr>
          <w:rFonts w:asciiTheme="minorHAnsi" w:hAnsiTheme="minorHAnsi"/>
          <w:color w:val="1E293B"/>
          <w:sz w:val="20"/>
        </w:rPr>
        <w:t>.</w:t>
      </w:r>
    </w:p>
    <w:p w14:paraId="4265C95D"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67. </w:t>
      </w:r>
      <w:r w:rsidRPr="00D341D5">
        <w:rPr>
          <w:rFonts w:asciiTheme="minorHAnsi" w:hAnsiTheme="minorHAnsi"/>
          <w:color w:val="1E293B"/>
          <w:sz w:val="20"/>
        </w:rPr>
        <w:t xml:space="preserve">Bickerton GR, Paolini GV, Besnard J, Muresan S, Hopkins AL. Quantifying the chemical beauty of drugs. Nat Chem. 2012;4(2):90-98. doi:10.1038/nchem.1243. </w:t>
      </w:r>
      <w:hyperlink r:id="rId77">
        <w:r w:rsidRPr="00D341D5">
          <w:rPr>
            <w:rFonts w:asciiTheme="minorHAnsi" w:hAnsiTheme="minorHAnsi"/>
            <w:color w:val="1D4ED8"/>
            <w:sz w:val="20"/>
            <w:szCs w:val="20"/>
            <w:u w:val="single"/>
          </w:rPr>
          <w:t>PMID: 22270643</w:t>
        </w:r>
      </w:hyperlink>
      <w:r w:rsidRPr="00D341D5">
        <w:rPr>
          <w:rFonts w:asciiTheme="minorHAnsi" w:hAnsiTheme="minorHAnsi"/>
          <w:color w:val="1E293B"/>
          <w:sz w:val="20"/>
        </w:rPr>
        <w:t>.</w:t>
      </w:r>
    </w:p>
    <w:p w14:paraId="55EAC089" w14:textId="77777777" w:rsidR="00D341D5" w:rsidRPr="00D341D5" w:rsidRDefault="00D341D5" w:rsidP="00D341D5">
      <w:pPr>
        <w:spacing w:before="16" w:after="44" w:line="254" w:lineRule="auto"/>
        <w:ind w:left="461" w:hanging="461"/>
        <w:rPr>
          <w:rFonts w:asciiTheme="minorHAnsi" w:hAnsiTheme="minorHAnsi"/>
        </w:rPr>
      </w:pPr>
      <w:r w:rsidRPr="00D341D5">
        <w:rPr>
          <w:rFonts w:asciiTheme="minorHAnsi" w:hAnsiTheme="minorHAnsi"/>
          <w:b/>
          <w:color w:val="1E293B"/>
          <w:sz w:val="20"/>
        </w:rPr>
        <w:t xml:space="preserve">68. </w:t>
      </w:r>
      <w:proofErr w:type="spellStart"/>
      <w:r w:rsidRPr="00D341D5">
        <w:rPr>
          <w:rFonts w:asciiTheme="minorHAnsi" w:hAnsiTheme="minorHAnsi"/>
          <w:color w:val="1E293B"/>
          <w:sz w:val="20"/>
        </w:rPr>
        <w:t>Ghelli</w:t>
      </w:r>
      <w:proofErr w:type="spellEnd"/>
      <w:r w:rsidRPr="00D341D5">
        <w:rPr>
          <w:rFonts w:asciiTheme="minorHAnsi" w:hAnsiTheme="minorHAnsi"/>
          <w:color w:val="1E293B"/>
          <w:sz w:val="20"/>
        </w:rPr>
        <w:t xml:space="preserve"> </w:t>
      </w:r>
      <w:proofErr w:type="spellStart"/>
      <w:r w:rsidRPr="00D341D5">
        <w:rPr>
          <w:rFonts w:asciiTheme="minorHAnsi" w:hAnsiTheme="minorHAnsi"/>
          <w:color w:val="1E293B"/>
          <w:sz w:val="20"/>
        </w:rPr>
        <w:t>Luserna</w:t>
      </w:r>
      <w:proofErr w:type="spellEnd"/>
      <w:r w:rsidRPr="00D341D5">
        <w:rPr>
          <w:rFonts w:asciiTheme="minorHAnsi" w:hAnsiTheme="minorHAnsi"/>
          <w:color w:val="1E293B"/>
          <w:sz w:val="20"/>
        </w:rPr>
        <w:t xml:space="preserve"> di </w:t>
      </w:r>
      <w:proofErr w:type="spellStart"/>
      <w:r w:rsidRPr="00D341D5">
        <w:rPr>
          <w:rFonts w:asciiTheme="minorHAnsi" w:hAnsiTheme="minorHAnsi"/>
          <w:color w:val="1E293B"/>
          <w:sz w:val="20"/>
        </w:rPr>
        <w:t>Rorà</w:t>
      </w:r>
      <w:proofErr w:type="spellEnd"/>
      <w:r w:rsidRPr="00D341D5">
        <w:rPr>
          <w:rFonts w:asciiTheme="minorHAnsi" w:hAnsiTheme="minorHAnsi"/>
          <w:color w:val="1E293B"/>
          <w:sz w:val="20"/>
        </w:rPr>
        <w:t xml:space="preserve"> A, </w:t>
      </w:r>
      <w:proofErr w:type="spellStart"/>
      <w:r w:rsidRPr="00D341D5">
        <w:rPr>
          <w:rFonts w:asciiTheme="minorHAnsi" w:hAnsiTheme="minorHAnsi"/>
          <w:color w:val="1E293B"/>
          <w:sz w:val="20"/>
        </w:rPr>
        <w:t>Cerchione</w:t>
      </w:r>
      <w:proofErr w:type="spellEnd"/>
      <w:r w:rsidRPr="00D341D5">
        <w:rPr>
          <w:rFonts w:asciiTheme="minorHAnsi" w:hAnsiTheme="minorHAnsi"/>
          <w:color w:val="1E293B"/>
          <w:sz w:val="20"/>
        </w:rPr>
        <w:t xml:space="preserve"> C, Martinelli G, Simonetti G. A WEE1 family business: regulation of mitosis, cancer progression, and therapeutic target. J </w:t>
      </w:r>
      <w:proofErr w:type="spellStart"/>
      <w:r w:rsidRPr="00D341D5">
        <w:rPr>
          <w:rFonts w:asciiTheme="minorHAnsi" w:hAnsiTheme="minorHAnsi"/>
          <w:color w:val="1E293B"/>
          <w:sz w:val="20"/>
        </w:rPr>
        <w:t>Hematol</w:t>
      </w:r>
      <w:proofErr w:type="spellEnd"/>
      <w:r w:rsidRPr="00D341D5">
        <w:rPr>
          <w:rFonts w:asciiTheme="minorHAnsi" w:hAnsiTheme="minorHAnsi"/>
          <w:color w:val="1E293B"/>
          <w:sz w:val="20"/>
        </w:rPr>
        <w:t xml:space="preserve"> Oncol. 2020;13(1):126. doi:10.1186/s13045-020-00959-2. </w:t>
      </w:r>
      <w:hyperlink r:id="rId78">
        <w:r w:rsidRPr="00D341D5">
          <w:rPr>
            <w:rFonts w:asciiTheme="minorHAnsi" w:hAnsiTheme="minorHAnsi"/>
            <w:color w:val="1D4ED8"/>
            <w:sz w:val="20"/>
            <w:szCs w:val="20"/>
            <w:u w:val="single"/>
          </w:rPr>
          <w:t>PMID: 32958072</w:t>
        </w:r>
      </w:hyperlink>
      <w:r w:rsidRPr="00D341D5">
        <w:rPr>
          <w:rFonts w:asciiTheme="minorHAnsi" w:hAnsiTheme="minorHAnsi"/>
          <w:color w:val="1E293B"/>
          <w:sz w:val="20"/>
        </w:rPr>
        <w:t>.</w:t>
      </w:r>
    </w:p>
    <w:p w14:paraId="5D88217C" w14:textId="38D2C1CD" w:rsidR="00812CED" w:rsidRPr="00D341D5" w:rsidRDefault="00000000">
      <w:pPr>
        <w:spacing w:before="20" w:after="60" w:line="269" w:lineRule="auto"/>
        <w:ind w:left="461" w:hanging="461"/>
        <w:rPr>
          <w:rFonts w:asciiTheme="minorHAnsi" w:hAnsiTheme="minorHAnsi"/>
        </w:rPr>
      </w:pPr>
      <w:r w:rsidRPr="00D341D5">
        <w:rPr>
          <w:rFonts w:asciiTheme="minorHAnsi" w:hAnsiTheme="minorHAnsi"/>
          <w:b/>
          <w:color w:val="0F294A"/>
          <w:sz w:val="20"/>
        </w:rPr>
        <w:t xml:space="preserve">69. </w:t>
      </w:r>
      <w:r w:rsidRPr="00D341D5">
        <w:rPr>
          <w:rFonts w:asciiTheme="minorHAnsi" w:hAnsiTheme="minorHAnsi"/>
          <w:sz w:val="20"/>
        </w:rPr>
        <w:t xml:space="preserve">Richter MF, Zhao KT, Eton E, </w:t>
      </w:r>
      <w:proofErr w:type="spellStart"/>
      <w:r w:rsidRPr="00D341D5">
        <w:rPr>
          <w:rFonts w:asciiTheme="minorHAnsi" w:hAnsiTheme="minorHAnsi"/>
          <w:sz w:val="20"/>
        </w:rPr>
        <w:t>Lapinaite</w:t>
      </w:r>
      <w:proofErr w:type="spellEnd"/>
      <w:r w:rsidRPr="00D341D5">
        <w:rPr>
          <w:rFonts w:asciiTheme="minorHAnsi" w:hAnsiTheme="minorHAnsi"/>
          <w:sz w:val="20"/>
        </w:rPr>
        <w:t xml:space="preserve"> A, Newby GA, </w:t>
      </w:r>
      <w:proofErr w:type="spellStart"/>
      <w:r w:rsidRPr="00D341D5">
        <w:rPr>
          <w:rFonts w:asciiTheme="minorHAnsi" w:hAnsiTheme="minorHAnsi"/>
          <w:sz w:val="20"/>
        </w:rPr>
        <w:t>Thuronyi</w:t>
      </w:r>
      <w:proofErr w:type="spellEnd"/>
      <w:r w:rsidRPr="00D341D5">
        <w:rPr>
          <w:rFonts w:asciiTheme="minorHAnsi" w:hAnsiTheme="minorHAnsi"/>
          <w:sz w:val="20"/>
        </w:rPr>
        <w:t xml:space="preserve"> BW, et al. Phage-assisted evolution of an adenine base editor with improved Cas domain compatibility and activity. Nat </w:t>
      </w:r>
      <w:proofErr w:type="spellStart"/>
      <w:r w:rsidRPr="00D341D5">
        <w:rPr>
          <w:rFonts w:asciiTheme="minorHAnsi" w:hAnsiTheme="minorHAnsi"/>
          <w:sz w:val="20"/>
        </w:rPr>
        <w:t>Biotechnol</w:t>
      </w:r>
      <w:proofErr w:type="spellEnd"/>
      <w:r w:rsidRPr="00D341D5">
        <w:rPr>
          <w:rFonts w:asciiTheme="minorHAnsi" w:hAnsiTheme="minorHAnsi"/>
          <w:sz w:val="20"/>
        </w:rPr>
        <w:t xml:space="preserve">. 2020;38(7):883-891. doi:10.1038/s41587-020-0453-z. </w:t>
      </w:r>
      <w:hyperlink r:id="rId79" w:history="1">
        <w:r w:rsidRPr="00D341D5">
          <w:rPr>
            <w:rStyle w:val="Hipervnculo"/>
            <w:rFonts w:asciiTheme="minorHAnsi" w:hAnsiTheme="minorHAnsi"/>
            <w:sz w:val="20"/>
          </w:rPr>
          <w:t>PMID: 32433547.</w:t>
        </w:r>
      </w:hyperlink>
    </w:p>
    <w:p w14:paraId="4A797062" w14:textId="01D64328" w:rsidR="00812CED" w:rsidRDefault="00000000">
      <w:pPr>
        <w:spacing w:before="20" w:after="60" w:line="269" w:lineRule="auto"/>
        <w:ind w:left="461" w:hanging="461"/>
      </w:pPr>
      <w:r>
        <w:rPr>
          <w:b/>
          <w:color w:val="0F294A"/>
          <w:sz w:val="20"/>
        </w:rPr>
        <w:t xml:space="preserve">70. </w:t>
      </w:r>
      <w:r>
        <w:rPr>
          <w:sz w:val="20"/>
        </w:rPr>
        <w:t xml:space="preserve">Nelson JW, Randolph PB, Shen SP, Everette KA, Chen PJ, Anzalone AV, et al. Engineered </w:t>
      </w:r>
      <w:proofErr w:type="spellStart"/>
      <w:r>
        <w:rPr>
          <w:sz w:val="20"/>
        </w:rPr>
        <w:t>pegRNAs</w:t>
      </w:r>
      <w:proofErr w:type="spellEnd"/>
      <w:r>
        <w:rPr>
          <w:sz w:val="20"/>
        </w:rPr>
        <w:t xml:space="preserve"> improve prime editing efficiency. Nat </w:t>
      </w:r>
      <w:proofErr w:type="spellStart"/>
      <w:r>
        <w:rPr>
          <w:sz w:val="20"/>
        </w:rPr>
        <w:t>Biotechnol</w:t>
      </w:r>
      <w:proofErr w:type="spellEnd"/>
      <w:r>
        <w:rPr>
          <w:sz w:val="20"/>
        </w:rPr>
        <w:t xml:space="preserve">. 2022;40(3):402-410. doi:10.1038/s41587-021-01039-7. </w:t>
      </w:r>
      <w:hyperlink r:id="rId80" w:history="1">
        <w:r w:rsidRPr="00D341D5">
          <w:rPr>
            <w:rStyle w:val="Hipervnculo"/>
            <w:sz w:val="20"/>
          </w:rPr>
          <w:t>PMID: 34608327.</w:t>
        </w:r>
      </w:hyperlink>
    </w:p>
    <w:p w14:paraId="2FD92D61" w14:textId="505E5DC2" w:rsidR="00812CED" w:rsidRDefault="00000000">
      <w:pPr>
        <w:spacing w:before="20" w:after="60" w:line="269" w:lineRule="auto"/>
        <w:ind w:left="461" w:hanging="461"/>
      </w:pPr>
      <w:r>
        <w:rPr>
          <w:b/>
          <w:color w:val="0F294A"/>
          <w:sz w:val="20"/>
        </w:rPr>
        <w:lastRenderedPageBreak/>
        <w:t xml:space="preserve">71. </w:t>
      </w:r>
      <w:r>
        <w:rPr>
          <w:sz w:val="20"/>
        </w:rPr>
        <w:t xml:space="preserve">Chen PJ, Hussmann JA, Yan J, Knipping F, Ravisankar P, Chen PF, et al. Enhanced prime editing systems by manipulating cellular determinants of editing outcomes. Cell. 2021;184(22):5635-5652.e29. doi:10.1016/j.cell.2021.09.018. </w:t>
      </w:r>
      <w:hyperlink r:id="rId81" w:history="1">
        <w:r w:rsidRPr="00D341D5">
          <w:rPr>
            <w:rStyle w:val="Hipervnculo"/>
            <w:sz w:val="20"/>
          </w:rPr>
          <w:t>PMID: 34653350.</w:t>
        </w:r>
      </w:hyperlink>
    </w:p>
    <w:sectPr w:rsidR="00812CED" w:rsidSect="00034616">
      <w:headerReference w:type="default" r:id="rId82"/>
      <w:footerReference w:type="default" r:id="rId83"/>
      <w:pgSz w:w="12240" w:h="15840"/>
      <w:pgMar w:top="1368" w:right="1440" w:bottom="1368"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F702" w14:textId="77777777" w:rsidR="004B0AF5" w:rsidRDefault="004B0AF5">
      <w:pPr>
        <w:spacing w:after="0" w:line="240" w:lineRule="auto"/>
      </w:pPr>
      <w:r>
        <w:separator/>
      </w:r>
    </w:p>
  </w:endnote>
  <w:endnote w:type="continuationSeparator" w:id="0">
    <w:p w14:paraId="34AB5CE5" w14:textId="77777777" w:rsidR="004B0AF5" w:rsidRDefault="004B0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5FBE" w14:textId="4C82A873" w:rsidR="00DF07C4" w:rsidRDefault="00DF07C4">
    <w:pPr>
      <w:pStyle w:val="Piedepgina"/>
      <w:jc w:val="right"/>
    </w:pPr>
    <w:r>
      <w:rPr>
        <w:rFonts w:ascii="Calibri" w:hAnsi="Calibri"/>
        <w:color w:val="64748B"/>
        <w:sz w:val="19"/>
      </w:rPr>
      <w:t xml:space="preserve">Page </w:t>
    </w:r>
    <w:r>
      <w:fldChar w:fldCharType="begin"/>
    </w:r>
    <w:r>
      <w:instrText>PAGE</w:instrText>
    </w:r>
    <w:r>
      <w:fldChar w:fldCharType="separate"/>
    </w:r>
    <w:r w:rsidR="00EE593E">
      <w:rPr>
        <w:noProof/>
      </w:rPr>
      <w:t>1</w:t>
    </w:r>
    <w:r>
      <w:fldChar w:fldCharType="end"/>
    </w:r>
    <w:r>
      <w:rPr>
        <w:rFonts w:ascii="Calibri" w:hAnsi="Calibri"/>
        <w:color w:val="64748B"/>
        <w:sz w:val="19"/>
      </w:rPr>
      <w:t xml:space="preserve"> of </w:t>
    </w:r>
    <w:r>
      <w:fldChar w:fldCharType="begin"/>
    </w:r>
    <w:r>
      <w:instrText>NUMPAGES</w:instrText>
    </w:r>
    <w:r>
      <w:fldChar w:fldCharType="separate"/>
    </w:r>
    <w:r w:rsidR="00EE59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53B1E" w14:textId="77777777" w:rsidR="004B0AF5" w:rsidRDefault="004B0AF5">
      <w:pPr>
        <w:spacing w:after="0" w:line="240" w:lineRule="auto"/>
      </w:pPr>
      <w:r>
        <w:separator/>
      </w:r>
    </w:p>
  </w:footnote>
  <w:footnote w:type="continuationSeparator" w:id="0">
    <w:p w14:paraId="46FB304C" w14:textId="77777777" w:rsidR="004B0AF5" w:rsidRDefault="004B0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C338" w14:textId="77777777" w:rsidR="00DF07C4" w:rsidRDefault="00DF07C4">
    <w:pPr>
      <w:pStyle w:val="Encabezado"/>
      <w:pBdr>
        <w:bottom w:val="single" w:sz="4" w:space="4" w:color="CBD5E1"/>
      </w:pBdr>
    </w:pPr>
    <w:r>
      <w:rPr>
        <w:rFonts w:ascii="Calibri" w:hAnsi="Calibri"/>
        <w:i/>
        <w:color w:val="64748B"/>
        <w:sz w:val="19"/>
      </w:rPr>
      <w:t>Ojeda DA, MD (2026)   |   Article 2: De Novo Molecular Pharmacology, 3D Modeling &amp; Curative Editing in MVA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8700105">
    <w:abstractNumId w:val="8"/>
  </w:num>
  <w:num w:numId="2" w16cid:durableId="810748392">
    <w:abstractNumId w:val="6"/>
  </w:num>
  <w:num w:numId="3" w16cid:durableId="1092969281">
    <w:abstractNumId w:val="5"/>
  </w:num>
  <w:num w:numId="4" w16cid:durableId="821699869">
    <w:abstractNumId w:val="4"/>
  </w:num>
  <w:num w:numId="5" w16cid:durableId="514344698">
    <w:abstractNumId w:val="7"/>
  </w:num>
  <w:num w:numId="6" w16cid:durableId="1718312497">
    <w:abstractNumId w:val="3"/>
  </w:num>
  <w:num w:numId="7" w16cid:durableId="1958561440">
    <w:abstractNumId w:val="2"/>
  </w:num>
  <w:num w:numId="8" w16cid:durableId="1061516721">
    <w:abstractNumId w:val="1"/>
  </w:num>
  <w:num w:numId="9" w16cid:durableId="183777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768"/>
    <w:rsid w:val="004B0AF5"/>
    <w:rsid w:val="0055336A"/>
    <w:rsid w:val="00671BE2"/>
    <w:rsid w:val="006931FF"/>
    <w:rsid w:val="00812CED"/>
    <w:rsid w:val="00A07AA2"/>
    <w:rsid w:val="00AA1D8D"/>
    <w:rsid w:val="00B47730"/>
    <w:rsid w:val="00CB0664"/>
    <w:rsid w:val="00CE0A2B"/>
    <w:rsid w:val="00D341D5"/>
    <w:rsid w:val="00D61260"/>
    <w:rsid w:val="00DC2DBA"/>
    <w:rsid w:val="00DF07C4"/>
    <w:rsid w:val="00E7567B"/>
    <w:rsid w:val="00EE5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C217F"/>
  <w14:defaultImageDpi w14:val="300"/>
  <w15:docId w15:val="{E8194155-0195-4852-877A-8A27B3AC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olor w:val="11182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341D5"/>
    <w:rPr>
      <w:color w:val="0000FF" w:themeColor="hyperlink"/>
      <w:u w:val="single"/>
    </w:rPr>
  </w:style>
  <w:style w:type="character" w:styleId="Mencinsinresolver">
    <w:name w:val="Unresolved Mention"/>
    <w:basedOn w:val="Fuentedeprrafopredeter"/>
    <w:uiPriority w:val="99"/>
    <w:semiHidden/>
    <w:unhideWhenUsed/>
    <w:rsid w:val="00D34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22588877/" TargetMode="External"/><Relationship Id="rId21" Type="http://schemas.openxmlformats.org/officeDocument/2006/relationships/hyperlink" Target="https://doi.org/10.1038/s42256-024-00832-8" TargetMode="External"/><Relationship Id="rId42" Type="http://schemas.openxmlformats.org/officeDocument/2006/relationships/hyperlink" Target="https://pubmed.ncbi.nlm.nih.gov/2022189/" TargetMode="External"/><Relationship Id="rId47" Type="http://schemas.openxmlformats.org/officeDocument/2006/relationships/hyperlink" Target="https://pubmed.ncbi.nlm.nih.gov/28759889/" TargetMode="External"/><Relationship Id="rId63" Type="http://schemas.openxmlformats.org/officeDocument/2006/relationships/hyperlink" Target="https://pubmed.ncbi.nlm.nih.gov/29160308/" TargetMode="External"/><Relationship Id="rId68" Type="http://schemas.openxmlformats.org/officeDocument/2006/relationships/hyperlink" Target="https://pubmed.ncbi.nlm.nih.gov/35021064/" TargetMode="External"/><Relationship Id="rId84" Type="http://schemas.openxmlformats.org/officeDocument/2006/relationships/fontTable" Target="fontTable.xml"/><Relationship Id="rId16" Type="http://schemas.openxmlformats.org/officeDocument/2006/relationships/hyperlink" Target="https://pubmed.ncbi.nlm.nih.gov/31184400/" TargetMode="External"/><Relationship Id="rId11" Type="http://schemas.openxmlformats.org/officeDocument/2006/relationships/image" Target="media/image4.png"/><Relationship Id="rId32" Type="http://schemas.openxmlformats.org/officeDocument/2006/relationships/hyperlink" Target="https://pubmed.ncbi.nlm.nih.gov/26467475/" TargetMode="External"/><Relationship Id="rId37" Type="http://schemas.openxmlformats.org/officeDocument/2006/relationships/hyperlink" Target="https://pubmed.ncbi.nlm.nih.gov/28729727/" TargetMode="External"/><Relationship Id="rId53" Type="http://schemas.openxmlformats.org/officeDocument/2006/relationships/hyperlink" Target="https://pubmed.ncbi.nlm.nih.gov/34011625/" TargetMode="External"/><Relationship Id="rId58" Type="http://schemas.openxmlformats.org/officeDocument/2006/relationships/hyperlink" Target="https://pubmed.ncbi.nlm.nih.gov/11423985/" TargetMode="External"/><Relationship Id="rId74" Type="http://schemas.openxmlformats.org/officeDocument/2006/relationships/hyperlink" Target="https://pubmed.ncbi.nlm.nih.gov/17922568/" TargetMode="External"/><Relationship Id="rId79" Type="http://schemas.openxmlformats.org/officeDocument/2006/relationships/hyperlink" Target="https://pubmed.ncbi.nlm.nih.gov/32433547/" TargetMode="External"/><Relationship Id="rId5" Type="http://schemas.openxmlformats.org/officeDocument/2006/relationships/webSettings" Target="webSettings.xml"/><Relationship Id="rId19" Type="http://schemas.openxmlformats.org/officeDocument/2006/relationships/hyperlink" Target="https://pubmed.ncbi.nlm.nih.gov/35042991/" TargetMode="External"/><Relationship Id="rId14" Type="http://schemas.openxmlformats.org/officeDocument/2006/relationships/hyperlink" Target="https://pubmed.ncbi.nlm.nih.gov/24748105/" TargetMode="External"/><Relationship Id="rId22" Type="http://schemas.openxmlformats.org/officeDocument/2006/relationships/hyperlink" Target="https://antigravity.google/" TargetMode="External"/><Relationship Id="rId27" Type="http://schemas.openxmlformats.org/officeDocument/2006/relationships/hyperlink" Target="https://pubmed.ncbi.nlm.nih.gov/25613900/" TargetMode="External"/><Relationship Id="rId30" Type="http://schemas.openxmlformats.org/officeDocument/2006/relationships/hyperlink" Target="https://pubmed.ncbi.nlm.nih.gov/37433327/" TargetMode="External"/><Relationship Id="rId35" Type="http://schemas.openxmlformats.org/officeDocument/2006/relationships/hyperlink" Target="https://pubmed.ncbi.nlm.nih.gov/35444283/" TargetMode="External"/><Relationship Id="rId43" Type="http://schemas.openxmlformats.org/officeDocument/2006/relationships/hyperlink" Target="https://pubmed.ncbi.nlm.nih.gov/18443223/" TargetMode="External"/><Relationship Id="rId48" Type="http://schemas.openxmlformats.org/officeDocument/2006/relationships/hyperlink" Target="https://pubmed.ncbi.nlm.nih.gov/37532932/" TargetMode="External"/><Relationship Id="rId56" Type="http://schemas.openxmlformats.org/officeDocument/2006/relationships/hyperlink" Target="https://pubmed.ncbi.nlm.nih.gov/22547750/" TargetMode="External"/><Relationship Id="rId64" Type="http://schemas.openxmlformats.org/officeDocument/2006/relationships/hyperlink" Target="https://pubmed.ncbi.nlm.nih.gov/31634902/" TargetMode="External"/><Relationship Id="rId69" Type="http://schemas.openxmlformats.org/officeDocument/2006/relationships/hyperlink" Target="https://www.rdkit.org" TargetMode="External"/><Relationship Id="rId77" Type="http://schemas.openxmlformats.org/officeDocument/2006/relationships/hyperlink" Target="https://pubmed.ncbi.nlm.nih.gov/22270643/" TargetMode="External"/><Relationship Id="rId8" Type="http://schemas.openxmlformats.org/officeDocument/2006/relationships/image" Target="media/image1.png"/><Relationship Id="rId51" Type="http://schemas.openxmlformats.org/officeDocument/2006/relationships/hyperlink" Target="https://pubmed.ncbi.nlm.nih.gov/28811308/" TargetMode="External"/><Relationship Id="rId72" Type="http://schemas.openxmlformats.org/officeDocument/2006/relationships/hyperlink" Target="https://doi.org/10.1002/(SICI)1096-987X(199604)17:5/6%3c490::AID-JCC1%3e3.0.CO;2-P" TargetMode="External"/><Relationship Id="rId80" Type="http://schemas.openxmlformats.org/officeDocument/2006/relationships/hyperlink" Target="https://pubmed.ncbi.nlm.nih.gov/34608327/"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ubmed.ncbi.nlm.nih.gov/15475955/" TargetMode="External"/><Relationship Id="rId17" Type="http://schemas.openxmlformats.org/officeDocument/2006/relationships/hyperlink" Target="https://www.synapse.org/Synapse:syn76251147" TargetMode="External"/><Relationship Id="rId25" Type="http://schemas.openxmlformats.org/officeDocument/2006/relationships/hyperlink" Target="https://pubmed.ncbi.nlm.nih.gov/36370105/" TargetMode="External"/><Relationship Id="rId33" Type="http://schemas.openxmlformats.org/officeDocument/2006/relationships/hyperlink" Target="https://pubmed.ncbi.nlm.nih.gov/27427153/" TargetMode="External"/><Relationship Id="rId38" Type="http://schemas.openxmlformats.org/officeDocument/2006/relationships/hyperlink" Target="https://pubmed.ncbi.nlm.nih.gov/26657143/" TargetMode="External"/><Relationship Id="rId46" Type="http://schemas.openxmlformats.org/officeDocument/2006/relationships/hyperlink" Target="https://pubmed.ncbi.nlm.nih.gov/28738408/" TargetMode="External"/><Relationship Id="rId59" Type="http://schemas.openxmlformats.org/officeDocument/2006/relationships/hyperlink" Target="https://pubmed.ncbi.nlm.nih.gov/21502814/" TargetMode="External"/><Relationship Id="rId67" Type="http://schemas.openxmlformats.org/officeDocument/2006/relationships/hyperlink" Target="https://pubmed.ncbi.nlm.nih.gov/32251383/" TargetMode="External"/><Relationship Id="rId20" Type="http://schemas.openxmlformats.org/officeDocument/2006/relationships/hyperlink" Target="https://arxiv.org/abs/2409.13740" TargetMode="External"/><Relationship Id="rId41" Type="http://schemas.openxmlformats.org/officeDocument/2006/relationships/hyperlink" Target="https://pubmed.ncbi.nlm.nih.gov/31792461/" TargetMode="External"/><Relationship Id="rId54" Type="http://schemas.openxmlformats.org/officeDocument/2006/relationships/hyperlink" Target="https://pubmed.ncbi.nlm.nih.gov/29707529/" TargetMode="External"/><Relationship Id="rId62" Type="http://schemas.openxmlformats.org/officeDocument/2006/relationships/hyperlink" Target="https://pubmed.ncbi.nlm.nih.gov/33846636/" TargetMode="External"/><Relationship Id="rId70" Type="http://schemas.openxmlformats.org/officeDocument/2006/relationships/hyperlink" Target="https://pubmed.ncbi.nlm.nih.gov/26575315/" TargetMode="External"/><Relationship Id="rId75" Type="http://schemas.openxmlformats.org/officeDocument/2006/relationships/hyperlink" Target="https://pubmed.ncbi.nlm.nih.gov/11259830/"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med.ncbi.nlm.nih.gov/28553959/" TargetMode="External"/><Relationship Id="rId23" Type="http://schemas.openxmlformats.org/officeDocument/2006/relationships/hyperlink" Target="https://pubmed.ncbi.nlm.nih.gov/30398643/" TargetMode="External"/><Relationship Id="rId28" Type="http://schemas.openxmlformats.org/officeDocument/2006/relationships/hyperlink" Target="https://pubmed.ncbi.nlm.nih.gov/38718835/" TargetMode="External"/><Relationship Id="rId36" Type="http://schemas.openxmlformats.org/officeDocument/2006/relationships/hyperlink" Target="https://pubmed.ncbi.nlm.nih.gov/22048312/" TargetMode="External"/><Relationship Id="rId49" Type="http://schemas.openxmlformats.org/officeDocument/2006/relationships/hyperlink" Target="https://pubmed.ncbi.nlm.nih.gov/29973723/" TargetMode="External"/><Relationship Id="rId57" Type="http://schemas.openxmlformats.org/officeDocument/2006/relationships/hyperlink" Target="https://pubmed.ncbi.nlm.nih.gov/40043049/" TargetMode="External"/><Relationship Id="rId10" Type="http://schemas.openxmlformats.org/officeDocument/2006/relationships/image" Target="media/image3.png"/><Relationship Id="rId31" Type="http://schemas.openxmlformats.org/officeDocument/2006/relationships/hyperlink" Target="https://pubmed.ncbi.nlm.nih.gov/36108050/" TargetMode="External"/><Relationship Id="rId44" Type="http://schemas.openxmlformats.org/officeDocument/2006/relationships/hyperlink" Target="https://pubmed.ncbi.nlm.nih.gov/24900171/" TargetMode="External"/><Relationship Id="rId52" Type="http://schemas.openxmlformats.org/officeDocument/2006/relationships/hyperlink" Target="https://pubmed.ncbi.nlm.nih.gov/14679186/" TargetMode="External"/><Relationship Id="rId60" Type="http://schemas.openxmlformats.org/officeDocument/2006/relationships/hyperlink" Target="https://pubmed.ncbi.nlm.nih.gov/22509035/" TargetMode="External"/><Relationship Id="rId65" Type="http://schemas.openxmlformats.org/officeDocument/2006/relationships/hyperlink" Target="https://pubmed.ncbi.nlm.nih.gov/23242215/" TargetMode="External"/><Relationship Id="rId73" Type="http://schemas.openxmlformats.org/officeDocument/2006/relationships/hyperlink" Target="https://pubmed.ncbi.nlm.nih.gov/27792726/" TargetMode="External"/><Relationship Id="rId78" Type="http://schemas.openxmlformats.org/officeDocument/2006/relationships/hyperlink" Target="https://pubmed.ncbi.nlm.nih.gov/32958072/" TargetMode="External"/><Relationship Id="rId81" Type="http://schemas.openxmlformats.org/officeDocument/2006/relationships/hyperlink" Target="https://pubmed.ncbi.nlm.nih.gov/3465335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pubmed.ncbi.nlm.nih.gov/21552266/" TargetMode="External"/><Relationship Id="rId18" Type="http://schemas.openxmlformats.org/officeDocument/2006/relationships/hyperlink" Target="https://pubmed.ncbi.nlm.nih.gov/16110319/" TargetMode="External"/><Relationship Id="rId39" Type="http://schemas.openxmlformats.org/officeDocument/2006/relationships/hyperlink" Target="https://pubmed.ncbi.nlm.nih.gov/17382885/" TargetMode="External"/><Relationship Id="rId34" Type="http://schemas.openxmlformats.org/officeDocument/2006/relationships/hyperlink" Target="https://pubmed.ncbi.nlm.nih.gov/25964244/" TargetMode="External"/><Relationship Id="rId50" Type="http://schemas.openxmlformats.org/officeDocument/2006/relationships/hyperlink" Target="https://pubmed.ncbi.nlm.nih.gov/30061387/" TargetMode="External"/><Relationship Id="rId55" Type="http://schemas.openxmlformats.org/officeDocument/2006/relationships/hyperlink" Target="https://pubmed.ncbi.nlm.nih.gov/36604599/" TargetMode="External"/><Relationship Id="rId76" Type="http://schemas.openxmlformats.org/officeDocument/2006/relationships/hyperlink" Target="https://pubmed.ncbi.nlm.nih.gov/12036371/" TargetMode="External"/><Relationship Id="rId7" Type="http://schemas.openxmlformats.org/officeDocument/2006/relationships/endnotes" Target="endnotes.xml"/><Relationship Id="rId71" Type="http://schemas.openxmlformats.org/officeDocument/2006/relationships/hyperlink" Target="https://pubmed.ncbi.nlm.nih.gov/34278794/" TargetMode="External"/><Relationship Id="rId2" Type="http://schemas.openxmlformats.org/officeDocument/2006/relationships/numbering" Target="numbering.xml"/><Relationship Id="rId29" Type="http://schemas.openxmlformats.org/officeDocument/2006/relationships/hyperlink" Target="https://pubmed.ncbi.nlm.nih.gov/36927031/" TargetMode="External"/><Relationship Id="rId24" Type="http://schemas.openxmlformats.org/officeDocument/2006/relationships/hyperlink" Target="https://pubmed.ncbi.nlm.nih.gov/37933841/" TargetMode="External"/><Relationship Id="rId40" Type="http://schemas.openxmlformats.org/officeDocument/2006/relationships/hyperlink" Target="https://pubmed.ncbi.nlm.nih.gov/32332723/" TargetMode="External"/><Relationship Id="rId45" Type="http://schemas.openxmlformats.org/officeDocument/2006/relationships/hyperlink" Target="https://pubmed.ncbi.nlm.nih.gov/32665320/" TargetMode="External"/><Relationship Id="rId66" Type="http://schemas.openxmlformats.org/officeDocument/2006/relationships/hyperlink" Target="https://pubmed.ncbi.nlm.nih.gov/30545847/" TargetMode="External"/><Relationship Id="rId61" Type="http://schemas.openxmlformats.org/officeDocument/2006/relationships/hyperlink" Target="https://pubmed.ncbi.nlm.nih.gov/33283989/"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8098</Words>
  <Characters>44541</Characters>
  <Application>Microsoft Office Word</Application>
  <DocSecurity>0</DocSecurity>
  <Lines>371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Antonio Ojeda</cp:lastModifiedBy>
  <cp:revision>6</cp:revision>
  <dcterms:created xsi:type="dcterms:W3CDTF">2013-12-23T23:15:00Z</dcterms:created>
  <dcterms:modified xsi:type="dcterms:W3CDTF">2026-10-23T17:07:00Z</dcterms:modified>
  <cp:category/>
</cp:coreProperties>
</file>