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6217" w14:textId="61C7B929" w:rsidR="00DB050D" w:rsidRPr="005944EA" w:rsidRDefault="00DB050D" w:rsidP="00DB050D">
      <w:pPr>
        <w:jc w:val="center"/>
        <w:rPr>
          <w:b/>
          <w:bCs/>
          <w:u w:val="single"/>
        </w:rPr>
      </w:pPr>
      <w:r w:rsidRPr="005944EA">
        <w:rPr>
          <w:b/>
          <w:bCs/>
          <w:u w:val="single"/>
        </w:rPr>
        <w:t>Data Processing Proposal:</w:t>
      </w:r>
    </w:p>
    <w:p w14:paraId="2E8CD372" w14:textId="2BCE894D" w:rsidR="00127922" w:rsidRDefault="00DB050D" w:rsidP="00DB050D">
      <w:r w:rsidRPr="00DB050D">
        <w:rPr>
          <w:b/>
          <w:bCs/>
        </w:rPr>
        <w:t>Research question</w:t>
      </w:r>
      <w:r w:rsidRPr="00DB050D">
        <w:t>: Which companies and sectors contributed most to the S&amp;P 500’s overall performance during the first half of 2025, and how did their volatility and trading activity influence these movements?</w:t>
      </w:r>
    </w:p>
    <w:p w14:paraId="65404EAB" w14:textId="2D761495" w:rsidR="00127922" w:rsidRPr="00127922" w:rsidRDefault="00127922" w:rsidP="00127922">
      <w:r w:rsidRPr="00127922">
        <w:t xml:space="preserve">Using daily opening, closing, and volume data for all 503 S&amp;P 500 constituents from January to June 2025, </w:t>
      </w:r>
      <w:r>
        <w:t xml:space="preserve">we will </w:t>
      </w:r>
      <w:r w:rsidRPr="00127922">
        <w:t>engineer key performance metrics including daily returns, cumulative returns, volatility, and average dollar volume.</w:t>
      </w:r>
    </w:p>
    <w:p w14:paraId="6F16EADB" w14:textId="0B797044" w:rsidR="00127922" w:rsidRPr="00127922" w:rsidRDefault="00127922" w:rsidP="00127922">
      <w:r w:rsidRPr="00127922">
        <w:t xml:space="preserve">To estimate each company’s influence on the index, I </w:t>
      </w:r>
      <w:r>
        <w:t xml:space="preserve">will </w:t>
      </w:r>
      <w:r w:rsidRPr="00127922">
        <w:t>construct a weighted contribution metric by multiplying cumulative return with average dollar volume. This serves as a practical proxy for market impact, reflecting both price appreciation and the level of investor capital involved. Company-level analysis then highlights the top contributors, revealing a strong concentration of performance leadership within the Information Technology sector.</w:t>
      </w:r>
    </w:p>
    <w:p w14:paraId="5D3CD39C" w14:textId="77777777" w:rsidR="00127922" w:rsidRPr="00127922" w:rsidRDefault="00127922" w:rsidP="00127922">
      <w:r w:rsidRPr="00127922">
        <w:t>Next, a linear regression model is applied to explain differences in cumulative returns based on risk (volatility), liquidity (dollar volume), and sector membership. Although the predictive power is limited—consistent with the noisy nature of short-term equity returns—the model provides interpretability into the factors that supported outperformance.</w:t>
      </w:r>
    </w:p>
    <w:p w14:paraId="557BC7CC" w14:textId="61728E5C" w:rsidR="00127922" w:rsidRDefault="00127922" w:rsidP="00DB050D">
      <w:r w:rsidRPr="00127922">
        <w:t>Ultimately, this study aims to provide a clear, data-driven narrative of who moved the market, which sectors led, and why tech dominance shaped S&amp;P 500 gains during this period.</w:t>
      </w:r>
    </w:p>
    <w:p w14:paraId="5E8FAAFB" w14:textId="34C60E44" w:rsidR="00DB050D" w:rsidRPr="005944EA" w:rsidRDefault="005944EA" w:rsidP="00DB050D">
      <w:pPr>
        <w:rPr>
          <w:b/>
          <w:bCs/>
        </w:rPr>
      </w:pPr>
      <w:r>
        <w:rPr>
          <w:b/>
          <w:bCs/>
        </w:rPr>
        <w:t xml:space="preserve">Dataset: </w:t>
      </w:r>
      <w:r w:rsidRPr="00DB050D">
        <w:rPr>
          <w:u w:val="single"/>
        </w:rPr>
        <w:t>https://www.kaggle.com/datasets/codebynadiia/s-and-p-500-stocks-trade-data-for-first-6-month-2025</w:t>
      </w:r>
    </w:p>
    <w:p w14:paraId="1FC8A7F0" w14:textId="5770C88A" w:rsidR="00DB050D" w:rsidRPr="00DB050D" w:rsidRDefault="00DB050D" w:rsidP="00DB050D">
      <w:r>
        <w:t>Done by: Lee Jedidiah</w:t>
      </w:r>
    </w:p>
    <w:p w14:paraId="131DB89B" w14:textId="77777777" w:rsidR="00DB050D" w:rsidRDefault="00DB050D"/>
    <w:sectPr w:rsidR="00DB0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0D"/>
    <w:rsid w:val="000723B7"/>
    <w:rsid w:val="00127922"/>
    <w:rsid w:val="003D4BE6"/>
    <w:rsid w:val="005944EA"/>
    <w:rsid w:val="00624EE2"/>
    <w:rsid w:val="009076B2"/>
    <w:rsid w:val="00B02338"/>
    <w:rsid w:val="00C65712"/>
    <w:rsid w:val="00DB050D"/>
    <w:rsid w:val="00EB2090"/>
    <w:rsid w:val="00EC4D4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A5F3"/>
  <w15:chartTrackingRefBased/>
  <w15:docId w15:val="{80C6B4DC-6C7A-46F0-BE54-A1A4F92CD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0D"/>
    <w:rPr>
      <w:rFonts w:eastAsiaTheme="majorEastAsia" w:cstheme="majorBidi"/>
      <w:color w:val="272727" w:themeColor="text1" w:themeTint="D8"/>
    </w:rPr>
  </w:style>
  <w:style w:type="paragraph" w:styleId="Title">
    <w:name w:val="Title"/>
    <w:basedOn w:val="Normal"/>
    <w:next w:val="Normal"/>
    <w:link w:val="TitleChar"/>
    <w:uiPriority w:val="10"/>
    <w:qFormat/>
    <w:rsid w:val="00DB0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0D"/>
    <w:pPr>
      <w:spacing w:before="160"/>
      <w:jc w:val="center"/>
    </w:pPr>
    <w:rPr>
      <w:i/>
      <w:iCs/>
      <w:color w:val="404040" w:themeColor="text1" w:themeTint="BF"/>
    </w:rPr>
  </w:style>
  <w:style w:type="character" w:customStyle="1" w:styleId="QuoteChar">
    <w:name w:val="Quote Char"/>
    <w:basedOn w:val="DefaultParagraphFont"/>
    <w:link w:val="Quote"/>
    <w:uiPriority w:val="29"/>
    <w:rsid w:val="00DB050D"/>
    <w:rPr>
      <w:i/>
      <w:iCs/>
      <w:color w:val="404040" w:themeColor="text1" w:themeTint="BF"/>
    </w:rPr>
  </w:style>
  <w:style w:type="paragraph" w:styleId="ListParagraph">
    <w:name w:val="List Paragraph"/>
    <w:basedOn w:val="Normal"/>
    <w:uiPriority w:val="34"/>
    <w:qFormat/>
    <w:rsid w:val="00DB050D"/>
    <w:pPr>
      <w:ind w:left="720"/>
      <w:contextualSpacing/>
    </w:pPr>
  </w:style>
  <w:style w:type="character" w:styleId="IntenseEmphasis">
    <w:name w:val="Intense Emphasis"/>
    <w:basedOn w:val="DefaultParagraphFont"/>
    <w:uiPriority w:val="21"/>
    <w:qFormat/>
    <w:rsid w:val="00DB050D"/>
    <w:rPr>
      <w:i/>
      <w:iCs/>
      <w:color w:val="0F4761" w:themeColor="accent1" w:themeShade="BF"/>
    </w:rPr>
  </w:style>
  <w:style w:type="paragraph" w:styleId="IntenseQuote">
    <w:name w:val="Intense Quote"/>
    <w:basedOn w:val="Normal"/>
    <w:next w:val="Normal"/>
    <w:link w:val="IntenseQuoteChar"/>
    <w:uiPriority w:val="30"/>
    <w:qFormat/>
    <w:rsid w:val="00DB0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0D"/>
    <w:rPr>
      <w:i/>
      <w:iCs/>
      <w:color w:val="0F4761" w:themeColor="accent1" w:themeShade="BF"/>
    </w:rPr>
  </w:style>
  <w:style w:type="character" w:styleId="IntenseReference">
    <w:name w:val="Intense Reference"/>
    <w:basedOn w:val="DefaultParagraphFont"/>
    <w:uiPriority w:val="32"/>
    <w:qFormat/>
    <w:rsid w:val="00DB05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8545">
      <w:bodyDiv w:val="1"/>
      <w:marLeft w:val="0"/>
      <w:marRight w:val="0"/>
      <w:marTop w:val="0"/>
      <w:marBottom w:val="0"/>
      <w:divBdr>
        <w:top w:val="none" w:sz="0" w:space="0" w:color="auto"/>
        <w:left w:val="none" w:sz="0" w:space="0" w:color="auto"/>
        <w:bottom w:val="none" w:sz="0" w:space="0" w:color="auto"/>
        <w:right w:val="none" w:sz="0" w:space="0" w:color="auto"/>
      </w:divBdr>
    </w:div>
    <w:div w:id="1756046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Jedidiah Lee</dc:creator>
  <cp:keywords/>
  <dc:description/>
  <cp:lastModifiedBy>Jedidiah Lee</cp:lastModifiedBy>
  <cp:revision>5</cp:revision>
  <dcterms:created xsi:type="dcterms:W3CDTF">2025-11-07T14:02:00Z</dcterms:created>
  <dcterms:modified xsi:type="dcterms:W3CDTF">2025-12-02T12:31:00Z</dcterms:modified>
</cp:coreProperties>
</file>