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p>
    <w:p>
      <w:pPr>
        <w:pStyle w:val="Normal"/>
      </w:pPr>
      <w:r>
        <w:rPr>
          <w:highlight w:val="yellow"/>
        </w:rPr>
        <w:t>Introduction et ENT_0023 (2005–2025)</w:t>
      </w:r>
    </w:p>
    <w:p>
      <w:pPr>
        <w:pStyle w:val="Normal"/>
      </w:pPr>
      <w:r>
        <w:t>Introduction</w:t>
      </w:r>
    </w:p>
    <w:p>
      <w:pPr>
        <w:pStyle w:val="Normal"/>
      </w:pPr>
      <w:r>
        <w:rPr>
          <w:highlight w:val="yellow"/>
        </w:rPr>
        <w:t>Au cours des deux dernières décennies, le système éducatif français a connu de profondes transformations, tant sur le plan structurel que pédagogique. Ces évolutions ont été façonnées par une succession de ministres de l'Éducation nationale, chacun apportant sa vision et ses réformes, ainsi que par les ENT_0009 d'académie, garants de la mise en œuvre des politiques éducatives au niveau régional.</w:t>
      </w:r>
    </w:p>
    <w:p>
      <w:pPr>
        <w:pStyle w:val="Normal"/>
      </w:pPr>
      <w:r>
        <w:t>Les Ministres de l'Éducation Nationale (2005–2025)</w:t>
      </w:r>
    </w:p>
    <w:p>
      <w:pPr>
        <w:pStyle w:val="Normal"/>
      </w:pPr>
      <w:r>
        <w:t>Depuis 2005, plusieurs personnalités ont occupé le poste de ministre de l'Éducation nationale, chacune marquant son mandat par des initiatives spécifiques :</w:t>
      </w:r>
    </w:p>
    <w:p>
      <w:pPr>
        <w:pStyle w:val="Normal"/>
      </w:pPr>
      <w:r>
        <w:t>* Gilles de Robien (2 juin 2005 – 15 mai 2007) : a mis l'accent sur la lutte contre l'échec scolaire et la promotion de l'apprentissage des fondamentaux.</w:t>
      </w:r>
    </w:p>
    <w:p>
      <w:pPr>
        <w:pStyle w:val="Normal"/>
      </w:pPr>
      <w:r>
        <w:t>* Xavier Darcos (18 mai 2007 – 23 juin 2009) : a initié la réforme du primaire et introduit le socle commun de connaissances et de compétences.</w:t>
      </w:r>
    </w:p>
    <w:p>
      <w:pPr>
        <w:pStyle w:val="Normal"/>
      </w:pPr>
      <w:r>
        <w:t>* Luc Chatel (23 juin 2009 – 10 mai 2012) : a poursuivi les réformes du lycée et développé l'utilisation des technologies numériques à l'école.</w:t>
      </w:r>
    </w:p>
    <w:p>
      <w:pPr>
        <w:pStyle w:val="Normal"/>
      </w:pPr>
      <w:r>
        <w:t>* Vincent Peillon (16 mai 2012 – 2 avril 2014) : a lancé la refondation de l'école de la République, mettant l'accent sur la formation des enseignants.</w:t>
      </w:r>
    </w:p>
    <w:p>
      <w:pPr>
        <w:pStyle w:val="Normal"/>
      </w:pPr>
      <w:r>
        <w:t>* Benoît Hamon (2 avril 2014 – 25 août 2014) : a poursuivi les réformes engagées, notamment sur les rythmes scolaires.</w:t>
      </w:r>
    </w:p>
    <w:p>
      <w:pPr>
        <w:pStyle w:val="Normal"/>
      </w:pPr>
      <w:r>
        <w:t>* Najat Vallaud-Belkacem (26 août 2014 – 10 mai 2017) : première femme à ce poste, elle a mis en œuvre la réforme du collège et renforcé l'éducation à la citoyenneté.</w:t>
      </w:r>
    </w:p>
    <w:p>
      <w:pPr>
        <w:pStyle w:val="Normal"/>
      </w:pPr>
      <w:r>
        <w:t>* Jean-Michel Blanquer (17 mai 2017 – 20 mai 2022) : a introduit des évaluations nationales et la réforme du baccalauréat, tout en renforçant l'autonomie des établissements.</w:t>
      </w:r>
    </w:p>
    <w:p>
      <w:pPr>
        <w:pStyle w:val="Normal"/>
      </w:pPr>
      <w:r>
        <w:t>* Pap Ndiaye (20 mai 2022 – 20 juillet 2023) : a mis l'accent sur l'égalité des chances et la lutte contre les discriminations.</w:t>
      </w:r>
    </w:p>
    <w:p>
      <w:pPr>
        <w:pStyle w:val="Normal"/>
      </w:pPr>
      <w:r>
        <w:t>* Gabriel Attal (20 juillet 2023 – 9 janvier 2024) : a poursuivi les réformes engagées, notamment en matière de numérique éducatif.</w:t>
      </w:r>
    </w:p>
    <w:p>
      <w:pPr>
        <w:pStyle w:val="Normal"/>
      </w:pPr>
      <w:r>
        <w:rPr>
          <w:highlight w:val="yellow"/>
        </w:rPr>
        <w:t>* Amélie Oudéa-Castéra (11 janvier 2024 – 8 février 2024) : a brièvement occupé le poste, mettant l'accent sur l'organisation des ENT_0008</w:t>
      </w:r>
    </w:p>
    <w:p>
      <w:pPr>
        <w:pStyle w:val="Normal"/>
      </w:pPr>
      <w:r>
        <w:t>* Nicole Belloubet (8 février 2024 – 21 septembre 2024) : a travaillé sur la revalorisation du métier enseignant et la réforme de la formation initiale.</w:t>
      </w:r>
    </w:p>
    <w:p>
      <w:pPr>
        <w:pStyle w:val="Normal"/>
      </w:pPr>
      <w:r>
        <w:t>* Anne Genetet (21 septembre 2024 – 23 décembre 2024) : a poursuivi les chantiers en cours, notamment sur l'inclusion scolaire.</w:t>
      </w:r>
    </w:p>
    <w:p>
      <w:pPr>
        <w:pStyle w:val="Normal"/>
      </w:pPr>
      <w:r>
        <w:rPr>
          <w:highlight w:val="yellow"/>
        </w:rPr>
        <w:t>* Élisabeth Borne (23 décembre 2024 – en fonction) : actuelle ministre, elle œuvre pour une école plus inclusive et adaptée aux défis du ENT_0013</w:t>
      </w:r>
    </w:p>
    <w:p>
      <w:pPr>
        <w:pStyle w:val="Normal"/>
      </w:pPr>
      <w:r>
        <w:rPr>
          <w:highlight w:val="yellow"/>
        </w:rPr>
        <w:t>Les ENT_0009 d'Académie</w:t>
      </w:r>
    </w:p>
    <w:p>
      <w:pPr>
        <w:pStyle w:val="Normal"/>
      </w:pPr>
      <w:r>
        <w:rPr>
          <w:highlight w:val="yellow"/>
        </w:rPr>
        <w:t>Les ENT_0009 d'académie sont les représentants du ministère de l'Éducation nationale dans les régions. Ils ont pour mission de mettre en œuvre la politique éducative, d'assurer ENT_0011</w:t>
      </w:r>
    </w:p>
    <w:p>
      <w:pPr>
        <w:pStyle w:val="Normal"/>
      </w:pPr>
      <w:r>
        <w:rPr>
          <w:highlight w:val="yellow"/>
        </w:rPr>
        <w:t>Voici quelques exemples de ENT_0009 en poste en 2025 :AEF info</w:t>
      </w:r>
    </w:p>
    <w:p>
      <w:pPr>
        <w:pStyle w:val="Normal"/>
      </w:pPr>
      <w:r>
        <w:t>* Académie de Paris : Julie Benetti (nommée le 19 juillet 2023)Ekole+2Wikipédia+2AEF info+2</w:t>
      </w:r>
    </w:p>
    <w:p>
      <w:pPr>
        <w:pStyle w:val="Normal"/>
      </w:pPr>
      <w:r>
        <w:t>* Académie de Créteil : Julie Benetti (nommée le 19 juillet 2023)</w:t>
      </w:r>
    </w:p>
    <w:p>
      <w:pPr>
        <w:pStyle w:val="Normal"/>
      </w:pPr>
      <w:r>
        <w:t>* Académie de Lyon : Anne Bisagni-Faure (nommée en mars 2025)Ekole+2Wikipédia+2AEF info+2</w:t>
      </w:r>
    </w:p>
    <w:p>
      <w:pPr>
        <w:pStyle w:val="Normal"/>
      </w:pPr>
      <w:r>
        <w:t>* Académie de Guyane : Guillaume Gellé (nommé le 26 mars 2025)ac-guyane.fr</w:t>
      </w:r>
    </w:p>
    <w:p>
      <w:pPr>
        <w:pStyle w:val="Normal"/>
      </w:pPr>
      <w:r>
        <w:t>Chaque recteur ou rectrice joue un rôle clé dans l'adaptation des politiques nationales aux spécificités locales, en collaboration avec les acteurs éducatifs de leur territoire.</w:t>
      </w:r>
    </w:p>
    <w:p>
      <w:pPr>
        <w:pStyle w:val="Normal"/>
      </w:pPr>
      <w:r/>
    </w:p>
    <w:p>
      <w:pPr>
        <w:pStyle w:val="Normal"/>
      </w:pPr>
      <w:r/>
    </w:p>
    <w:p>
      <w:pPr>
        <w:pStyle w:val="Normal"/>
      </w:pPr>
      <w:r>
        <w:t>Les grandes réformes du système éducatif français (2005–2025)</w:t>
      </w:r>
    </w:p>
    <w:p>
      <w:pPr>
        <w:pStyle w:val="Normal"/>
      </w:pPr>
      <w:r>
        <w:t>1. Le socle commun et la refondation de l’école</w:t>
      </w:r>
    </w:p>
    <w:p>
      <w:pPr>
        <w:pStyle w:val="Normal"/>
      </w:pPr>
      <w:r>
        <w:t>Réforme Darcos (2008) &amp; Peillon (2013)</w:t>
      </w:r>
    </w:p>
    <w:p>
      <w:pPr>
        <w:pStyle w:val="Normal"/>
      </w:pPr>
      <w:r>
        <w:t>En 2008, sous Xavier Darcos, le concept de socle commun de connaissances et de compétences est officiellement introduit, visant à définir ce que chaque élève doit maîtriser à l’issue de la scolarité obligatoire. Cette approche a pour but de garantir une base commune pour tous, malgré les inégalités sociales.</w:t>
      </w:r>
    </w:p>
    <w:p>
      <w:pPr>
        <w:pStyle w:val="Normal"/>
      </w:pPr>
      <w:r>
        <w:rPr>
          <w:highlight w:val="yellow"/>
        </w:rPr>
        <w:t>En 2013, Vincent Peillon, avec la ENT_0004 Il relance aussi les Écoles supérieures du professorat et de l’éducation (ESPE) pour améliorer la formation initiale des enseignants.</w:t>
      </w:r>
    </w:p>
    <w:p>
      <w:pPr>
        <w:pStyle w:val="Normal"/>
      </w:pPr>
      <w:r/>
    </w:p>
    <w:p>
      <w:pPr>
        <w:pStyle w:val="Normal"/>
      </w:pPr>
      <w:r>
        <w:t>2. Réforme du collège et de l’évaluation</w:t>
      </w:r>
    </w:p>
    <w:p>
      <w:pPr>
        <w:pStyle w:val="Normal"/>
      </w:pPr>
      <w:r>
        <w:rPr>
          <w:highlight w:val="yellow"/>
        </w:rPr>
        <w:t>ENT_0014 (2014–2017)</w:t>
      </w:r>
    </w:p>
    <w:p>
      <w:pPr>
        <w:pStyle w:val="Normal"/>
      </w:pPr>
      <w:r>
        <w:t>Une réforme majeure du collège est lancée en 2016. Elle prévoit :</w:t>
      </w:r>
    </w:p>
    <w:p>
      <w:pPr>
        <w:pStyle w:val="Normal"/>
      </w:pPr>
      <w:r>
        <w:t>* Plus d’interdisciplinarité via les EPI (enseignements pratiques interdisciplinaires),</w:t>
      </w:r>
    </w:p>
    <w:p>
      <w:pPr>
        <w:pStyle w:val="Normal"/>
      </w:pPr>
      <w:r>
        <w:t>* Une seconde langue vivante dès la 5e,</w:t>
      </w:r>
    </w:p>
    <w:p>
      <w:pPr>
        <w:pStyle w:val="Normal"/>
      </w:pPr>
      <w:r>
        <w:rPr>
          <w:highlight w:val="yellow"/>
        </w:rPr>
        <w:t>* ENT_0015</w:t>
      </w:r>
    </w:p>
    <w:p>
      <w:pPr>
        <w:pStyle w:val="Normal"/>
      </w:pPr>
      <w:r>
        <w:t>Parallèlement, les notations chiffrées sont partiellement remplacées par une évaluation par compétences au cycle 3 (CM1 – 6e), suscitant débats et résistances dans le monde enseignant.</w:t>
      </w:r>
    </w:p>
    <w:p>
      <w:pPr>
        <w:pStyle w:val="Normal"/>
      </w:pPr>
      <w:r/>
    </w:p>
    <w:p>
      <w:pPr>
        <w:pStyle w:val="Normal"/>
      </w:pPr>
      <w:r>
        <w:t>3. Réforme du baccalauréat et du lycée général</w:t>
      </w:r>
    </w:p>
    <w:p>
      <w:pPr>
        <w:pStyle w:val="Normal"/>
      </w:pPr>
      <w:r>
        <w:t>Sous Jean-Michel Blanquer (2017–2022)</w:t>
      </w:r>
    </w:p>
    <w:p>
      <w:pPr>
        <w:pStyle w:val="Normal"/>
      </w:pPr>
      <w:r>
        <w:t>L’un des chantiers les plus emblématiques de ce ministre fut la réforme du bac, mise en œuvre à partir de 2021 :</w:t>
      </w:r>
    </w:p>
    <w:p>
      <w:pPr>
        <w:pStyle w:val="Normal"/>
      </w:pPr>
      <w:r>
        <w:rPr>
          <w:highlight w:val="yellow"/>
        </w:rPr>
        <w:t>* ENT_0007 au profit de spécialités à la carte,</w:t>
      </w:r>
    </w:p>
    <w:p>
      <w:pPr>
        <w:pStyle w:val="Normal"/>
      </w:pPr>
      <w:r>
        <w:t>* Introduction d’un contrôle continu représentant 40 % de la note finale,</w:t>
      </w:r>
    </w:p>
    <w:p>
      <w:pPr>
        <w:pStyle w:val="Normal"/>
      </w:pPr>
      <w:r>
        <w:rPr>
          <w:highlight w:val="yellow"/>
        </w:rPr>
        <w:t>* ENT_0010</w:t>
      </w:r>
    </w:p>
    <w:p>
      <w:pPr>
        <w:pStyle w:val="Normal"/>
      </w:pPr>
      <w:r>
        <w:t>Le lycée professionnel a aussi été réorganisé avec davantage d’heures en entreprise et un objectif renforcé d’insertion professionnelle.</w:t>
      </w:r>
    </w:p>
    <w:p>
      <w:pPr>
        <w:pStyle w:val="Normal"/>
      </w:pPr>
      <w:r/>
    </w:p>
    <w:p>
      <w:pPr>
        <w:pStyle w:val="Normal"/>
      </w:pPr>
      <w:r>
        <w:t>4. Parcoursup : sélection ou orientation ?</w:t>
      </w:r>
    </w:p>
    <w:p>
      <w:pPr>
        <w:pStyle w:val="Normal"/>
      </w:pPr>
      <w:r>
        <w:rPr>
          <w:highlight w:val="yellow"/>
        </w:rPr>
        <w:t>Créée en 2018, la plateforme ENT_0017 Elle permet aux élèves de formuler des vœux d’orientation dans l’enseignement supérieur. La plateforme introduit une logique de dossier et de motivation, critiquée pour son manque de transparence et ses effets potentiels sur les inégalités sociales.</w:t>
      </w:r>
    </w:p>
    <w:p>
      <w:pPr>
        <w:pStyle w:val="Normal"/>
      </w:pPr>
      <w:r/>
    </w:p>
    <w:p>
      <w:pPr>
        <w:pStyle w:val="Normal"/>
      </w:pPr>
      <w:r>
        <w:t>5. Le numérique éducatif</w:t>
      </w:r>
    </w:p>
    <w:p>
      <w:pPr>
        <w:pStyle w:val="Normal"/>
      </w:pPr>
      <w:r>
        <w:t>Depuis les années 2010, le numérique est progressivement intégré dans les écoles :</w:t>
      </w:r>
    </w:p>
    <w:p>
      <w:pPr>
        <w:pStyle w:val="Normal"/>
      </w:pPr>
      <w:r>
        <w:t>* Distribution de tablettes et d’ordinateurs (notamment en collège),</w:t>
      </w:r>
    </w:p>
    <w:p>
      <w:pPr>
        <w:pStyle w:val="Normal"/>
      </w:pPr>
      <w:r>
        <w:t>* Déploiement des ENT (espaces numériques de travail),</w:t>
      </w:r>
    </w:p>
    <w:p>
      <w:pPr>
        <w:pStyle w:val="Normal"/>
      </w:pPr>
      <w:r>
        <w:t>* Plateformes d’apprentissage (Ma classe à la maison, Lumni) renforcées pendant la pandémie de COVID-19.</w:t>
      </w:r>
    </w:p>
    <w:p>
      <w:pPr>
        <w:pStyle w:val="Normal"/>
      </w:pPr>
      <w:r>
        <w:t>Cependant, les inégalités d’équipement et de formation des enseignants restent un frein majeur à une réelle transition numérique.</w:t>
      </w:r>
    </w:p>
    <w:p>
      <w:pPr>
        <w:pStyle w:val="Normal"/>
      </w:pPr>
      <w:r/>
    </w:p>
    <w:p>
      <w:pPr>
        <w:pStyle w:val="Normal"/>
      </w:pPr>
      <w:r>
        <w:t>6. Inclusion et égalité</w:t>
      </w:r>
    </w:p>
    <w:p>
      <w:pPr>
        <w:pStyle w:val="Normal"/>
      </w:pPr>
      <w:r>
        <w:t>Les réformes récentes (2020–2025) mettent l’accent sur :</w:t>
      </w:r>
    </w:p>
    <w:p>
      <w:pPr>
        <w:pStyle w:val="Normal"/>
      </w:pPr>
      <w:r>
        <w:t>* L’école inclusive, avec la montée en puissance des AESH (accompagnants d’élèves en situation de handicap),</w:t>
      </w:r>
    </w:p>
    <w:p>
      <w:pPr>
        <w:pStyle w:val="Normal"/>
      </w:pPr>
      <w:r>
        <w:t>* La lutte contre les discriminations, portée notamment par Pap Ndiaye,</w:t>
      </w:r>
    </w:p>
    <w:p>
      <w:pPr>
        <w:pStyle w:val="Normal"/>
      </w:pPr>
      <w:r>
        <w:rPr>
          <w:highlight w:val="yellow"/>
        </w:rPr>
        <w:t>* ENT_0018</w:t>
      </w:r>
    </w:p>
    <w:p>
      <w:pPr>
        <w:pStyle w:val="Normal"/>
      </w:pPr>
      <w:r/>
    </w:p>
    <w:p>
      <w:pPr>
        <w:pStyle w:val="Normal"/>
      </w:pPr>
      <w:r/>
    </w:p>
    <w:p>
      <w:pPr>
        <w:pStyle w:val="Normal"/>
      </w:pPr>
      <w:r>
        <w:t>Les académies, les recteurs et la territorialisation des politiques éducatives</w:t>
      </w:r>
    </w:p>
    <w:p>
      <w:pPr>
        <w:pStyle w:val="Normal"/>
      </w:pPr>
      <w:r>
        <w:t>1. Les académies : cadre régional de l’Éducation nationale</w:t>
      </w:r>
    </w:p>
    <w:p>
      <w:pPr>
        <w:pStyle w:val="Normal"/>
      </w:pPr>
      <w:r>
        <w:t>Le système éducatif français est organisé en académies, qui sont les échelons déconcentrés du ministère de l’Éducation nationale. En 2025, la France métropolitaine compte 26 académies, et les outre-mer en comptent 4 (La Réunion, Guadeloupe, Martinique, Guyane), soit un total de 30 académies.</w:t>
      </w:r>
    </w:p>
    <w:p>
      <w:pPr>
        <w:pStyle w:val="Normal"/>
      </w:pPr>
      <w:r>
        <w:t>Chaque académie est dirigée par un recteur ou une rectrice d’académie, nommé(e) par décret du président de la République, sur proposition du ministre. Le recteur est assisté d’un secrétaire général, de directeurs académiques (DASEN), et de nombreux services spécialisés (RH, pédagogie, examens, orientation…).</w:t>
      </w:r>
    </w:p>
    <w:p>
      <w:pPr>
        <w:pStyle w:val="Normal"/>
      </w:pPr>
      <w:r/>
    </w:p>
    <w:p>
      <w:pPr>
        <w:pStyle w:val="Normal"/>
      </w:pPr>
      <w:r>
        <w:rPr>
          <w:highlight w:val="yellow"/>
        </w:rPr>
        <w:t>2. Missions des ENT_0009</w:t>
      </w:r>
    </w:p>
    <w:p>
      <w:pPr>
        <w:pStyle w:val="Normal"/>
      </w:pPr>
      <w:r>
        <w:t>Les recteurs représentent l'État au niveau académique. Leurs principales missions sont les suivantes :</w:t>
      </w:r>
    </w:p>
    <w:p>
      <w:pPr>
        <w:pStyle w:val="Normal"/>
      </w:pPr>
      <w:r>
        <w:t>* Mettre en œuvre les politiques nationales (réformes, priorités pédagogiques, etc.),</w:t>
      </w:r>
    </w:p>
    <w:p>
      <w:pPr>
        <w:pStyle w:val="Normal"/>
      </w:pPr>
      <w:r>
        <w:t>* Gérer les personnels enseignants et non-enseignants,</w:t>
      </w:r>
    </w:p>
    <w:p>
      <w:pPr>
        <w:pStyle w:val="Normal"/>
      </w:pPr>
      <w:r>
        <w:t>* Superviser les établissements scolaires publics et privés sous contrat,</w:t>
      </w:r>
    </w:p>
    <w:p>
      <w:pPr>
        <w:pStyle w:val="Normal"/>
      </w:pPr>
      <w:r>
        <w:t>* Piloter les résultats scolaires dans leur académie (suivi des indicateurs de réussite),</w:t>
      </w:r>
    </w:p>
    <w:p>
      <w:pPr>
        <w:pStyle w:val="Normal"/>
      </w:pPr>
      <w:r>
        <w:t>* Assurer l'égalité des chances et veiller à la cohésion territoriale.</w:t>
      </w:r>
    </w:p>
    <w:p>
      <w:pPr>
        <w:pStyle w:val="Normal"/>
      </w:pPr>
      <w:r>
        <w:t>Ils ont également un rôle central dans la gestion de crise (pandémie, grèves, incidents scolaires).</w:t>
      </w:r>
    </w:p>
    <w:p>
      <w:pPr>
        <w:pStyle w:val="Normal"/>
      </w:pPr>
      <w:r/>
    </w:p>
    <w:p>
      <w:pPr>
        <w:pStyle w:val="Normal"/>
      </w:pPr>
      <w:r>
        <w:t>3. Évolution vers des régions académiques</w:t>
      </w:r>
    </w:p>
    <w:p>
      <w:pPr>
        <w:pStyle w:val="Normal"/>
      </w:pPr>
      <w:r>
        <w:t>Depuis 2016, les académies sont regroupées en régions académiques, à la suite de la réforme territoriale :</w:t>
      </w:r>
    </w:p>
    <w:p>
      <w:pPr>
        <w:pStyle w:val="Normal"/>
      </w:pPr>
      <w:r>
        <w:t>* Exemple : Les académies de Lille et Amiens forment la région académique Hauts-de-France.</w:t>
      </w:r>
    </w:p>
    <w:p>
      <w:pPr>
        <w:pStyle w:val="Normal"/>
      </w:pPr>
      <w:r>
        <w:rPr>
          <w:highlight w:val="yellow"/>
        </w:rPr>
        <w:t>* Chaque région académique est pilotée par un recteur de région académique, qui coordonne les recteurs des académies ENT_0022</w:t>
      </w:r>
    </w:p>
    <w:p>
      <w:pPr>
        <w:pStyle w:val="Normal"/>
      </w:pPr>
      <w:r>
        <w:t>Cette régionalisation vise à :</w:t>
      </w:r>
    </w:p>
    <w:p>
      <w:pPr>
        <w:pStyle w:val="Normal"/>
      </w:pPr>
      <w:r>
        <w:t>* Harmoniser les politiques éducatives au niveau régional,</w:t>
      </w:r>
    </w:p>
    <w:p>
      <w:pPr>
        <w:pStyle w:val="Normal"/>
      </w:pPr>
      <w:r>
        <w:t>* Mutualiser certains services (gestion RH, numérique),</w:t>
      </w:r>
    </w:p>
    <w:p>
      <w:pPr>
        <w:pStyle w:val="Normal"/>
      </w:pPr>
      <w:r>
        <w:rPr>
          <w:highlight w:val="yellow"/>
        </w:rPr>
        <w:t>* ENT_0020</w:t>
      </w:r>
    </w:p>
    <w:p>
      <w:pPr>
        <w:pStyle w:val="Normal"/>
      </w:pPr>
      <w:r/>
    </w:p>
    <w:p>
      <w:pPr>
        <w:pStyle w:val="Normal"/>
      </w:pPr>
      <w:r>
        <w:rPr>
          <w:highlight w:val="yellow"/>
        </w:rPr>
        <w:t>4. Exemples de ENT_0009 en 2025</w:t>
      </w:r>
    </w:p>
    <w:p>
      <w:pPr>
        <w:pStyle w:val="Normal"/>
      </w:pPr>
      <w:r>
        <w:t>Voici quelques personnalités en poste en 2025 (données à jour d'après les sources officielles) :</w:t>
      </w:r>
    </w:p>
    <w:p>
      <w:pPr>
        <w:pStyle w:val="Normal"/>
      </w:pPr>
      <w:r>
        <w:t>Académie</w:t>
      </w:r>
    </w:p>
    <w:p>
      <w:pPr>
        <w:pStyle w:val="Normal"/>
      </w:pPr>
      <w:r>
        <w:t>Recteur / Rectrice</w:t>
      </w:r>
    </w:p>
    <w:p>
      <w:pPr>
        <w:pStyle w:val="Normal"/>
      </w:pPr>
      <w:r>
        <w:t>Date de nomination</w:t>
      </w:r>
    </w:p>
    <w:p>
      <w:pPr>
        <w:pStyle w:val="Normal"/>
      </w:pPr>
      <w:r>
        <w:t>Paris</w:t>
      </w:r>
    </w:p>
    <w:p>
      <w:pPr>
        <w:pStyle w:val="Normal"/>
      </w:pPr>
      <w:r>
        <w:t>Julie Benetti</w:t>
      </w:r>
    </w:p>
    <w:p>
      <w:pPr>
        <w:pStyle w:val="Normal"/>
      </w:pPr>
      <w:r>
        <w:t>19 juillet 2023</w:t>
      </w:r>
    </w:p>
    <w:p>
      <w:pPr>
        <w:pStyle w:val="Normal"/>
      </w:pPr>
      <w:r>
        <w:t>Lyon</w:t>
      </w:r>
    </w:p>
    <w:p>
      <w:pPr>
        <w:pStyle w:val="Normal"/>
      </w:pPr>
      <w:r>
        <w:t>Anne Bisagni-Faure</w:t>
      </w:r>
    </w:p>
    <w:p>
      <w:pPr>
        <w:pStyle w:val="Normal"/>
      </w:pPr>
      <w:r>
        <w:t>mars 2025</w:t>
      </w:r>
    </w:p>
    <w:p>
      <w:pPr>
        <w:pStyle w:val="Normal"/>
      </w:pPr>
      <w:r>
        <w:t>Bordeaux</w:t>
      </w:r>
    </w:p>
    <w:p>
      <w:pPr>
        <w:pStyle w:val="Normal"/>
      </w:pPr>
      <w:r>
        <w:t>Olivier Dugrip</w:t>
      </w:r>
    </w:p>
    <w:p>
      <w:pPr>
        <w:pStyle w:val="Normal"/>
      </w:pPr>
      <w:r>
        <w:t>2020 (reconduit)</w:t>
      </w:r>
    </w:p>
    <w:p>
      <w:pPr>
        <w:pStyle w:val="Normal"/>
      </w:pPr>
      <w:r>
        <w:t>Toulouse</w:t>
      </w:r>
    </w:p>
    <w:p>
      <w:pPr>
        <w:pStyle w:val="Normal"/>
      </w:pPr>
      <w:r>
        <w:t>Mostafa Fourar</w:t>
      </w:r>
    </w:p>
    <w:p>
      <w:pPr>
        <w:pStyle w:val="Normal"/>
      </w:pPr>
      <w:r>
        <w:t>janvier 2020</w:t>
      </w:r>
    </w:p>
    <w:p>
      <w:pPr>
        <w:pStyle w:val="Normal"/>
      </w:pPr>
      <w:r>
        <w:t>Grenoble</w:t>
      </w:r>
    </w:p>
    <w:p>
      <w:pPr>
        <w:pStyle w:val="Normal"/>
      </w:pPr>
      <w:r>
        <w:t>Karine Desroses</w:t>
      </w:r>
    </w:p>
    <w:p>
      <w:pPr>
        <w:pStyle w:val="Normal"/>
      </w:pPr>
      <w:r>
        <w:t>septembre 2023</w:t>
      </w:r>
    </w:p>
    <w:p>
      <w:pPr>
        <w:pStyle w:val="Normal"/>
      </w:pPr>
      <w:r>
        <w:t>Rennes</w:t>
      </w:r>
    </w:p>
    <w:p>
      <w:pPr>
        <w:pStyle w:val="Normal"/>
      </w:pPr>
      <w:r>
        <w:t>Emmanuel Ethis</w:t>
      </w:r>
    </w:p>
    <w:p>
      <w:pPr>
        <w:pStyle w:val="Normal"/>
      </w:pPr>
      <w:r>
        <w:t>septembre 2023</w:t>
      </w:r>
    </w:p>
    <w:p>
      <w:pPr>
        <w:pStyle w:val="Normal"/>
      </w:pPr>
      <w:r>
        <w:t>Versailles</w:t>
      </w:r>
    </w:p>
    <w:p>
      <w:pPr>
        <w:pStyle w:val="Normal"/>
      </w:pPr>
      <w:r>
        <w:t>Charline Avenel</w:t>
      </w:r>
    </w:p>
    <w:p>
      <w:pPr>
        <w:pStyle w:val="Normal"/>
      </w:pPr>
      <w:r>
        <w:t>2024</w:t>
      </w:r>
    </w:p>
    <w:p>
      <w:pPr>
        <w:pStyle w:val="Normal"/>
      </w:pPr>
      <w:r>
        <w:t>Guyane</w:t>
      </w:r>
    </w:p>
    <w:p>
      <w:pPr>
        <w:pStyle w:val="Normal"/>
      </w:pPr>
      <w:r>
        <w:t>Guillaume Gellé</w:t>
      </w:r>
    </w:p>
    <w:p>
      <w:pPr>
        <w:pStyle w:val="Normal"/>
      </w:pPr>
      <w:r>
        <w:t>26 mars 2025</w:t>
      </w:r>
    </w:p>
    <w:p>
      <w:pPr>
        <w:pStyle w:val="Normal"/>
      </w:pPr>
      <w:r>
        <w:t>Aix-Marseille</w:t>
      </w:r>
    </w:p>
    <w:p>
      <w:pPr>
        <w:pStyle w:val="Normal"/>
      </w:pPr>
      <w:r>
        <w:t>Michel Quéré</w:t>
      </w:r>
    </w:p>
    <w:p>
      <w:pPr>
        <w:pStyle w:val="Normal"/>
      </w:pPr>
      <w:r>
        <w:t>2024</w:t>
      </w:r>
    </w:p>
    <w:p>
      <w:pPr>
        <w:pStyle w:val="Normal"/>
      </w:pPr>
      <w:r>
        <w:t>Strasbourg</w:t>
      </w:r>
    </w:p>
    <w:p>
      <w:pPr>
        <w:pStyle w:val="Normal"/>
      </w:pPr>
      <w:r>
        <w:t>Sophie Béjean</w:t>
      </w:r>
    </w:p>
    <w:p>
      <w:pPr>
        <w:pStyle w:val="Normal"/>
      </w:pPr>
      <w:r>
        <w:t>renouvelée en 2023</w:t>
      </w:r>
    </w:p>
    <w:p>
      <w:pPr>
        <w:pStyle w:val="Normal"/>
      </w:pPr>
      <w:r>
        <w:t>Ces responsables incarnent la volonté du ministère d’appliquer localement les grandes réformes, tout en s’adaptant aux réalités socio-économiques des territoires (ruralité, métropoles, ultra-marin...).</w:t>
      </w:r>
    </w:p>
    <w:p>
      <w:pPr>
        <w:pStyle w:val="Normal"/>
      </w:pPr>
      <w:r/>
    </w:p>
    <w:p>
      <w:pPr>
        <w:pStyle w:val="Normal"/>
      </w:pPr>
      <w:r>
        <w:t>5. Défis rencontrés par les académies</w:t>
      </w:r>
    </w:p>
    <w:p>
      <w:pPr>
        <w:pStyle w:val="Normal"/>
      </w:pPr>
      <w:r>
        <w:t>Certaines difficultés persistantes rythment le travail des rectorats :</w:t>
      </w:r>
    </w:p>
    <w:p>
      <w:pPr>
        <w:pStyle w:val="Normal"/>
      </w:pPr>
      <w:r>
        <w:t>* Manque de moyens humains dans certaines zones (notamment rurales ou périurbaines),</w:t>
      </w:r>
    </w:p>
    <w:p>
      <w:pPr>
        <w:pStyle w:val="Normal"/>
      </w:pPr>
      <w:r>
        <w:t>* Tensions syndicales autour des mutations et des suppressions de postes,</w:t>
      </w:r>
    </w:p>
    <w:p>
      <w:pPr>
        <w:pStyle w:val="Normal"/>
      </w:pPr>
      <w:r>
        <w:t>* Inégalités territoriales fortes entre académies (accès aux options, aux dispositifs de réussite…),</w:t>
      </w:r>
    </w:p>
    <w:p>
      <w:pPr>
        <w:pStyle w:val="Normal"/>
      </w:pPr>
      <w:r>
        <w:rPr>
          <w:highlight w:val="yellow"/>
        </w:rPr>
        <w:t>* ENT_0026.</w:t>
      </w:r>
    </w:p>
    <w:p>
      <w:pPr>
        <w:pStyle w:val="Normal"/>
      </w:pPr>
      <w:r/>
    </w:p>
    <w:p>
      <w:pPr>
        <w:pStyle w:val="Normal"/>
      </w:pPr>
      <w:r/>
    </w:p>
    <w:p>
      <w:pPr>
        <w:pStyle w:val="Normal"/>
      </w:pPr>
      <w:r/>
    </w:p>
    <w:p>
      <w:pPr>
        <w:pStyle w:val="Normal"/>
      </w:pPr>
      <w:r>
        <w:t>Charlie</w:t>
        <w:tab/>
        <w:t>ROUX</w:t>
      </w:r>
    </w:p>
    <w:p>
      <w:pPr>
        <w:pStyle w:val="Normal"/>
      </w:pPr>
      <w:r>
        <w:t>Justin</w:t>
        <w:tab/>
        <w:t>MONTEILHET</w:t>
      </w:r>
    </w:p>
    <w:p>
      <w:pPr>
        <w:pStyle w:val="Normal"/>
      </w:pPr>
      <w:r>
        <w:t>Mathilde</w:t>
        <w:tab/>
        <w:t>ROUDIER</w:t>
      </w:r>
    </w:p>
    <w:p>
      <w:pPr>
        <w:pStyle w:val="Normal"/>
      </w:pPr>
      <w:r>
        <w:t>GABIN</w:t>
        <w:tab/>
        <w:t>BEAUGUITTE</w:t>
      </w:r>
    </w:p>
    <w:p>
      <w:pPr>
        <w:pStyle w:val="Normal"/>
      </w:pPr>
      <w:r>
        <w:t>JULIA</w:t>
        <w:tab/>
        <w:t>BISIMWA MUTAPAYI</w:t>
      </w:r>
    </w:p>
    <w:p>
      <w:pPr>
        <w:pStyle w:val="Normal"/>
      </w:pPr>
      <w:r>
        <w:t>GLOIRE</w:t>
        <w:tab/>
        <w:t>IBARA</w:t>
      </w:r>
    </w:p>
    <w:p>
      <w:pPr>
        <w:pStyle w:val="Normal"/>
      </w:pPr>
      <w:r>
        <w:t>OUALID</w:t>
        <w:tab/>
        <w:t>EL HADIRI</w:t>
      </w:r>
    </w:p>
    <w:p>
      <w:pPr>
        <w:pStyle w:val="Normal"/>
      </w:pPr>
      <w:r>
        <w:t>Mohamed Ali</w:t>
        <w:tab/>
        <w:t>SAIDANE</w:t>
      </w:r>
    </w:p>
    <w:p>
      <w:pPr>
        <w:pStyle w:val="Normal"/>
      </w:pPr>
      <w:r>
        <w:t>MYRIAM</w:t>
        <w:tab/>
        <w:t>LIMAN</w:t>
      </w:r>
    </w:p>
    <w:p>
      <w:pPr>
        <w:pStyle w:val="Normal"/>
      </w:pPr>
      <w:r>
        <w:t>CAMILA</w:t>
        <w:tab/>
        <w:t>MOHAMED</w:t>
      </w:r>
    </w:p>
    <w:p>
      <w:pPr>
        <w:pStyle w:val="Normal"/>
      </w:pPr>
      <w:r>
        <w:t>Bertille</w:t>
        <w:tab/>
        <w:t>Pillon</w:t>
      </w:r>
    </w:p>
    <w:p>
      <w:pPr>
        <w:pStyle w:val="Normal"/>
      </w:pPr>
      <w:r>
        <w:t>YACINE</w:t>
        <w:tab/>
        <w:t>MOSTEFAOUI</w:t>
      </w:r>
    </w:p>
    <w:p>
      <w:pPr>
        <w:pStyle w:val="Normal"/>
      </w:pPr>
      <w:r>
        <w:t>CHLOE</w:t>
        <w:tab/>
        <w:t>SPINETTA</w:t>
      </w:r>
    </w:p>
    <w:p>
      <w:pPr>
        <w:pStyle w:val="Normal"/>
      </w:pPr>
      <w:r>
        <w:t>GABIN</w:t>
        <w:tab/>
        <w:t>DE BACKER</w:t>
      </w:r>
    </w:p>
    <w:p>
      <w:pPr>
        <w:pStyle w:val="Normal"/>
      </w:pPr>
      <w:r>
        <w:t>SEBASTIEN</w:t>
        <w:tab/>
        <w:t>NKUTU MANIMA</w:t>
      </w:r>
    </w:p>
    <w:p>
      <w:pPr>
        <w:pStyle w:val="Normal"/>
      </w:pPr>
      <w:r>
        <w:t>Thomas</w:t>
        <w:tab/>
        <w:t>SE</w:t>
      </w:r>
    </w:p>
    <w:p>
      <w:pPr>
        <w:pStyle w:val="Normal"/>
      </w:pPr>
      <w:r>
        <w:t>ZLATKO</w:t>
        <w:tab/>
        <w:t>STANOJEVIC</w:t>
      </w:r>
    </w:p>
    <w:p>
      <w:pPr>
        <w:pStyle w:val="Normal"/>
      </w:pPr>
      <w:r>
        <w:t>FABRIZIO</w:t>
        <w:tab/>
        <w:t>NOUGA SIMO</w:t>
      </w:r>
    </w:p>
    <w:p>
      <w:pPr>
        <w:pStyle w:val="Normal"/>
      </w:pPr>
      <w:r>
        <w:t>Clara</w:t>
        <w:tab/>
        <w:t>VAILLANT</w:t>
      </w:r>
    </w:p>
    <w:p>
      <w:pPr>
        <w:pStyle w:val="Normal"/>
      </w:pPr>
      <w:r>
        <w:t>Kyeldan</w:t>
        <w:tab/>
        <w:t>SURMA VALTAER</w:t>
      </w:r>
    </w:p>
    <w:p>
      <w:pPr>
        <w:pStyle w:val="Normal"/>
      </w:pPr>
      <w:r>
        <w:t>Eleana</w:t>
        <w:tab/>
        <w:t>Veliasi</w:t>
      </w:r>
    </w:p>
    <w:p>
      <w:pPr>
        <w:pStyle w:val="Normal"/>
      </w:pPr>
      <w:r>
        <w:t>YASMINE</w:t>
        <w:tab/>
        <w:t>BENSELIM</w:t>
      </w:r>
    </w:p>
    <w:p>
      <w:pPr>
        <w:pStyle w:val="Normal"/>
      </w:pPr>
      <w:r>
        <w:t>ANDREAS</w:t>
        <w:tab/>
        <w:t>MAUVE</w:t>
      </w:r>
    </w:p>
    <w:p>
      <w:pPr>
        <w:pStyle w:val="Normal"/>
      </w:pPr>
      <w:r>
        <w:t>Korotoum</w:t>
        <w:tab/>
        <w:t>DRABO</w:t>
      </w:r>
    </w:p>
    <w:tbl>
      <w:tblPr>
        <w:tblW w:type="auto" w:w="0"/>
        <w:tblLook w:firstColumn="1" w:firstRow="1" w:lastColumn="0" w:lastRow="0" w:noHBand="0" w:noVBand="1" w:val="04A0"/>
      </w:tblPr>
      <w:tblGrid>
        <w:gridCol w:w="2880"/>
        <w:gridCol w:w="2880"/>
        <w:gridCol w:w="2880"/>
      </w:tblGrid>
      <w:tr>
        <w:tc>
          <w:tcPr>
            <w:tcW w:type="dxa" w:w="2880"/>
          </w:tcPr>
          <w:p>
            <w:r>
              <w:rPr>
                <w:highlight w:val="yellow"/>
              </w:rPr>
              <w:t>Asma</w:t>
              <w:tab/>
              <w:t>RAMDHANI</w:t>
              <w:br/>
              <w:t>Nino</w:t>
              <w:tab/>
              <w:t>SU</w:t>
              <w:br/>
              <w:t>ENT_0021</w:t>
              <w:tab/>
              <w:t>TOUATI</w:t>
              <w:br/>
              <w:t>Théodore</w:t>
              <w:tab/>
              <w:t>TRACHSEL</w:t>
              <w:br/>
              <w:t>Valentin</w:t>
              <w:tab/>
              <w:t>Boissy-Pons</w:t>
              <w:br/>
              <w:t>ENT_0025</w:t>
              <w:br/>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