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  <w:trHeight w:val="1100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8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RELATÓRIO EXECUTIVO DE OBRA</w:t>
            </w:r>
          </w:p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30"/>
                <w:szCs w:val="30"/>
              </w:rPr>
              <w:t xml:space="preserve">Complexo Industrial Norte</w:t>
            </w:r>
          </w:p>
          <w:p>
            <w:pPr>
              <w:spacing w:after="20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Análise de Desempenho · Gestão de Riscos · Recomendações Executivas</w:t>
            </w:r>
          </w:p>
          <w:p>
            <w:pPr>
              <w:pBdr>
                <w:bottom w:val="single" w:color="CBD5E1" w:sz="4" w:space="1"/>
              </w:pBdr>
              <w:spacing w:after="60" w:before="6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5000"/>
            </w:tblGrid>
            <w:tr>
              <w:trPr>
                <w:tblHeader w:val="false"/>
              </w:trP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60" w:before="0" w:line="2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9A84C"/>
                      <w:sz w:val="18"/>
                      <w:szCs w:val="18"/>
                    </w:rPr>
                    <w:t xml:space="preserve">CONTRATANTE:</w:t>
                  </w:r>
                </w:p>
              </w:tc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60" w:before="0" w:line="2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AI Construction Intelligence S.A.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60" w:before="0" w:line="2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9A84C"/>
                      <w:sz w:val="18"/>
                      <w:szCs w:val="18"/>
                    </w:rPr>
                    <w:t xml:space="preserve">CONTRATADA:</w:t>
                  </w:r>
                </w:p>
              </w:tc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60" w:before="0" w:line="2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Construtora Ferreira Neto Ltda.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60" w:before="0" w:line="2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9A84C"/>
                      <w:sz w:val="18"/>
                      <w:szCs w:val="18"/>
                    </w:rPr>
                    <w:t xml:space="preserve">PERÍODO:</w:t>
                  </w:r>
                </w:p>
              </w:tc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60" w:before="0" w:line="2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Janeiro – Junho 2025  (12 meses decorridos de 36 planejados)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60" w:before="0" w:line="2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9A84C"/>
                      <w:sz w:val="18"/>
                      <w:szCs w:val="18"/>
                    </w:rPr>
                    <w:t xml:space="preserve">RESPONSÁVEL:</w:t>
                  </w:r>
                </w:p>
              </w:tc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60" w:before="0" w:line="2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Coordenador de Projetos  |  Cost_Controller_AI</w:t>
                  </w:r>
                </w:p>
              </w:tc>
            </w:tr>
          </w:tbl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8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  <w:trHeight w:val="520" w:hRule="exact"/>
        </w:trP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1. HEADLINE DO PROJETO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  <w:trHeight w:val="760" w:hRule="exact"/>
        </w:trPr>
        <w:tc>
          <w:tcPr>
            <w:tcW w:type="dxa" w:w="9360"/>
            <w:tcBorders>
              <w:top w:val="single" w:color="B91C1C" w:sz="6"/>
              <w:left w:val="single" w:color="B91C1C" w:sz="6"/>
              <w:bottom w:val="single" w:color="B91C1C" w:sz="6"/>
              <w:right w:val="single" w:color="B91C1C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 xml:space="preserve">⚠  ALERTA EXECUTIVO: Complexo Industrial Norte com CPI crítico de 0,74 — estouro orçamentário projetado de R$ 3,2 M. Ação imediata requerida.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9"/>
                <w:szCs w:val="19"/>
              </w:rPr>
              <w:t xml:space="preserve">Prazo ainda dentro do controle (SPI 0,98), porém instabilidade geotécnica no Lote C ameaça o cronograma das próximas 6 semanas.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CBD5E1" w:sz="4" w:space="1"/>
        </w:pBdr>
        <w:spacing w:after="6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  <w:trHeight w:val="520" w:hRule="exact"/>
        </w:trP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2. KPIs CRÍTICOS  —  EVM Consolidado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false"/>
          <w:trHeight w:val="1400" w:hRule="exact"/>
        </w:trPr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CPI</w:t>
            </w:r>
          </w:p>
          <w:p>
            <w:pPr>
              <w:spacing w:after="2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0,74</w:t>
            </w:r>
          </w:p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Meta ≥ 0,95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SPI</w:t>
            </w:r>
          </w:p>
          <w:p>
            <w:pPr>
              <w:spacing w:after="2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6"/>
                <w:szCs w:val="26"/>
              </w:rPr>
              <w:t xml:space="preserve">0,98</w:t>
            </w:r>
          </w:p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Prazo controlado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EAC</w:t>
            </w:r>
          </w:p>
          <w:p>
            <w:pPr>
              <w:spacing w:after="2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DC7"/>
                <w:sz w:val="26"/>
                <w:szCs w:val="26"/>
              </w:rPr>
              <w:t xml:space="preserve">R$41,3M</w:t>
            </w:r>
          </w:p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BAC R$38,1M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VAC</w:t>
            </w:r>
          </w:p>
          <w:p>
            <w:pPr>
              <w:spacing w:after="2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6"/>
                <w:szCs w:val="26"/>
              </w:rPr>
              <w:t xml:space="preserve">−R$3,2M</w:t>
            </w:r>
          </w:p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Desvio projetado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TCPI</w:t>
            </w:r>
          </w:p>
          <w:p>
            <w:pPr>
              <w:spacing w:after="2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6"/>
                <w:szCs w:val="26"/>
              </w:rPr>
              <w:t xml:space="preserve">1,38</w:t>
            </w:r>
          </w:p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Desafiador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EF2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% Exec.</w:t>
            </w:r>
          </w:p>
          <w:p>
            <w:pPr>
              <w:spacing w:after="2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26"/>
                <w:szCs w:val="26"/>
              </w:rPr>
              <w:t xml:space="preserve">31%</w:t>
            </w:r>
          </w:p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12 de 36 meses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2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1"/>
          <w:szCs w:val="21"/>
        </w:rPr>
        <w:t xml:space="preserve">Comparativo do Portfólio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80"/>
        <w:gridCol w:w="1080"/>
        <w:gridCol w:w="1080"/>
        <w:gridCol w:w="1640"/>
        <w:gridCol w:w="1080"/>
        <w:gridCol w:w="1200"/>
      </w:tblGrid>
      <w:tr>
        <w:trPr>
          <w:tblHeader/>
          <w:trHeight w:val="400" w:hRule="exact"/>
        </w:trPr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OBRA</w:t>
            </w:r>
          </w:p>
        </w:tc>
        <w:tc>
          <w:tcPr>
            <w:tcW w:type="dxa" w:w="10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EXEC.</w:t>
            </w:r>
          </w:p>
        </w:tc>
        <w:tc>
          <w:tcPr>
            <w:tcW w:type="dxa" w:w="10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CPI</w:t>
            </w:r>
          </w:p>
        </w:tc>
        <w:tc>
          <w:tcPr>
            <w:tcW w:type="dxa" w:w="10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SPI</w:t>
            </w:r>
          </w:p>
        </w:tc>
        <w:tc>
          <w:tcPr>
            <w:tcW w:type="dxa" w:w="16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EAC</w:t>
            </w:r>
          </w:p>
        </w:tc>
        <w:tc>
          <w:tcPr>
            <w:tcW w:type="dxa" w:w="10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VAC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  <w:trHeight w:val="440" w:hRule="exact"/>
        </w:trPr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8"/>
                <w:szCs w:val="18"/>
              </w:rPr>
              <w:t xml:space="preserve">Edifício Horizonte — Torre A</w:t>
            </w:r>
          </w:p>
        </w:tc>
        <w:tc>
          <w:tcPr>
            <w:tcW w:type="dxa" w:w="10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72%</w:t>
            </w:r>
          </w:p>
        </w:tc>
        <w:tc>
          <w:tcPr>
            <w:tcW w:type="dxa" w:w="10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1,03</w:t>
            </w:r>
          </w:p>
        </w:tc>
        <w:tc>
          <w:tcPr>
            <w:tcW w:type="dxa" w:w="10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1,05</w:t>
            </w:r>
          </w:p>
        </w:tc>
        <w:tc>
          <w:tcPr>
            <w:tcW w:type="dxa" w:w="16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R$ 22,7M</w:t>
            </w:r>
          </w:p>
        </w:tc>
        <w:tc>
          <w:tcPr>
            <w:tcW w:type="dxa" w:w="10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+R$ 0,7M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✔ OK</w:t>
            </w:r>
          </w:p>
        </w:tc>
      </w:tr>
      <w:tr>
        <w:trPr>
          <w:tblHeader w:val="false"/>
          <w:trHeight w:val="440" w:hRule="exact"/>
        </w:trPr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8"/>
                <w:szCs w:val="18"/>
              </w:rPr>
              <w:t xml:space="preserve">Condomínio Vale Verde</w:t>
            </w:r>
          </w:p>
        </w:tc>
        <w:tc>
          <w:tcPr>
            <w:tcW w:type="dxa" w:w="10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45%</w:t>
            </w:r>
          </w:p>
        </w:tc>
        <w:tc>
          <w:tcPr>
            <w:tcW w:type="dxa" w:w="10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0,82</w:t>
            </w:r>
          </w:p>
        </w:tc>
        <w:tc>
          <w:tcPr>
            <w:tcW w:type="dxa" w:w="10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0,97</w:t>
            </w:r>
          </w:p>
        </w:tc>
        <w:tc>
          <w:tcPr>
            <w:tcW w:type="dxa" w:w="16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R$ 18,7M</w:t>
            </w:r>
          </w:p>
        </w:tc>
        <w:tc>
          <w:tcPr>
            <w:tcW w:type="dxa" w:w="10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−R$ 2,5M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⚠ ALERTA</w:t>
            </w:r>
          </w:p>
        </w:tc>
      </w:tr>
      <w:tr>
        <w:trPr>
          <w:tblHeader w:val="false"/>
          <w:trHeight w:val="440" w:hRule="exact"/>
        </w:trPr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Complexo Industrial Norte</w:t>
            </w:r>
          </w:p>
        </w:tc>
        <w:tc>
          <w:tcPr>
            <w:tcW w:type="dxa" w:w="10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31%</w:t>
            </w:r>
          </w:p>
        </w:tc>
        <w:tc>
          <w:tcPr>
            <w:tcW w:type="dxa" w:w="10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0,74</w:t>
            </w:r>
          </w:p>
        </w:tc>
        <w:tc>
          <w:tcPr>
            <w:tcW w:type="dxa" w:w="10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0,98</w:t>
            </w:r>
          </w:p>
        </w:tc>
        <w:tc>
          <w:tcPr>
            <w:tcW w:type="dxa" w:w="16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R$ 41,3M</w:t>
            </w:r>
          </w:p>
        </w:tc>
        <w:tc>
          <w:tcPr>
            <w:tcW w:type="dxa" w:w="10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−R$ 3,2M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✖ CRÍTICO</w:t>
            </w:r>
          </w:p>
        </w:tc>
      </w:tr>
      <w:tr>
        <w:trPr>
          <w:tblHeader w:val="false"/>
          <w:trHeight w:val="460" w:hRule="exact"/>
        </w:trPr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PORTFÓLIO CONSOLIDADO</w:t>
            </w:r>
          </w:p>
        </w:tc>
        <w:tc>
          <w:tcPr>
            <w:tcW w:type="dxa" w:w="10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54%</w:t>
            </w:r>
          </w:p>
        </w:tc>
        <w:tc>
          <w:tcPr>
            <w:tcW w:type="dxa" w:w="10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0,87</w:t>
            </w:r>
          </w:p>
        </w:tc>
        <w:tc>
          <w:tcPr>
            <w:tcW w:type="dxa" w:w="10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1,02</w:t>
            </w:r>
          </w:p>
        </w:tc>
        <w:tc>
          <w:tcPr>
            <w:tcW w:type="dxa" w:w="16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R$ 146M</w:t>
            </w:r>
          </w:p>
        </w:tc>
        <w:tc>
          <w:tcPr>
            <w:tcW w:type="dxa" w:w="10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−R$ 19M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⚠ ALERTA</w:t>
            </w:r>
          </w:p>
        </w:tc>
      </w:tr>
    </w:tbl>
    <w:p>
      <w:pPr>
        <w:spacing w:after="60" w:before="0" w:line="28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  <w:trHeight w:val="520" w:hRule="exact"/>
        </w:trP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3. ANÁLISE TÉCNICA  —  Complexo Industrial Norte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1"/>
          <w:szCs w:val="21"/>
        </w:rPr>
        <w:t xml:space="preserve">3.1  Progresso Físico vs. Planejado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86"/>
        <w:gridCol w:w="1786"/>
        <w:gridCol w:w="1788"/>
      </w:tblGrid>
      <w:tr>
        <w:trPr>
          <w:tblHeader/>
          <w:trHeight w:val="380" w:hRule="exact"/>
        </w:trPr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78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PLANEJADO</w:t>
            </w:r>
          </w:p>
        </w:tc>
        <w:tc>
          <w:tcPr>
            <w:tcW w:type="dxa" w:w="178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REALIZADO</w:t>
            </w:r>
          </w:p>
        </w:tc>
        <w:tc>
          <w:tcPr>
            <w:tcW w:type="dxa" w:w="1788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DESVIO</w:t>
            </w:r>
          </w:p>
        </w:tc>
      </w:tr>
      <w:tr>
        <w:trPr>
          <w:tblHeader w:val="false"/>
          <w:trHeight w:val="420" w:hRule="exact"/>
        </w:trPr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Progresso físico acumulado</w:t>
            </w:r>
          </w:p>
        </w:tc>
        <w:tc>
          <w:tcPr>
            <w:tcW w:type="dxa" w:w="178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33,6%</w:t>
            </w:r>
          </w:p>
        </w:tc>
        <w:tc>
          <w:tcPr>
            <w:tcW w:type="dxa" w:w="178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31,0%</w:t>
            </w:r>
          </w:p>
        </w:tc>
        <w:tc>
          <w:tcPr>
            <w:tcW w:type="dxa" w:w="1788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−2,6pp</w:t>
            </w:r>
          </w:p>
        </w:tc>
      </w:tr>
      <w:tr>
        <w:trPr>
          <w:tblHeader w:val="false"/>
          <w:trHeight w:val="420" w:hRule="exact"/>
        </w:trPr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 incorrido (ACWP)</w:t>
            </w:r>
          </w:p>
        </w:tc>
        <w:tc>
          <w:tcPr>
            <w:tcW w:type="dxa" w:w="178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R$ 11,6M</w:t>
            </w:r>
          </w:p>
        </w:tc>
        <w:tc>
          <w:tcPr>
            <w:tcW w:type="dxa" w:w="178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R$ 15,9M</w:t>
            </w:r>
          </w:p>
        </w:tc>
        <w:tc>
          <w:tcPr>
            <w:tcW w:type="dxa" w:w="1788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+R$ 4,3M</w:t>
            </w:r>
          </w:p>
        </w:tc>
      </w:tr>
      <w:tr>
        <w:trPr>
          <w:tblHeader w:val="false"/>
          <w:trHeight w:val="420" w:hRule="exact"/>
        </w:trPr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Valor agregado (BCWP / EV)</w:t>
            </w:r>
          </w:p>
        </w:tc>
        <w:tc>
          <w:tcPr>
            <w:tcW w:type="dxa" w:w="178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8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R$ 11,8M</w:t>
            </w:r>
          </w:p>
        </w:tc>
        <w:tc>
          <w:tcPr>
            <w:tcW w:type="dxa" w:w="1788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  <w:trHeight w:val="420" w:hRule="exact"/>
        </w:trPr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Prazo decorrido</w:t>
            </w:r>
          </w:p>
        </w:tc>
        <w:tc>
          <w:tcPr>
            <w:tcW w:type="dxa" w:w="178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 meses</w:t>
            </w:r>
          </w:p>
        </w:tc>
        <w:tc>
          <w:tcPr>
            <w:tcW w:type="dxa" w:w="178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 meses</w:t>
            </w:r>
          </w:p>
        </w:tc>
        <w:tc>
          <w:tcPr>
            <w:tcW w:type="dxa" w:w="1788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  <w:trHeight w:val="420" w:hRule="exact"/>
        </w:trPr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Efetivo médio mensal</w:t>
            </w:r>
          </w:p>
        </w:tc>
        <w:tc>
          <w:tcPr>
            <w:tcW w:type="dxa" w:w="178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95 op.</w:t>
            </w:r>
          </w:p>
        </w:tc>
        <w:tc>
          <w:tcPr>
            <w:tcW w:type="dxa" w:w="178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84 op.</w:t>
            </w:r>
          </w:p>
        </w:tc>
        <w:tc>
          <w:tcPr>
            <w:tcW w:type="dxa" w:w="1788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−11 op.</w:t>
            </w:r>
          </w:p>
        </w:tc>
      </w:tr>
      <w:tr>
        <w:trPr>
          <w:tblHeader w:val="false"/>
          <w:trHeight w:val="420" w:hRule="exact"/>
        </w:trPr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Concretagem acumulada</w:t>
            </w:r>
          </w:p>
        </w:tc>
        <w:tc>
          <w:tcPr>
            <w:tcW w:type="dxa" w:w="178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1.820 m³</w:t>
            </w:r>
          </w:p>
        </w:tc>
        <w:tc>
          <w:tcPr>
            <w:tcW w:type="dxa" w:w="178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1.654 m³</w:t>
            </w:r>
          </w:p>
        </w:tc>
        <w:tc>
          <w:tcPr>
            <w:tcW w:type="dxa" w:w="1788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−166 m³</w:t>
            </w:r>
          </w:p>
        </w:tc>
      </w:tr>
      <w:tr>
        <w:trPr>
          <w:tblHeader w:val="false"/>
          <w:trHeight w:val="420" w:hRule="exact"/>
        </w:trPr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Forma instalada</w:t>
            </w:r>
          </w:p>
        </w:tc>
        <w:tc>
          <w:tcPr>
            <w:tcW w:type="dxa" w:w="178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4.200 m²</w:t>
            </w:r>
          </w:p>
        </w:tc>
        <w:tc>
          <w:tcPr>
            <w:tcW w:type="dxa" w:w="178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3.890 m²</w:t>
            </w:r>
          </w:p>
        </w:tc>
        <w:tc>
          <w:tcPr>
            <w:tcW w:type="dxa" w:w="1788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−310 m²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044"/>
          <w:sz w:val="21"/>
          <w:szCs w:val="21"/>
        </w:rPr>
        <w:t xml:space="preserve">3.2  Análise da Curva S — Desvio Acumulado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440"/>
        <w:gridCol w:w="1440"/>
        <w:gridCol w:w="1440"/>
        <w:gridCol w:w="1200"/>
        <w:gridCol w:w="1200"/>
        <w:gridCol w:w="1200"/>
        <w:gridCol w:w="1260"/>
      </w:tblGrid>
      <w:tr>
        <w:trPr>
          <w:tblHeader/>
          <w:trHeight w:val="400" w:hRule="exact"/>
        </w:trPr>
        <w:tc>
          <w:tcPr>
            <w:tcW w:type="dxa" w:w="7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MÊS</w:t>
            </w:r>
          </w:p>
        </w:tc>
        <w:tc>
          <w:tcPr>
            <w:tcW w:type="dxa" w:w="14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PV ACUM (R$M)</w:t>
            </w:r>
          </w:p>
        </w:tc>
        <w:tc>
          <w:tcPr>
            <w:tcW w:type="dxa" w:w="14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EV ACUM (R$M)</w:t>
            </w:r>
          </w:p>
        </w:tc>
        <w:tc>
          <w:tcPr>
            <w:tcW w:type="dxa" w:w="14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 ACUM (R$M)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CPI PERÍODO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SV (R$M)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CV (R$M)</w:t>
            </w:r>
          </w:p>
        </w:tc>
        <w:tc>
          <w:tcPr>
            <w:tcW w:type="dxa" w:w="1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TENDÊNCIA</w:t>
            </w:r>
          </w:p>
        </w:tc>
      </w:tr>
      <w:tr>
        <w:trPr>
          <w:tblHeader w:val="false"/>
          <w:trHeight w:val="400" w:hRule="exact"/>
        </w:trPr>
        <w:tc>
          <w:tcPr>
            <w:tcW w:type="dxa" w:w="7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Jan</w:t>
            </w:r>
          </w:p>
        </w:tc>
        <w:tc>
          <w:tcPr>
            <w:tcW w:type="dxa" w:w="14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1,06</w:t>
            </w:r>
          </w:p>
        </w:tc>
        <w:tc>
          <w:tcPr>
            <w:tcW w:type="dxa" w:w="14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0,91</w:t>
            </w:r>
          </w:p>
        </w:tc>
        <w:tc>
          <w:tcPr>
            <w:tcW w:type="dxa" w:w="14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0,95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0,96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1C1C"/>
                <w:sz w:val="17"/>
                <w:szCs w:val="17"/>
              </w:rPr>
              <w:t xml:space="preserve">−0,15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1C1C"/>
                <w:sz w:val="17"/>
                <w:szCs w:val="17"/>
              </w:rPr>
              <w:t xml:space="preserve">−0,04</w:t>
            </w:r>
          </w:p>
        </w:tc>
        <w:tc>
          <w:tcPr>
            <w:tcW w:type="dxa" w:w="1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→</w:t>
            </w:r>
          </w:p>
        </w:tc>
      </w:tr>
      <w:tr>
        <w:trPr>
          <w:tblHeader w:val="false"/>
          <w:trHeight w:val="400" w:hRule="exact"/>
        </w:trPr>
        <w:tc>
          <w:tcPr>
            <w:tcW w:type="dxa" w:w="7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Fev</w:t>
            </w:r>
          </w:p>
        </w:tc>
        <w:tc>
          <w:tcPr>
            <w:tcW w:type="dxa" w:w="14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2,38</w:t>
            </w:r>
          </w:p>
        </w:tc>
        <w:tc>
          <w:tcPr>
            <w:tcW w:type="dxa" w:w="14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2,01</w:t>
            </w:r>
          </w:p>
        </w:tc>
        <w:tc>
          <w:tcPr>
            <w:tcW w:type="dxa" w:w="14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2,18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0,92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1C1C"/>
                <w:sz w:val="17"/>
                <w:szCs w:val="17"/>
              </w:rPr>
              <w:t xml:space="preserve">−0,37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1C1C"/>
                <w:sz w:val="17"/>
                <w:szCs w:val="17"/>
              </w:rPr>
              <w:t xml:space="preserve">−0,17</w:t>
            </w:r>
          </w:p>
        </w:tc>
        <w:tc>
          <w:tcPr>
            <w:tcW w:type="dxa" w:w="1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↓</w:t>
            </w:r>
          </w:p>
        </w:tc>
      </w:tr>
      <w:tr>
        <w:trPr>
          <w:tblHeader w:val="false"/>
          <w:trHeight w:val="400" w:hRule="exact"/>
        </w:trPr>
        <w:tc>
          <w:tcPr>
            <w:tcW w:type="dxa" w:w="7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Mar</w:t>
            </w:r>
          </w:p>
        </w:tc>
        <w:tc>
          <w:tcPr>
            <w:tcW w:type="dxa" w:w="14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3,81</w:t>
            </w:r>
          </w:p>
        </w:tc>
        <w:tc>
          <w:tcPr>
            <w:tcW w:type="dxa" w:w="14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3,30</w:t>
            </w:r>
          </w:p>
        </w:tc>
        <w:tc>
          <w:tcPr>
            <w:tcW w:type="dxa" w:w="14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3,82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0,86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1C1C"/>
                <w:sz w:val="17"/>
                <w:szCs w:val="17"/>
              </w:rPr>
              <w:t xml:space="preserve">−0,51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1C1C"/>
                <w:sz w:val="17"/>
                <w:szCs w:val="17"/>
              </w:rPr>
              <w:t xml:space="preserve">−0,52</w:t>
            </w:r>
          </w:p>
        </w:tc>
        <w:tc>
          <w:tcPr>
            <w:tcW w:type="dxa" w:w="1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↓</w:t>
            </w:r>
          </w:p>
        </w:tc>
      </w:tr>
      <w:tr>
        <w:trPr>
          <w:tblHeader w:val="false"/>
          <w:trHeight w:val="400" w:hRule="exact"/>
        </w:trPr>
        <w:tc>
          <w:tcPr>
            <w:tcW w:type="dxa" w:w="7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Abr</w:t>
            </w:r>
          </w:p>
        </w:tc>
        <w:tc>
          <w:tcPr>
            <w:tcW w:type="dxa" w:w="14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5,49</w:t>
            </w:r>
          </w:p>
        </w:tc>
        <w:tc>
          <w:tcPr>
            <w:tcW w:type="dxa" w:w="14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4,76</w:t>
            </w:r>
          </w:p>
        </w:tc>
        <w:tc>
          <w:tcPr>
            <w:tcW w:type="dxa" w:w="14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5,81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0,82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1C1C"/>
                <w:sz w:val="17"/>
                <w:szCs w:val="17"/>
              </w:rPr>
              <w:t xml:space="preserve">−0,73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1C1C"/>
                <w:sz w:val="17"/>
                <w:szCs w:val="17"/>
              </w:rPr>
              <w:t xml:space="preserve">−1,05</w:t>
            </w:r>
          </w:p>
        </w:tc>
        <w:tc>
          <w:tcPr>
            <w:tcW w:type="dxa" w:w="1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↓</w:t>
            </w:r>
          </w:p>
        </w:tc>
      </w:tr>
      <w:tr>
        <w:trPr>
          <w:tblHeader w:val="false"/>
          <w:trHeight w:val="400" w:hRule="exact"/>
        </w:trPr>
        <w:tc>
          <w:tcPr>
            <w:tcW w:type="dxa" w:w="7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Mai</w:t>
            </w:r>
          </w:p>
        </w:tc>
        <w:tc>
          <w:tcPr>
            <w:tcW w:type="dxa" w:w="14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7,62</w:t>
            </w:r>
          </w:p>
        </w:tc>
        <w:tc>
          <w:tcPr>
            <w:tcW w:type="dxa" w:w="14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6,51</w:t>
            </w:r>
          </w:p>
        </w:tc>
        <w:tc>
          <w:tcPr>
            <w:tcW w:type="dxa" w:w="14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8,24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0,79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1C1C"/>
                <w:sz w:val="17"/>
                <w:szCs w:val="17"/>
              </w:rPr>
              <w:t xml:space="preserve">−1,11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1C1C"/>
                <w:sz w:val="17"/>
                <w:szCs w:val="17"/>
              </w:rPr>
              <w:t xml:space="preserve">−1,73</w:t>
            </w:r>
          </w:p>
        </w:tc>
        <w:tc>
          <w:tcPr>
            <w:tcW w:type="dxa" w:w="1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↓↓</w:t>
            </w:r>
          </w:p>
        </w:tc>
      </w:tr>
      <w:tr>
        <w:trPr>
          <w:tblHeader w:val="false"/>
          <w:trHeight w:val="400" w:hRule="exact"/>
        </w:trPr>
        <w:tc>
          <w:tcPr>
            <w:tcW w:type="dxa" w:w="7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Jun</w:t>
            </w:r>
          </w:p>
        </w:tc>
        <w:tc>
          <w:tcPr>
            <w:tcW w:type="dxa" w:w="14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9,54</w:t>
            </w:r>
          </w:p>
        </w:tc>
        <w:tc>
          <w:tcPr>
            <w:tcW w:type="dxa" w:w="14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8,04</w:t>
            </w:r>
          </w:p>
        </w:tc>
        <w:tc>
          <w:tcPr>
            <w:tcW w:type="dxa" w:w="14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10,82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0,74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1C1C"/>
                <w:sz w:val="17"/>
                <w:szCs w:val="17"/>
              </w:rPr>
              <w:t xml:space="preserve">−1,50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1C1C"/>
                <w:sz w:val="17"/>
                <w:szCs w:val="17"/>
              </w:rPr>
              <w:t xml:space="preserve">−2,78</w:t>
            </w:r>
          </w:p>
        </w:tc>
        <w:tc>
          <w:tcPr>
            <w:tcW w:type="dxa" w:w="1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↓↓</w:t>
            </w:r>
          </w:p>
        </w:tc>
      </w:tr>
    </w:tbl>
    <w:p>
      <w:pPr>
        <w:spacing w:after="60" w:before="0" w:line="28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  <w:trHeight w:val="520" w:hRule="exact"/>
        </w:trP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4. RISCOS IDENTIFICADOS  —  Risk_Analysis_AI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900"/>
        <w:gridCol w:w="760"/>
        <w:gridCol w:w="900"/>
        <w:gridCol w:w="800"/>
        <w:gridCol w:w="2100"/>
      </w:tblGrid>
      <w:tr>
        <w:trPr>
          <w:tblHeader/>
          <w:trHeight w:val="38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RISCO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CAUSA</w:t>
            </w:r>
          </w:p>
        </w:tc>
        <w:tc>
          <w:tcPr>
            <w:tcW w:type="dxa" w:w="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IMPACTO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NÍVEL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AÇÃO DE RESPOSTA</w:t>
            </w:r>
          </w:p>
        </w:tc>
      </w:tr>
      <w:tr>
        <w:trPr>
          <w:tblHeader w:val="false"/>
          <w:trHeight w:val="70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7"/>
                <w:szCs w:val="17"/>
              </w:rPr>
              <w:t xml:space="preserve">R01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Instabilidade geotécnica — Lote C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Camada argilosa não prevista em SPT</w:t>
            </w:r>
          </w:p>
        </w:tc>
        <w:tc>
          <w:tcPr>
            <w:tcW w:type="dxa" w:w="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Alto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CRÍTICO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Suspender escavação. Sondagem complementar. Aditivo de R$2,8M em análise.</w:t>
            </w:r>
          </w:p>
        </w:tc>
      </w:tr>
      <w:tr>
        <w:trPr>
          <w:tblHeader w:val="false"/>
          <w:trHeight w:val="70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7"/>
                <w:szCs w:val="17"/>
              </w:rPr>
              <w:t xml:space="preserve">R02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Ruptura no fornecimento de aço CA-50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Dificuldades do fornecedor principal</w:t>
            </w:r>
          </w:p>
        </w:tc>
        <w:tc>
          <w:tcPr>
            <w:tcW w:type="dxa" w:w="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Alto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CRÍTICO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Acionar 2º fornecedor (Gerdau). Antecipar pedido. +30 dias de prazo previsto.</w:t>
            </w:r>
          </w:p>
        </w:tc>
      </w:tr>
      <w:tr>
        <w:trPr>
          <w:tblHeader w:val="false"/>
          <w:trHeight w:val="70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7"/>
                <w:szCs w:val="17"/>
              </w:rPr>
              <w:t xml:space="preserve">R03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Estouro orçamentário (CPI 0,74)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Baixo desempenho de custo acumulado</w:t>
            </w:r>
          </w:p>
        </w:tc>
        <w:tc>
          <w:tcPr>
            <w:tcW w:type="dxa" w:w="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Alto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CRÍTICO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Revisão do planejamento. Recuperação de CPI requer TCPI 1,38.</w:t>
            </w:r>
          </w:p>
        </w:tc>
      </w:tr>
      <w:tr>
        <w:trPr>
          <w:tblHeader w:val="false"/>
          <w:trHeight w:val="70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7"/>
                <w:szCs w:val="17"/>
              </w:rPr>
              <w:t xml:space="preserve">R04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Variação cambial — equipamentos importados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USD/BRL +8,2% vs premissa</w:t>
            </w:r>
          </w:p>
        </w:tc>
        <w:tc>
          <w:tcPr>
            <w:tcW w:type="dxa" w:w="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Médio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ALTO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Hedge cambial para R$4,1M expostos. Renegociar contratos indexados.</w:t>
            </w:r>
          </w:p>
        </w:tc>
      </w:tr>
      <w:tr>
        <w:trPr>
          <w:tblHeader w:val="false"/>
          <w:trHeight w:val="70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7"/>
                <w:szCs w:val="17"/>
              </w:rPr>
              <w:t xml:space="preserve">R05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Não conformidade NR-18 — Bloco C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Alteração de layout da escavação</w:t>
            </w:r>
          </w:p>
        </w:tc>
        <w:tc>
          <w:tcPr>
            <w:tcW w:type="dxa" w:w="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Alto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ALTO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Plano de emergência elaborado. Aguarda aprovação do diretor.</w:t>
            </w:r>
          </w:p>
        </w:tc>
      </w:tr>
      <w:tr>
        <w:trPr>
          <w:tblHeader w:val="false"/>
          <w:trHeight w:val="70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7"/>
                <w:szCs w:val="17"/>
              </w:rPr>
              <w:t xml:space="preserve">R06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DC7"/>
                <w:sz w:val="17"/>
                <w:szCs w:val="17"/>
              </w:rPr>
              <w:t xml:space="preserve">Atraso na entrega de fôrmas metálicas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Fornecedor com dificuldade logística</w:t>
            </w:r>
          </w:p>
        </w:tc>
        <w:tc>
          <w:tcPr>
            <w:tcW w:type="dxa" w:w="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Médio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DC7"/>
                <w:sz w:val="17"/>
                <w:szCs w:val="17"/>
              </w:rPr>
              <w:t xml:space="preserve">MÉDIO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Monitorar. Plano B: aluguel de fôrmas de terceiro disponível.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  <w:trHeight w:val="520" w:hRule="exact"/>
        </w:trP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5. RECOMENDAÇÕES  —  Construction_Planner_AI + Cost_Controller_AI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rPr>
          <w:tblHeader w:val="false"/>
          <w:trHeight w:val="56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1</w:t>
            </w:r>
          </w:p>
        </w:tc>
        <w:tc>
          <w:tcPr>
            <w:tcW w:type="dxa" w:w="8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IMEDIATA (Esta semana)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Suspender escavação no Lote C e contratar nova sondagem SPT até D+7. Custo estimado R$85 mil.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rPr>
          <w:tblHeader w:val="false"/>
          <w:trHeight w:val="56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2</w:t>
            </w:r>
          </w:p>
        </w:tc>
        <w:tc>
          <w:tcPr>
            <w:tcW w:type="dxa" w:w="8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IMEDIATA (Esta semana)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Acionar fornecedor alternativo de aço CA-50. Emitir PO emergencial para garantir 180t até D+15.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rPr>
          <w:tblHeader w:val="false"/>
          <w:trHeight w:val="56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3</w:t>
            </w:r>
          </w:p>
        </w:tc>
        <w:tc>
          <w:tcPr>
            <w:tcW w:type="dxa" w:w="8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CURTO PRAZO (30 dias)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Revisar baseline do cronograma integrando impacto geotécnico. Atualizar EAC e comunicar ao cliente.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rPr>
          <w:tblHeader w:val="false"/>
          <w:trHeight w:val="56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4</w:t>
            </w:r>
          </w:p>
        </w:tc>
        <w:tc>
          <w:tcPr>
            <w:tcW w:type="dxa" w:w="8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CURTO PRAZO (30 dias)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Aprovar plano de ação de recuperação de CPI: aumentar produtividade em 20%, reduzir desperdícios, revisar escopo com cliente.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rPr>
          <w:tblHeader w:val="false"/>
          <w:trHeight w:val="56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DC7"/>
                <w:sz w:val="22"/>
                <w:szCs w:val="22"/>
              </w:rPr>
              <w:t xml:space="preserve">5</w:t>
            </w:r>
          </w:p>
        </w:tc>
        <w:tc>
          <w:tcPr>
            <w:tcW w:type="dxa" w:w="8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DC7"/>
                <w:sz w:val="18"/>
                <w:szCs w:val="18"/>
              </w:rPr>
              <w:t xml:space="preserve">MÉDIO PRAZO (60 dias)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Negociar aditivo contratual de R$1,9M (Cost_Controller_AI recomenda aprovação parcial de R$2,8M solicitado).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rPr>
          <w:tblHeader w:val="false"/>
          <w:trHeight w:val="56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DC7"/>
                <w:sz w:val="22"/>
                <w:szCs w:val="22"/>
              </w:rPr>
              <w:t xml:space="preserve">6</w:t>
            </w:r>
          </w:p>
        </w:tc>
        <w:tc>
          <w:tcPr>
            <w:tcW w:type="dxa" w:w="8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DC7"/>
                <w:sz w:val="18"/>
                <w:szCs w:val="18"/>
              </w:rPr>
              <w:t xml:space="preserve">MÉDIO PRAZO (60 dias)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Implementar hedge cambial para R$4,1M de contratos expostos ao dólar via instrumento financeiro aprovado pelo Gestor Financeiro.</w:t>
            </w:r>
          </w:p>
        </w:tc>
      </w:tr>
    </w:tbl>
    <w:p>
      <w:pPr>
        <w:spacing w:after="60" w:before="0" w:line="28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  <w:trHeight w:val="520" w:hRule="exact"/>
        </w:trP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6. DECISÕES NECESSÁRIAS  —  Para o Diretor Executivo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60"/>
        <w:gridCol w:w="1200"/>
        <w:gridCol w:w="2800"/>
      </w:tblGrid>
      <w:tr>
        <w:trPr>
          <w:tblHeader/>
          <w:trHeight w:val="400" w:hRule="exact"/>
        </w:trPr>
        <w:tc>
          <w:tcPr>
            <w:tcW w:type="dxa" w:w="3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1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 / IMPACTO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RECOMENDAÇÃO AI</w:t>
            </w:r>
          </w:p>
        </w:tc>
      </w:tr>
      <w:tr>
        <w:trPr>
          <w:tblHeader w:val="false"/>
          <w:trHeight w:val="600" w:hRule="exact"/>
        </w:trPr>
        <w:tc>
          <w:tcPr>
            <w:tcW w:type="dxa" w:w="3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8"/>
                <w:szCs w:val="18"/>
              </w:rPr>
              <w:t xml:space="preserve">Aprovação parcial do aditivo contratual geotécnico</w:t>
            </w:r>
          </w:p>
        </w:tc>
        <w:tc>
          <w:tcPr>
            <w:tcW w:type="dxa" w:w="1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R$ 1,9M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HOJE</w:t>
            </w:r>
          </w:p>
        </w:tc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Cost_Controller_AI recomenda aprovação parcial. Rejeição total atrasa obra em +60 dias.</w:t>
            </w:r>
          </w:p>
        </w:tc>
      </w:tr>
      <w:tr>
        <w:trPr>
          <w:tblHeader w:val="false"/>
          <w:trHeight w:val="600" w:hRule="exact"/>
        </w:trPr>
        <w:tc>
          <w:tcPr>
            <w:tcW w:type="dxa" w:w="3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8"/>
                <w:szCs w:val="18"/>
              </w:rPr>
              <w:t xml:space="preserve">Aprovação do plano de emergência NR-18 — Bloco C</w:t>
            </w:r>
          </w:p>
        </w:tc>
        <w:tc>
          <w:tcPr>
            <w:tcW w:type="dxa" w:w="1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Obrigatório (NR)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48 horas</w:t>
            </w:r>
          </w:p>
        </w:tc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Safety_Monitor_AI: conformidade legal. Não aprovação gera embargo da obra.</w:t>
            </w:r>
          </w:p>
        </w:tc>
      </w:tr>
      <w:tr>
        <w:trPr>
          <w:tblHeader w:val="false"/>
          <w:trHeight w:val="600" w:hRule="exact"/>
        </w:trPr>
        <w:tc>
          <w:tcPr>
            <w:tcW w:type="dxa" w:w="3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8"/>
                <w:szCs w:val="18"/>
              </w:rPr>
              <w:t xml:space="preserve">Autorizar contratação emergencial 2º fornecedor de aço</w:t>
            </w:r>
          </w:p>
        </w:tc>
        <w:tc>
          <w:tcPr>
            <w:tcW w:type="dxa" w:w="1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R$ 420K (premium)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72 horas</w:t>
            </w:r>
          </w:p>
        </w:tc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Risk_Analysis_AI: custo de não ação = +R$2,1M em atraso de prazo.</w:t>
            </w:r>
          </w:p>
        </w:tc>
      </w:tr>
      <w:tr>
        <w:trPr>
          <w:tblHeader w:val="false"/>
          <w:trHeight w:val="600" w:hRule="exact"/>
        </w:trPr>
        <w:tc>
          <w:tcPr>
            <w:tcW w:type="dxa" w:w="3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8"/>
                <w:szCs w:val="18"/>
              </w:rPr>
              <w:t xml:space="preserve">Revisar e aprovar novo baseline de cronograma</w:t>
            </w:r>
          </w:p>
        </w:tc>
        <w:tc>
          <w:tcPr>
            <w:tcW w:type="dxa" w:w="1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Sem custo direto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7 dias</w:t>
            </w:r>
          </w:p>
        </w:tc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Construction_Planner_AI: necessário para replanejar com dados geotécnicos.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  <w:trHeight w:val="520" w:hRule="exact"/>
        </w:trP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7. PRÓXIMOS PASSOS  —  30 / 60 / 90 dias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2000"/>
        <w:gridCol w:w="1560"/>
      </w:tblGrid>
      <w:tr>
        <w:trPr>
          <w:tblHeader/>
          <w:trHeight w:val="380" w:hRule="exact"/>
        </w:trPr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HORIZONTE</w:t>
            </w:r>
          </w:p>
        </w:tc>
        <w:tc>
          <w:tcPr>
            <w:tcW w:type="dxa" w:w="4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INDICADOR DE SUCESSO</w:t>
            </w:r>
          </w:p>
        </w:tc>
      </w:tr>
      <w:tr>
        <w:trPr>
          <w:tblHeader w:val="false"/>
          <w:trHeight w:val="500" w:hRule="exact"/>
        </w:trPr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30 dias</w:t>
            </w:r>
          </w:p>
        </w:tc>
        <w:tc>
          <w:tcPr>
            <w:tcW w:type="dxa" w:w="4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Sondagem geotécnica + laudo + revisão do projeto de fundações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Engenheiro de Campo + Projetista Externo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7"/>
                <w:szCs w:val="17"/>
              </w:rPr>
              <w:t xml:space="preserve">Laudo aprovado</w:t>
            </w:r>
          </w:p>
        </w:tc>
      </w:tr>
      <w:tr>
        <w:trPr>
          <w:tblHeader w:val="false"/>
          <w:trHeight w:val="500" w:hRule="exact"/>
        </w:trPr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30 dias</w:t>
            </w:r>
          </w:p>
        </w:tc>
        <w:tc>
          <w:tcPr>
            <w:tcW w:type="dxa" w:w="4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Aprovação do aditivo contratual e atualização do BAC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Diretor + Gestor Financeiro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7"/>
                <w:szCs w:val="17"/>
              </w:rPr>
              <w:t xml:space="preserve">Aditivo assinado</w:t>
            </w:r>
          </w:p>
        </w:tc>
      </w:tr>
      <w:tr>
        <w:trPr>
          <w:tblHeader w:val="false"/>
          <w:trHeight w:val="500" w:hRule="exact"/>
        </w:trPr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30 dias</w:t>
            </w:r>
          </w:p>
        </w:tc>
        <w:tc>
          <w:tcPr>
            <w:tcW w:type="dxa" w:w="4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Plano de recuperação de CPI aprovado e em execução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Coordenador de Projetos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7"/>
                <w:szCs w:val="17"/>
              </w:rPr>
              <w:t xml:space="preserve">CPI ≥ 0,80</w:t>
            </w:r>
          </w:p>
        </w:tc>
      </w:tr>
      <w:tr>
        <w:trPr>
          <w:tblHeader w:val="false"/>
          <w:trHeight w:val="500" w:hRule="exact"/>
        </w:trPr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60 dias</w:t>
            </w:r>
          </w:p>
        </w:tc>
        <w:tc>
          <w:tcPr>
            <w:tcW w:type="dxa" w:w="4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Retomada da escavação com medidas geotécnicas implementadas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Engenheiro de Campo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7"/>
                <w:szCs w:val="17"/>
              </w:rPr>
              <w:t xml:space="preserve">Escavação sem incidentes</w:t>
            </w:r>
          </w:p>
        </w:tc>
      </w:tr>
      <w:tr>
        <w:trPr>
          <w:tblHeader w:val="false"/>
          <w:trHeight w:val="500" w:hRule="exact"/>
        </w:trPr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60 dias</w:t>
            </w:r>
          </w:p>
        </w:tc>
        <w:tc>
          <w:tcPr>
            <w:tcW w:type="dxa" w:w="4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Revisão do cronograma mestre com novo baseline aprovado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Construction_Planner_AI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7"/>
                <w:szCs w:val="17"/>
              </w:rPr>
              <w:t xml:space="preserve">SPI ≥ 0,95</w:t>
            </w:r>
          </w:p>
        </w:tc>
      </w:tr>
      <w:tr>
        <w:trPr>
          <w:tblHeader w:val="false"/>
          <w:trHeight w:val="500" w:hRule="exact"/>
        </w:trPr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90 dias</w:t>
            </w:r>
          </w:p>
        </w:tc>
        <w:tc>
          <w:tcPr>
            <w:tcW w:type="dxa" w:w="4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CPI recuperado para ≥ 0,85 via controle rigoroso de custos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Cost_Controller_AI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7"/>
                <w:szCs w:val="17"/>
              </w:rPr>
              <w:t xml:space="preserve">CPI ≥ 0,85</w:t>
            </w:r>
          </w:p>
        </w:tc>
      </w:tr>
      <w:tr>
        <w:trPr>
          <w:tblHeader w:val="false"/>
          <w:trHeight w:val="500" w:hRule="exact"/>
        </w:trPr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90 dias</w:t>
            </w:r>
          </w:p>
        </w:tc>
        <w:tc>
          <w:tcPr>
            <w:tcW w:type="dxa" w:w="4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Estrutura do Bloco A 100% concluída e aceita pelo fiscal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7"/>
                <w:szCs w:val="17"/>
              </w:rPr>
              <w:t xml:space="preserve">Coordenador + Fiscal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7"/>
                <w:szCs w:val="17"/>
              </w:rPr>
              <w:t xml:space="preserve">Medição aprovada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  <w:trHeight w:val="440" w:hRule="exact"/>
        </w:trPr>
        <w:tc>
          <w:tcPr>
            <w:tcW w:type="dxa" w:w="9360"/>
            <w:tcBorders>
              <w:top w:val="single" w:color="0F2044" w:sz="6"/>
              <w:left w:val="single" w:color="0F2044" w:sz="6"/>
              <w:bottom w:val="single" w:color="0F2044" w:sz="6"/>
              <w:right w:val="single" w:color="0F2044" w:sz="6"/>
            </w:tcBorders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APROVAÇÃO DO RELATÓRIO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 w:val="false"/>
          <w:trHeight w:val="2000" w:hRule="exact"/>
        </w:trP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Coordenador de Projetos</w:t>
            </w:r>
          </w:p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</w:t>
            </w:r>
          </w:p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Nome:  CREA:</w:t>
            </w:r>
          </w:p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Data:  ___/___/______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Diretor Executivo</w:t>
            </w:r>
          </w:p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</w:t>
            </w:r>
          </w:p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Nome:</w:t>
            </w:r>
          </w:p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Data:  ___/___/______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Fiscal / Owner's Rep</w:t>
            </w:r>
          </w:p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</w:t>
            </w:r>
          </w:p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Nome:  Empresa:</w:t>
            </w:r>
          </w:p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Data:  ___/___/______</w:t>
            </w:r>
          </w:p>
        </w:tc>
      </w:tr>
    </w:tbl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  <w:trHeight w:val="700" w:hRule="exact"/>
        </w:trP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6"/>
                <w:szCs w:val="16"/>
              </w:rPr>
              <w:t xml:space="preserve">Gerado por: Cost_Controller_AI  ·  Construction_Planner_AI  ·  Risk_Analysis_AI  |  AI Construction Intelligence Platform v5.2</w:t>
            </w:r>
          </w:p>
          <w:p>
            <w:pPr>
              <w:spacing w:after="6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5"/>
                <w:szCs w:val="15"/>
              </w:rPr>
              <w:t xml:space="preserve">Este relatório segue o formato executive_responses definido no CORE_SYSTEM v5.2. Dados atualizados conforme última sincronização com os agentes.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 w:line="2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374151"/>
        <w:sz w:val="16"/>
        <w:szCs w:val="16"/>
      </w:rPr>
      <w:t xml:space="preserve">AI Construction Intelligence Platform v5.2  ·  Gerado por: Cost_Controller_AI + Construction_Planner_AI + Risk_Analysis_AI  ·  Página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374151"/>
        <w:sz w:val="16"/>
        <w:szCs w:val="16"/>
      </w:rPr>
      <w:t xml:space="preserve"> de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400"/>
      <w:gridCol w:w="1960"/>
    </w:tblGrid>
    <w:tr>
      <w:trPr>
        <w:tblHeader w:val="false"/>
        <w:trHeight w:val="580" w:hRule="exact"/>
      </w:trPr>
      <w:tc>
        <w:tcPr>
          <w:tcW w:type="dxa" w:w="7400"/>
          <w:tcBorders>
            <w:top w:val="single" w:color="0F2044" w:sz="6"/>
            <w:left w:val="single" w:color="0F2044" w:sz="6"/>
            <w:bottom w:val="single" w:color="0F2044" w:sz="6"/>
            <w:right w:val="single" w:color="0F2044" w:sz="6"/>
          </w:tcBorders>
          <w:shd w:fill="0F2044" w:val="clear"/>
          <w:tcMar>
            <w:top w:type="dxa" w:w="80"/>
            <w:left w:type="dxa" w:w="140"/>
            <w:bottom w:type="dxa" w:w="80"/>
            <w:right w:type="dxa" w:w="140"/>
          </w:tcMar>
          <w:vAlign w:val="center"/>
        </w:tcPr>
        <w:p>
          <w:pPr>
            <w:spacing w:after="60" w:before="0" w:line="28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7"/>
              <w:szCs w:val="17"/>
            </w:rPr>
            <w:t xml:space="preserve">AI CONSTRUCTION INTELLIGENCE PLATFORM  |  v5.2</w:t>
          </w:r>
        </w:p>
        <w:p>
          <w:pPr>
            <w:spacing w:after="60" w:before="0" w:line="28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C9A84C"/>
              <w:sz w:val="15"/>
              <w:szCs w:val="15"/>
            </w:rPr>
            <w:t xml:space="preserve">Relatório Executivo de Obra  ·  formato executive_responses</w:t>
          </w:r>
        </w:p>
      </w:tc>
      <w:tc>
        <w:tcPr>
          <w:tcW w:type="dxa" w:w="1960"/>
          <w:tcBorders>
            <w:top w:val="single" w:color="0F2044" w:sz="6"/>
            <w:left w:val="single" w:color="0F2044" w:sz="6"/>
            <w:bottom w:val="single" w:color="0F2044" w:sz="6"/>
            <w:right w:val="single" w:color="0F2044" w:sz="6"/>
          </w:tcBorders>
          <w:shd w:fill="0F2044" w:val="clear"/>
          <w:tcMar>
            <w:top w:type="dxa" w:w="80"/>
            <w:left w:type="dxa" w:w="140"/>
            <w:bottom w:type="dxa" w:w="80"/>
            <w:right w:type="dxa" w:w="140"/>
          </w:tcMar>
          <w:vAlign w:val="center"/>
        </w:tcPr>
        <w:p>
          <w:pPr>
            <w:spacing w:after="60" w:before="0" w:line="280"/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C9A84C"/>
              <w:sz w:val="15"/>
              <w:szCs w:val="15"/>
            </w:rPr>
            <w:t xml:space="preserve">Confidencial</w:t>
          </w:r>
        </w:p>
        <w:p>
          <w:pPr>
            <w:spacing w:after="60" w:before="0" w:line="28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FFFFFF"/>
              <w:sz w:val="15"/>
              <w:szCs w:val="15"/>
            </w:rPr>
            <w:t xml:space="preserve">16/05/2026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F20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30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2026-05-16T19:50:26.318Z</dcterms:created>
  <dcterms:modified xsi:type="dcterms:W3CDTF">2026-05-16T19:50:26.318Z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