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4F81BD" w:themeColor="accent1"/>
        </w:rPr>
        <w:id w:val="958927839"/>
        <w:docPartObj>
          <w:docPartGallery w:val="Cover Pages"/>
          <w:docPartUnique/>
        </w:docPartObj>
      </w:sdtPr>
      <w:sdtEndPr>
        <w:rPr>
          <w:color w:val="auto"/>
          <w:sz w:val="24"/>
          <w:szCs w:val="24"/>
        </w:rPr>
      </w:sdtEndPr>
      <w:sdtContent>
        <w:sdt>
          <w:sdtPr>
            <w:rPr>
              <w:rFonts w:ascii="Times New Roman" w:hAnsi="Times New Roman" w:cs="Times New Roman"/>
            </w:rPr>
            <w:id w:val="10082672"/>
            <w:docPartObj>
              <w:docPartGallery w:val="Cover Pages"/>
              <w:docPartUnique/>
            </w:docPartObj>
          </w:sdtPr>
          <w:sdtEndPr>
            <w:rPr>
              <w:rFonts w:eastAsia="Times New Roman"/>
              <w:color w:val="FF0000"/>
              <w:sz w:val="24"/>
              <w:szCs w:val="24"/>
              <w:lang w:eastAsia="en-GB"/>
            </w:rPr>
          </w:sdtEndPr>
          <w:sdtContent>
            <w:p w14:paraId="4000CC97" w14:textId="77777777" w:rsidR="004816E1" w:rsidRPr="00605184" w:rsidRDefault="004816E1" w:rsidP="004816E1">
              <w:pPr>
                <w:jc w:val="center"/>
                <w:rPr>
                  <w:rFonts w:ascii="Times New Roman" w:hAnsi="Times New Roman" w:cs="Times New Roman"/>
                  <w:b/>
                  <w:sz w:val="66"/>
                  <w:szCs w:val="66"/>
                </w:rPr>
              </w:pPr>
              <w:r w:rsidRPr="00605184">
                <w:rPr>
                  <w:rFonts w:ascii="Times New Roman" w:hAnsi="Times New Roman" w:cs="Times New Roman"/>
                  <w:b/>
                  <w:sz w:val="66"/>
                  <w:szCs w:val="66"/>
                </w:rPr>
                <w:t>BOWIE STATE UNIVERSITY</w:t>
              </w:r>
            </w:p>
            <w:p w14:paraId="79B58130" w14:textId="77777777" w:rsidR="004816E1" w:rsidRPr="00605184" w:rsidRDefault="004816E1" w:rsidP="004816E1">
              <w:pPr>
                <w:jc w:val="center"/>
                <w:rPr>
                  <w:rFonts w:ascii="Times New Roman" w:hAnsi="Times New Roman" w:cs="Times New Roman"/>
                  <w:b/>
                  <w:sz w:val="52"/>
                  <w:szCs w:val="52"/>
                </w:rPr>
              </w:pPr>
            </w:p>
            <w:p w14:paraId="432A0174" w14:textId="77777777" w:rsidR="004816E1" w:rsidRPr="00605184" w:rsidRDefault="004816E1" w:rsidP="004816E1">
              <w:pPr>
                <w:jc w:val="center"/>
                <w:rPr>
                  <w:rFonts w:ascii="Times New Roman" w:hAnsi="Times New Roman" w:cs="Times New Roman"/>
                  <w:b/>
                  <w:sz w:val="200"/>
                  <w:szCs w:val="52"/>
                </w:rPr>
              </w:pPr>
              <w:r w:rsidRPr="00605184">
                <w:rPr>
                  <w:rFonts w:ascii="Times New Roman" w:hAnsi="Times New Roman" w:cs="Times New Roman"/>
                  <w:b/>
                  <w:color w:val="000000"/>
                  <w:sz w:val="38"/>
                </w:rPr>
                <w:t>DEPARTMENT OF COMPUTER SCIENCE</w:t>
              </w:r>
            </w:p>
            <w:p w14:paraId="3D869216" w14:textId="77777777" w:rsidR="004816E1" w:rsidRPr="00605184" w:rsidRDefault="004816E1" w:rsidP="004816E1">
              <w:pPr>
                <w:jc w:val="center"/>
                <w:rPr>
                  <w:rFonts w:ascii="Times New Roman" w:hAnsi="Times New Roman" w:cs="Times New Roman"/>
                  <w:b/>
                  <w:sz w:val="44"/>
                  <w:szCs w:val="52"/>
                </w:rPr>
              </w:pPr>
            </w:p>
            <w:p w14:paraId="6E9F32C0" w14:textId="77777777" w:rsidR="004816E1" w:rsidRPr="00605184" w:rsidRDefault="004816E1" w:rsidP="004816E1">
              <w:pPr>
                <w:jc w:val="center"/>
                <w:rPr>
                  <w:rFonts w:ascii="Times New Roman" w:hAnsi="Times New Roman" w:cs="Times New Roman"/>
                  <w:b/>
                  <w:sz w:val="44"/>
                  <w:szCs w:val="52"/>
                </w:rPr>
              </w:pPr>
            </w:p>
            <w:p w14:paraId="6C6AEB01" w14:textId="2A198C39" w:rsidR="004816E1" w:rsidRPr="00605184" w:rsidRDefault="00FD3687" w:rsidP="004816E1">
              <w:pPr>
                <w:spacing w:after="0"/>
                <w:jc w:val="center"/>
                <w:rPr>
                  <w:rFonts w:ascii="Times New Roman" w:hAnsi="Times New Roman" w:cs="Times New Roman"/>
                  <w:sz w:val="44"/>
                  <w:szCs w:val="24"/>
                </w:rPr>
              </w:pPr>
              <w:r w:rsidRPr="00605184">
                <w:rPr>
                  <w:rFonts w:ascii="Times New Roman" w:hAnsi="Times New Roman" w:cs="Times New Roman"/>
                  <w:b/>
                  <w:bCs/>
                  <w:color w:val="000000"/>
                  <w:sz w:val="34"/>
                </w:rPr>
                <w:t xml:space="preserve">INTERNET </w:t>
              </w:r>
              <w:r w:rsidR="00D30233" w:rsidRPr="00605184">
                <w:rPr>
                  <w:rFonts w:ascii="Times New Roman" w:hAnsi="Times New Roman" w:cs="Times New Roman"/>
                  <w:b/>
                  <w:bCs/>
                  <w:color w:val="000000"/>
                  <w:sz w:val="34"/>
                </w:rPr>
                <w:t xml:space="preserve">TECHNOLOGY DISCOVERY </w:t>
              </w:r>
            </w:p>
            <w:p w14:paraId="5CC67DEC" w14:textId="77777777" w:rsidR="004816E1" w:rsidRPr="00605184" w:rsidRDefault="004816E1" w:rsidP="004816E1">
              <w:pPr>
                <w:jc w:val="center"/>
                <w:rPr>
                  <w:rFonts w:ascii="Times New Roman" w:hAnsi="Times New Roman" w:cs="Times New Roman"/>
                  <w:b/>
                  <w:sz w:val="28"/>
                  <w:szCs w:val="24"/>
                </w:rPr>
              </w:pPr>
            </w:p>
            <w:p w14:paraId="448DC96F" w14:textId="7F9A0803" w:rsidR="006A1002" w:rsidRPr="00605184" w:rsidRDefault="006A1002" w:rsidP="006A1002">
              <w:pPr>
                <w:jc w:val="center"/>
                <w:rPr>
                  <w:rFonts w:ascii="Times New Roman" w:hAnsi="Times New Roman" w:cs="Times New Roman"/>
                  <w:b/>
                  <w:sz w:val="28"/>
                  <w:szCs w:val="24"/>
                </w:rPr>
              </w:pPr>
              <w:r w:rsidRPr="00605184">
                <w:rPr>
                  <w:rFonts w:ascii="Times New Roman" w:hAnsi="Times New Roman" w:cs="Times New Roman"/>
                  <w:b/>
                  <w:sz w:val="28"/>
                  <w:szCs w:val="24"/>
                </w:rPr>
                <w:t>INTERNET OF THINGS (IOT) DIGITAL</w:t>
              </w:r>
            </w:p>
            <w:p w14:paraId="14231178" w14:textId="4ED69321" w:rsidR="006A1002" w:rsidRPr="00605184" w:rsidRDefault="006A1002" w:rsidP="006A1002">
              <w:pPr>
                <w:jc w:val="center"/>
                <w:rPr>
                  <w:rFonts w:ascii="Times New Roman" w:hAnsi="Times New Roman" w:cs="Times New Roman"/>
                  <w:b/>
                  <w:sz w:val="28"/>
                  <w:szCs w:val="24"/>
                </w:rPr>
              </w:pPr>
              <w:r w:rsidRPr="00605184">
                <w:rPr>
                  <w:rFonts w:ascii="Times New Roman" w:hAnsi="Times New Roman" w:cs="Times New Roman"/>
                  <w:b/>
                  <w:sz w:val="28"/>
                  <w:szCs w:val="24"/>
                </w:rPr>
                <w:t>REPOSITORY PROJECT</w:t>
              </w:r>
            </w:p>
            <w:p w14:paraId="45D9AA9D" w14:textId="62B0BE4F" w:rsidR="004816E1" w:rsidRPr="00605184" w:rsidRDefault="003174A4" w:rsidP="004816E1">
              <w:pPr>
                <w:jc w:val="center"/>
                <w:rPr>
                  <w:rFonts w:ascii="Times New Roman" w:hAnsi="Times New Roman" w:cs="Times New Roman"/>
                  <w:b/>
                  <w:sz w:val="28"/>
                  <w:szCs w:val="24"/>
                </w:rPr>
              </w:pPr>
              <w:r w:rsidRPr="00605184">
                <w:rPr>
                  <w:rFonts w:ascii="Times New Roman" w:hAnsi="Times New Roman" w:cs="Times New Roman"/>
                  <w:sz w:val="18"/>
                  <w:szCs w:val="18"/>
                </w:rPr>
                <w:t>GREENHOUSEWATCH</w:t>
              </w:r>
            </w:p>
            <w:p w14:paraId="4A7327BF" w14:textId="04331417" w:rsidR="004816E1" w:rsidRPr="00605184" w:rsidRDefault="004816E1" w:rsidP="004816E1">
              <w:pPr>
                <w:jc w:val="center"/>
                <w:rPr>
                  <w:rFonts w:ascii="Times New Roman" w:hAnsi="Times New Roman" w:cs="Times New Roman"/>
                  <w:b/>
                  <w:sz w:val="28"/>
                  <w:szCs w:val="24"/>
                </w:rPr>
              </w:pPr>
            </w:p>
            <w:p w14:paraId="2FFB31A5" w14:textId="77777777" w:rsidR="004816E1" w:rsidRPr="00605184" w:rsidRDefault="004816E1" w:rsidP="004816E1">
              <w:pPr>
                <w:jc w:val="center"/>
                <w:rPr>
                  <w:rFonts w:ascii="Times New Roman" w:hAnsi="Times New Roman" w:cs="Times New Roman"/>
                  <w:b/>
                  <w:sz w:val="36"/>
                  <w:szCs w:val="24"/>
                </w:rPr>
              </w:pPr>
            </w:p>
            <w:p w14:paraId="52AC4727" w14:textId="77777777" w:rsidR="004816E1" w:rsidRPr="00605184" w:rsidRDefault="004816E1" w:rsidP="004816E1">
              <w:pPr>
                <w:jc w:val="center"/>
                <w:rPr>
                  <w:rFonts w:ascii="Times New Roman" w:hAnsi="Times New Roman" w:cs="Times New Roman"/>
                  <w:b/>
                  <w:bCs/>
                  <w:color w:val="000000"/>
                  <w:sz w:val="32"/>
                </w:rPr>
              </w:pPr>
            </w:p>
            <w:p w14:paraId="3632968F" w14:textId="77777777" w:rsidR="004816E1" w:rsidRPr="00605184" w:rsidRDefault="004816E1" w:rsidP="004816E1">
              <w:pPr>
                <w:jc w:val="center"/>
                <w:rPr>
                  <w:rFonts w:ascii="Times New Roman" w:hAnsi="Times New Roman" w:cs="Times New Roman"/>
                  <w:b/>
                  <w:bCs/>
                  <w:color w:val="000000"/>
                  <w:sz w:val="32"/>
                </w:rPr>
              </w:pPr>
              <w:r w:rsidRPr="00605184">
                <w:rPr>
                  <w:rFonts w:ascii="Times New Roman" w:hAnsi="Times New Roman" w:cs="Times New Roman"/>
                  <w:b/>
                  <w:bCs/>
                  <w:color w:val="000000"/>
                  <w:sz w:val="32"/>
                </w:rPr>
                <w:t>INSTRUCTOR</w:t>
              </w:r>
            </w:p>
            <w:p w14:paraId="4DC6BB4C" w14:textId="3E8A6820" w:rsidR="004816E1" w:rsidRPr="00605184" w:rsidRDefault="004816E1" w:rsidP="004816E1">
              <w:pPr>
                <w:jc w:val="center"/>
                <w:rPr>
                  <w:rFonts w:ascii="Times New Roman" w:hAnsi="Times New Roman" w:cs="Times New Roman"/>
                  <w:b/>
                  <w:bCs/>
                  <w:color w:val="000000"/>
                  <w:sz w:val="32"/>
                </w:rPr>
              </w:pPr>
              <w:r w:rsidRPr="00605184">
                <w:rPr>
                  <w:rFonts w:ascii="Times New Roman" w:hAnsi="Times New Roman" w:cs="Times New Roman"/>
                  <w:b/>
                  <w:bCs/>
                  <w:color w:val="000000"/>
                  <w:sz w:val="32"/>
                </w:rPr>
                <w:t xml:space="preserve">DR. </w:t>
              </w:r>
              <w:r w:rsidR="003174A4" w:rsidRPr="00605184">
                <w:rPr>
                  <w:rFonts w:ascii="Times New Roman" w:hAnsi="Times New Roman" w:cs="Times New Roman"/>
                  <w:b/>
                  <w:bCs/>
                  <w:sz w:val="32"/>
                  <w:szCs w:val="32"/>
                </w:rPr>
                <w:t>FELIX NJEH</w:t>
              </w:r>
              <w:r w:rsidRPr="00605184">
                <w:rPr>
                  <w:rFonts w:ascii="Times New Roman" w:hAnsi="Times New Roman" w:cs="Times New Roman"/>
                  <w:sz w:val="32"/>
                  <w:szCs w:val="32"/>
                </w:rPr>
                <w:t xml:space="preserve"> </w:t>
              </w:r>
            </w:p>
            <w:p w14:paraId="5C0C3A29" w14:textId="77777777" w:rsidR="004816E1" w:rsidRPr="00605184" w:rsidRDefault="004816E1" w:rsidP="004816E1">
              <w:pPr>
                <w:jc w:val="center"/>
                <w:rPr>
                  <w:rFonts w:ascii="Times New Roman" w:hAnsi="Times New Roman" w:cs="Times New Roman"/>
                  <w:sz w:val="24"/>
                  <w:szCs w:val="24"/>
                </w:rPr>
              </w:pPr>
              <w:r w:rsidRPr="00605184">
                <w:rPr>
                  <w:rFonts w:ascii="Times New Roman" w:hAnsi="Times New Roman" w:cs="Times New Roman"/>
                  <w:b/>
                  <w:bCs/>
                  <w:color w:val="000000"/>
                  <w:sz w:val="30"/>
                </w:rPr>
                <w:br/>
              </w:r>
            </w:p>
            <w:p w14:paraId="5C2011C8" w14:textId="77777777" w:rsidR="004816E1" w:rsidRPr="00605184" w:rsidRDefault="004816E1" w:rsidP="004816E1">
              <w:pPr>
                <w:jc w:val="center"/>
                <w:rPr>
                  <w:rFonts w:ascii="Times New Roman" w:hAnsi="Times New Roman" w:cs="Times New Roman"/>
                  <w:sz w:val="24"/>
                  <w:szCs w:val="24"/>
                </w:rPr>
              </w:pPr>
            </w:p>
            <w:p w14:paraId="55570C28" w14:textId="77777777" w:rsidR="004816E1" w:rsidRPr="00605184" w:rsidRDefault="004816E1" w:rsidP="004816E1">
              <w:pPr>
                <w:jc w:val="center"/>
                <w:rPr>
                  <w:rFonts w:ascii="Times New Roman" w:hAnsi="Times New Roman" w:cs="Times New Roman"/>
                  <w:sz w:val="24"/>
                  <w:szCs w:val="24"/>
                </w:rPr>
              </w:pPr>
              <w:r w:rsidRPr="00605184">
                <w:rPr>
                  <w:rFonts w:ascii="Times New Roman" w:hAnsi="Times New Roman" w:cs="Times New Roman"/>
                  <w:sz w:val="24"/>
                  <w:szCs w:val="24"/>
                </w:rPr>
                <w:t>BY</w:t>
              </w:r>
            </w:p>
            <w:p w14:paraId="077A46F5" w14:textId="77777777" w:rsidR="004816E1" w:rsidRPr="00605184" w:rsidRDefault="004816E1" w:rsidP="004816E1">
              <w:pPr>
                <w:jc w:val="center"/>
                <w:rPr>
                  <w:rFonts w:ascii="Times New Roman" w:hAnsi="Times New Roman" w:cs="Times New Roman"/>
                  <w:sz w:val="24"/>
                  <w:szCs w:val="24"/>
                </w:rPr>
              </w:pPr>
            </w:p>
            <w:p w14:paraId="7900D21C" w14:textId="77777777" w:rsidR="004816E1" w:rsidRPr="00605184" w:rsidRDefault="004816E1" w:rsidP="004816E1">
              <w:pPr>
                <w:jc w:val="center"/>
                <w:rPr>
                  <w:rFonts w:ascii="Times New Roman" w:hAnsi="Times New Roman" w:cs="Times New Roman"/>
                  <w:sz w:val="24"/>
                  <w:szCs w:val="24"/>
                </w:rPr>
              </w:pPr>
            </w:p>
            <w:p w14:paraId="2F896359" w14:textId="77777777" w:rsidR="004816E1" w:rsidRPr="00605184" w:rsidRDefault="004816E1" w:rsidP="004816E1">
              <w:pPr>
                <w:jc w:val="center"/>
                <w:rPr>
                  <w:rFonts w:ascii="Times New Roman" w:hAnsi="Times New Roman" w:cs="Times New Roman"/>
                  <w:sz w:val="24"/>
                  <w:szCs w:val="24"/>
                </w:rPr>
              </w:pPr>
            </w:p>
            <w:p w14:paraId="44B52BD1" w14:textId="77777777" w:rsidR="004816E1" w:rsidRPr="00605184" w:rsidRDefault="004816E1" w:rsidP="004816E1">
              <w:pPr>
                <w:jc w:val="center"/>
                <w:rPr>
                  <w:rFonts w:ascii="Times New Roman" w:hAnsi="Times New Roman" w:cs="Times New Roman"/>
                  <w:sz w:val="24"/>
                  <w:szCs w:val="24"/>
                </w:rPr>
              </w:pPr>
            </w:p>
            <w:p w14:paraId="755ECCA3" w14:textId="77777777" w:rsidR="004816E1" w:rsidRPr="00605184" w:rsidRDefault="004816E1" w:rsidP="004816E1">
              <w:pPr>
                <w:shd w:val="clear" w:color="auto" w:fill="FFFFFF"/>
                <w:spacing w:before="100" w:beforeAutospacing="1" w:after="0" w:line="240" w:lineRule="auto"/>
                <w:jc w:val="center"/>
                <w:rPr>
                  <w:rFonts w:ascii="Times New Roman" w:eastAsia="Times New Roman" w:hAnsi="Times New Roman" w:cs="Times New Roman"/>
                  <w:sz w:val="24"/>
                  <w:szCs w:val="24"/>
                  <w:lang w:eastAsia="en-GB"/>
                </w:rPr>
              </w:pPr>
              <w:r w:rsidRPr="00605184">
                <w:rPr>
                  <w:rFonts w:ascii="Times New Roman" w:hAnsi="Times New Roman" w:cs="Times New Roman"/>
                  <w:b/>
                  <w:sz w:val="24"/>
                  <w:szCs w:val="24"/>
                </w:rPr>
                <w:t>JERRY DIABOR</w:t>
              </w:r>
            </w:p>
            <w:p w14:paraId="50DD6FA4" w14:textId="6B24559C" w:rsidR="004816E1" w:rsidRPr="00605184" w:rsidRDefault="004816E1" w:rsidP="004816E1">
              <w:pPr>
                <w:spacing w:after="0" w:line="240" w:lineRule="auto"/>
                <w:jc w:val="center"/>
                <w:rPr>
                  <w:rFonts w:ascii="Times New Roman" w:eastAsia="Times New Roman" w:hAnsi="Times New Roman" w:cs="Times New Roman"/>
                  <w:color w:val="FF0000"/>
                  <w:sz w:val="24"/>
                  <w:szCs w:val="24"/>
                  <w:lang w:eastAsia="en-GB"/>
                </w:rPr>
              </w:pPr>
              <w:r w:rsidRPr="00605184">
                <w:rPr>
                  <w:rFonts w:ascii="Times New Roman" w:hAnsi="Times New Roman" w:cs="Times New Roman"/>
                  <w:b/>
                  <w:sz w:val="24"/>
                  <w:szCs w:val="24"/>
                </w:rPr>
                <w:t xml:space="preserve">SEPTEMBER </w:t>
              </w:r>
              <w:r w:rsidR="003174A4" w:rsidRPr="00605184">
                <w:rPr>
                  <w:rFonts w:ascii="Times New Roman" w:hAnsi="Times New Roman" w:cs="Times New Roman"/>
                  <w:b/>
                  <w:sz w:val="24"/>
                  <w:szCs w:val="24"/>
                </w:rPr>
                <w:t>14</w:t>
              </w:r>
              <w:r w:rsidRPr="00605184">
                <w:rPr>
                  <w:rFonts w:ascii="Times New Roman" w:hAnsi="Times New Roman" w:cs="Times New Roman"/>
                  <w:b/>
                  <w:sz w:val="24"/>
                  <w:szCs w:val="24"/>
                </w:rPr>
                <w:t>, 2026</w:t>
              </w:r>
            </w:p>
          </w:sdtContent>
        </w:sdt>
        <w:p w14:paraId="505DE837" w14:textId="5A10CC1B" w:rsidR="00D56DF0" w:rsidRPr="00605184" w:rsidRDefault="00D56DF0" w:rsidP="004816E1">
          <w:pPr>
            <w:spacing w:after="200" w:line="276" w:lineRule="auto"/>
            <w:jc w:val="center"/>
            <w:rPr>
              <w:rFonts w:ascii="Times New Roman" w:hAnsi="Times New Roman" w:cs="Times New Roman"/>
              <w:color w:val="auto"/>
              <w:sz w:val="24"/>
              <w:szCs w:val="24"/>
            </w:rPr>
          </w:pPr>
          <w:r w:rsidRPr="00605184">
            <w:rPr>
              <w:rFonts w:ascii="Times New Roman" w:hAnsi="Times New Roman" w:cs="Times New Roman"/>
              <w:color w:val="auto"/>
              <w:sz w:val="24"/>
              <w:szCs w:val="24"/>
            </w:rPr>
            <w:br w:type="page"/>
          </w:r>
        </w:p>
      </w:sdtContent>
    </w:sdt>
    <w:p w14:paraId="0E4B01A4" w14:textId="160141BB" w:rsidR="00CE753A" w:rsidRPr="00605184" w:rsidRDefault="00A12F53" w:rsidP="00F155F4">
      <w:pPr>
        <w:pStyle w:val="Heading1"/>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1. Project overview</w:t>
      </w:r>
    </w:p>
    <w:p w14:paraId="6E8AAE3E"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rPr>
        <w:t>GreenHouseWatch is a local IoT digital repository for greenhouse monitoring demonstrations. The simulator and MQTT publisher produce temperature, humidity, soil-moisture, light, nutrient-level and pH readings for crop-specific zones. The subscriber stores accepted messages in SQLite, while the Streamlit dashboard provides Overview, Zones, Analytics, Forecast, Controls and Data pages.</w:t>
      </w:r>
    </w:p>
    <w:p w14:paraId="594B6D2B"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Problem statement and use case</w:t>
      </w:r>
    </w:p>
    <w:p w14:paraId="3DA7F326"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rPr>
        <w:t>The design addresses the need to retain environmental observations and identify out-of-range conditions without requiring a paid IoT platform. The current use case is a multi-zone virtual greenhouse with crop-specific thresholds and device-health metadata. This educational prototype demonstrates monitoring and analysis; it does not claim physical greenhouse coverage or authorize irrigation hardware.</w:t>
      </w:r>
    </w:p>
    <w:p w14:paraId="6F27BB30"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Delivery scope and assessment</w:t>
      </w:r>
    </w:p>
    <w:p w14:paraId="62451E17"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rPr>
        <w:t>The repository now includes the design proposal, architecture diagram, simulator, MQTT pipeline, SQLite storage, visualizations and a live Streamlit dashboard. The dashboard reads the repository every five seconds, distinguishes fresh, stale, demo and simulated data, and exposes crop-specific targets. Input validation, alert normalization, forecast handling and page-level rendering are covered by the local test suite.</w:t>
      </w:r>
    </w:p>
    <w:p w14:paraId="10A049BA" w14:textId="77777777" w:rsidR="00CE753A" w:rsidRPr="00605184" w:rsidRDefault="00A12F53" w:rsidP="00F155F4">
      <w:pPr>
        <w:pStyle w:val="Evidence"/>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Phase deadlines: design 7 September; simulation 14 September; MQTT 21 September; storage, visualization and presentation 28 September 2026. The PDF title says 21 September while its Due Date field and final-phase sections say 28 September. This report follows the explicit phase dates and does not certify timely submission.</w:t>
      </w:r>
    </w:p>
    <w:p w14:paraId="5856C1CC" w14:textId="65AB3FA5" w:rsidR="00CE753A" w:rsidRPr="00605184" w:rsidRDefault="00A12F53" w:rsidP="00E667FE">
      <w:pPr>
        <w:pStyle w:val="Evidence"/>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Requirement source: </w:t>
      </w:r>
      <w:r w:rsidRPr="00605184">
        <w:rPr>
          <w:rFonts w:ascii="Times New Roman" w:hAnsi="Times New Roman" w:cs="Times New Roman"/>
          <w:i/>
          <w:iCs/>
          <w:color w:val="auto"/>
          <w:sz w:val="22"/>
        </w:rPr>
        <w:t xml:space="preserve">Digital Repository Project 1 due 28 September 2026.pdf, pp. 1-7. </w:t>
      </w:r>
    </w:p>
    <w:p w14:paraId="1355A653" w14:textId="77777777" w:rsidR="00CE753A" w:rsidRPr="00605184" w:rsidRDefault="00A12F53" w:rsidP="00F155F4">
      <w:pPr>
        <w:pStyle w:val="Heading1"/>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2. Design specification</w:t>
      </w:r>
    </w:p>
    <w:p w14:paraId="57DA7141"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13BEB07C" wp14:editId="15852FAF">
            <wp:extent cx="5669280" cy="23475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669280" cy="2347561"/>
                    </a:xfrm>
                    <a:prstGeom prst="rect">
                      <a:avLst/>
                    </a:prstGeom>
                  </pic:spPr>
                </pic:pic>
              </a:graphicData>
            </a:graphic>
          </wp:inline>
        </w:drawing>
      </w:r>
    </w:p>
    <w:p w14:paraId="72379FCE" w14:textId="75B58E15" w:rsidR="00CE753A" w:rsidRPr="00605184" w:rsidRDefault="00A12F53" w:rsidP="00F155F4">
      <w:pPr>
        <w:pStyle w:val="Evidence"/>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Figure 1. Repository architecture. </w:t>
      </w:r>
    </w:p>
    <w:p w14:paraId="5AFA8FD4"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The publisher imports the simulator; the subscriber receives the same JSON schema and commits each accepted message. The repository remains local even though message transport uses an external public broker. Configuration is centralized in src/config.py.</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800"/>
        <w:gridCol w:w="1700"/>
        <w:gridCol w:w="4860"/>
      </w:tblGrid>
      <w:tr w:rsidR="00CE753A" w:rsidRPr="00605184" w14:paraId="29B83033" w14:textId="77777777">
        <w:trPr>
          <w:cantSplit/>
          <w:tblHeader/>
        </w:trPr>
        <w:tc>
          <w:tcPr>
            <w:tcW w:w="2800" w:type="dxa"/>
            <w:shd w:val="clear" w:color="auto" w:fill="F2F4F7"/>
          </w:tcPr>
          <w:p w14:paraId="596CAABB"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Field</w:t>
            </w:r>
          </w:p>
        </w:tc>
        <w:tc>
          <w:tcPr>
            <w:tcW w:w="1700" w:type="dxa"/>
            <w:shd w:val="clear" w:color="auto" w:fill="F2F4F7"/>
          </w:tcPr>
          <w:p w14:paraId="38DEA54C"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SQLite type</w:t>
            </w:r>
          </w:p>
        </w:tc>
        <w:tc>
          <w:tcPr>
            <w:tcW w:w="4860" w:type="dxa"/>
            <w:shd w:val="clear" w:color="auto" w:fill="F2F4F7"/>
          </w:tcPr>
          <w:p w14:paraId="50781486"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Purpose</w:t>
            </w:r>
          </w:p>
        </w:tc>
      </w:tr>
      <w:tr w:rsidR="00CE753A" w:rsidRPr="00605184" w14:paraId="09AEFBD8" w14:textId="77777777">
        <w:trPr>
          <w:cantSplit/>
        </w:trPr>
        <w:tc>
          <w:tcPr>
            <w:tcW w:w="2800" w:type="dxa"/>
          </w:tcPr>
          <w:p w14:paraId="1A1DCE00"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id</w:t>
            </w:r>
          </w:p>
        </w:tc>
        <w:tc>
          <w:tcPr>
            <w:tcW w:w="1700" w:type="dxa"/>
          </w:tcPr>
          <w:p w14:paraId="047495B1"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INTEGER</w:t>
            </w:r>
          </w:p>
        </w:tc>
        <w:tc>
          <w:tcPr>
            <w:tcW w:w="4860" w:type="dxa"/>
          </w:tcPr>
          <w:p w14:paraId="079F69EA"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Auto-increment primary key</w:t>
            </w:r>
          </w:p>
        </w:tc>
      </w:tr>
      <w:tr w:rsidR="00CE753A" w:rsidRPr="00605184" w14:paraId="4D7FEE56" w14:textId="77777777">
        <w:trPr>
          <w:cantSplit/>
        </w:trPr>
        <w:tc>
          <w:tcPr>
            <w:tcW w:w="2800" w:type="dxa"/>
          </w:tcPr>
          <w:p w14:paraId="19004C09"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timestamp</w:t>
            </w:r>
          </w:p>
        </w:tc>
        <w:tc>
          <w:tcPr>
            <w:tcW w:w="1700" w:type="dxa"/>
          </w:tcPr>
          <w:p w14:paraId="3B71C272"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REAL</w:t>
            </w:r>
          </w:p>
        </w:tc>
        <w:tc>
          <w:tcPr>
            <w:tcW w:w="4860" w:type="dxa"/>
          </w:tcPr>
          <w:p w14:paraId="163D6CB4"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Unix timestamp; indexed for time queries</w:t>
            </w:r>
          </w:p>
        </w:tc>
      </w:tr>
      <w:tr w:rsidR="00CE753A" w:rsidRPr="00605184" w14:paraId="1B1027E1" w14:textId="77777777">
        <w:trPr>
          <w:cantSplit/>
        </w:trPr>
        <w:tc>
          <w:tcPr>
            <w:tcW w:w="2800" w:type="dxa"/>
          </w:tcPr>
          <w:p w14:paraId="3FE734E1"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iso_time</w:t>
            </w:r>
          </w:p>
        </w:tc>
        <w:tc>
          <w:tcPr>
            <w:tcW w:w="1700" w:type="dxa"/>
          </w:tcPr>
          <w:p w14:paraId="23E47B33"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TEXT</w:t>
            </w:r>
          </w:p>
        </w:tc>
        <w:tc>
          <w:tcPr>
            <w:tcW w:w="4860" w:type="dxa"/>
          </w:tcPr>
          <w:p w14:paraId="0F5716BE"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Human-readable UTC timestamp</w:t>
            </w:r>
          </w:p>
        </w:tc>
      </w:tr>
      <w:tr w:rsidR="00CE753A" w:rsidRPr="00605184" w14:paraId="61A30F48" w14:textId="77777777">
        <w:trPr>
          <w:cantSplit/>
        </w:trPr>
        <w:tc>
          <w:tcPr>
            <w:tcW w:w="2800" w:type="dxa"/>
          </w:tcPr>
          <w:p w14:paraId="55D6A6B2"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device_id</w:t>
            </w:r>
          </w:p>
        </w:tc>
        <w:tc>
          <w:tcPr>
            <w:tcW w:w="1700" w:type="dxa"/>
          </w:tcPr>
          <w:p w14:paraId="26C5F134"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TEXT</w:t>
            </w:r>
          </w:p>
        </w:tc>
        <w:tc>
          <w:tcPr>
            <w:tcW w:w="4860" w:type="dxa"/>
          </w:tcPr>
          <w:p w14:paraId="12C31902"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Originating virtual sensor node</w:t>
            </w:r>
          </w:p>
        </w:tc>
      </w:tr>
      <w:tr w:rsidR="00CE753A" w:rsidRPr="00605184" w14:paraId="08DE1401" w14:textId="77777777">
        <w:trPr>
          <w:cantSplit/>
        </w:trPr>
        <w:tc>
          <w:tcPr>
            <w:tcW w:w="2800" w:type="dxa"/>
          </w:tcPr>
          <w:p w14:paraId="478E27C7"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temperature_c</w:t>
            </w:r>
          </w:p>
        </w:tc>
        <w:tc>
          <w:tcPr>
            <w:tcW w:w="1700" w:type="dxa"/>
          </w:tcPr>
          <w:p w14:paraId="3398E957"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REAL</w:t>
            </w:r>
          </w:p>
        </w:tc>
        <w:tc>
          <w:tcPr>
            <w:tcW w:w="4860" w:type="dxa"/>
          </w:tcPr>
          <w:p w14:paraId="0C3C859A"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Air temperature in degrees Celsius</w:t>
            </w:r>
          </w:p>
        </w:tc>
      </w:tr>
      <w:tr w:rsidR="00CE753A" w:rsidRPr="00605184" w14:paraId="15E8101A" w14:textId="77777777">
        <w:trPr>
          <w:cantSplit/>
        </w:trPr>
        <w:tc>
          <w:tcPr>
            <w:tcW w:w="2800" w:type="dxa"/>
          </w:tcPr>
          <w:p w14:paraId="4AB22089"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humidity_pct</w:t>
            </w:r>
          </w:p>
        </w:tc>
        <w:tc>
          <w:tcPr>
            <w:tcW w:w="1700" w:type="dxa"/>
          </w:tcPr>
          <w:p w14:paraId="2E970E1F"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REAL</w:t>
            </w:r>
          </w:p>
        </w:tc>
        <w:tc>
          <w:tcPr>
            <w:tcW w:w="4860" w:type="dxa"/>
          </w:tcPr>
          <w:p w14:paraId="740599BE"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Relative humidity percentage</w:t>
            </w:r>
          </w:p>
        </w:tc>
      </w:tr>
      <w:tr w:rsidR="00CE753A" w:rsidRPr="00605184" w14:paraId="5A766147" w14:textId="77777777">
        <w:trPr>
          <w:cantSplit/>
        </w:trPr>
        <w:tc>
          <w:tcPr>
            <w:tcW w:w="2800" w:type="dxa"/>
          </w:tcPr>
          <w:p w14:paraId="02BE7583"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soil_moisture_pct</w:t>
            </w:r>
          </w:p>
        </w:tc>
        <w:tc>
          <w:tcPr>
            <w:tcW w:w="1700" w:type="dxa"/>
          </w:tcPr>
          <w:p w14:paraId="5FAEE1AE"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REAL</w:t>
            </w:r>
          </w:p>
        </w:tc>
        <w:tc>
          <w:tcPr>
            <w:tcW w:w="4860" w:type="dxa"/>
          </w:tcPr>
          <w:p w14:paraId="5314A7CE"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Soil moisture percentage</w:t>
            </w:r>
          </w:p>
        </w:tc>
      </w:tr>
      <w:tr w:rsidR="00CE753A" w:rsidRPr="00605184" w14:paraId="4D1B5E21" w14:textId="77777777">
        <w:trPr>
          <w:cantSplit/>
        </w:trPr>
        <w:tc>
          <w:tcPr>
            <w:tcW w:w="2800" w:type="dxa"/>
          </w:tcPr>
          <w:p w14:paraId="0A7EB9A9"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light_lux</w:t>
            </w:r>
          </w:p>
        </w:tc>
        <w:tc>
          <w:tcPr>
            <w:tcW w:w="1700" w:type="dxa"/>
          </w:tcPr>
          <w:p w14:paraId="3AA54C35"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REAL</w:t>
            </w:r>
          </w:p>
        </w:tc>
        <w:tc>
          <w:tcPr>
            <w:tcW w:w="4860" w:type="dxa"/>
          </w:tcPr>
          <w:p w14:paraId="72694F7D"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Ambient illumination</w:t>
            </w:r>
          </w:p>
        </w:tc>
      </w:tr>
      <w:tr w:rsidR="00CE753A" w:rsidRPr="00605184" w14:paraId="486E02F9" w14:textId="77777777">
        <w:trPr>
          <w:cantSplit/>
        </w:trPr>
        <w:tc>
          <w:tcPr>
            <w:tcW w:w="2800" w:type="dxa"/>
          </w:tcPr>
          <w:p w14:paraId="2DF6EB3C"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alert_flag</w:t>
            </w:r>
          </w:p>
        </w:tc>
        <w:tc>
          <w:tcPr>
            <w:tcW w:w="1700" w:type="dxa"/>
          </w:tcPr>
          <w:p w14:paraId="74AB2F11"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INTEGER</w:t>
            </w:r>
          </w:p>
        </w:tc>
        <w:tc>
          <w:tcPr>
            <w:tcW w:w="4860" w:type="dxa"/>
          </w:tcPr>
          <w:p w14:paraId="663989F2"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1 when any configured limit is breached</w:t>
            </w:r>
          </w:p>
        </w:tc>
      </w:tr>
      <w:tr w:rsidR="00CE753A" w:rsidRPr="00605184" w14:paraId="6B0FD5EF" w14:textId="77777777">
        <w:trPr>
          <w:cantSplit/>
        </w:trPr>
        <w:tc>
          <w:tcPr>
            <w:tcW w:w="2800" w:type="dxa"/>
          </w:tcPr>
          <w:p w14:paraId="3F74E02D"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alert_reason</w:t>
            </w:r>
          </w:p>
        </w:tc>
        <w:tc>
          <w:tcPr>
            <w:tcW w:w="1700" w:type="dxa"/>
          </w:tcPr>
          <w:p w14:paraId="01C8F066"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TEXT</w:t>
            </w:r>
          </w:p>
        </w:tc>
        <w:tc>
          <w:tcPr>
            <w:tcW w:w="4860" w:type="dxa"/>
          </w:tcPr>
          <w:p w14:paraId="14BB2890" w14:textId="77777777" w:rsidR="00CE753A" w:rsidRPr="00605184" w:rsidRDefault="00A12F53" w:rsidP="00F155F4">
            <w:pPr>
              <w:pStyle w:val="Tabletext"/>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Reason(s), or NULL when normal</w:t>
            </w:r>
          </w:p>
        </w:tc>
      </w:tr>
      <w:tr w:rsidR="007E75D0" w:rsidRPr="00605184" w14:paraId="61E0F433" w14:textId="77777777">
        <w:tc>
          <w:tcPr>
            <w:tcW w:w="2800" w:type="dxa"/>
          </w:tcPr>
          <w:p w14:paraId="772F40B6" w14:textId="77777777" w:rsidR="007E75D0" w:rsidRPr="00605184" w:rsidRDefault="00434446">
            <w:pPr>
              <w:rPr>
                <w:rFonts w:ascii="Times New Roman" w:hAnsi="Times New Roman" w:cs="Times New Roman"/>
              </w:rPr>
            </w:pPr>
            <w:r w:rsidRPr="00605184">
              <w:rPr>
                <w:rFonts w:ascii="Times New Roman" w:hAnsi="Times New Roman" w:cs="Times New Roman"/>
              </w:rPr>
              <w:t>nutrient_level</w:t>
            </w:r>
          </w:p>
        </w:tc>
        <w:tc>
          <w:tcPr>
            <w:tcW w:w="1700" w:type="dxa"/>
          </w:tcPr>
          <w:p w14:paraId="6AD28186" w14:textId="77777777" w:rsidR="007E75D0" w:rsidRPr="00605184" w:rsidRDefault="00434446">
            <w:pPr>
              <w:rPr>
                <w:rFonts w:ascii="Times New Roman" w:hAnsi="Times New Roman" w:cs="Times New Roman"/>
              </w:rPr>
            </w:pPr>
            <w:r w:rsidRPr="00605184">
              <w:rPr>
                <w:rFonts w:ascii="Times New Roman" w:hAnsi="Times New Roman" w:cs="Times New Roman"/>
              </w:rPr>
              <w:t>REAL</w:t>
            </w:r>
          </w:p>
        </w:tc>
        <w:tc>
          <w:tcPr>
            <w:tcW w:w="4860" w:type="dxa"/>
          </w:tcPr>
          <w:p w14:paraId="28BFD1D0" w14:textId="77777777" w:rsidR="007E75D0" w:rsidRPr="00605184" w:rsidRDefault="00434446">
            <w:pPr>
              <w:rPr>
                <w:rFonts w:ascii="Times New Roman" w:hAnsi="Times New Roman" w:cs="Times New Roman"/>
              </w:rPr>
            </w:pPr>
            <w:r w:rsidRPr="00605184">
              <w:rPr>
                <w:rFonts w:ascii="Times New Roman" w:hAnsi="Times New Roman" w:cs="Times New Roman"/>
              </w:rPr>
              <w:t>Optional nutrient level percentage</w:t>
            </w:r>
          </w:p>
        </w:tc>
      </w:tr>
      <w:tr w:rsidR="007E75D0" w:rsidRPr="00605184" w14:paraId="51F5D6A5" w14:textId="77777777">
        <w:tc>
          <w:tcPr>
            <w:tcW w:w="2800" w:type="dxa"/>
          </w:tcPr>
          <w:p w14:paraId="0E0527FD" w14:textId="77777777" w:rsidR="007E75D0" w:rsidRPr="00605184" w:rsidRDefault="00434446">
            <w:pPr>
              <w:rPr>
                <w:rFonts w:ascii="Times New Roman" w:hAnsi="Times New Roman" w:cs="Times New Roman"/>
              </w:rPr>
            </w:pPr>
            <w:r w:rsidRPr="00605184">
              <w:rPr>
                <w:rFonts w:ascii="Times New Roman" w:hAnsi="Times New Roman" w:cs="Times New Roman"/>
              </w:rPr>
              <w:t>ph_scale</w:t>
            </w:r>
          </w:p>
        </w:tc>
        <w:tc>
          <w:tcPr>
            <w:tcW w:w="1700" w:type="dxa"/>
          </w:tcPr>
          <w:p w14:paraId="76DBD81E" w14:textId="77777777" w:rsidR="007E75D0" w:rsidRPr="00605184" w:rsidRDefault="00434446">
            <w:pPr>
              <w:rPr>
                <w:rFonts w:ascii="Times New Roman" w:hAnsi="Times New Roman" w:cs="Times New Roman"/>
              </w:rPr>
            </w:pPr>
            <w:r w:rsidRPr="00605184">
              <w:rPr>
                <w:rFonts w:ascii="Times New Roman" w:hAnsi="Times New Roman" w:cs="Times New Roman"/>
              </w:rPr>
              <w:t>REAL</w:t>
            </w:r>
          </w:p>
        </w:tc>
        <w:tc>
          <w:tcPr>
            <w:tcW w:w="4860" w:type="dxa"/>
          </w:tcPr>
          <w:p w14:paraId="6AFEF47A" w14:textId="77777777" w:rsidR="007E75D0" w:rsidRPr="00605184" w:rsidRDefault="00434446">
            <w:pPr>
              <w:rPr>
                <w:rFonts w:ascii="Times New Roman" w:hAnsi="Times New Roman" w:cs="Times New Roman"/>
              </w:rPr>
            </w:pPr>
            <w:r w:rsidRPr="00605184">
              <w:rPr>
                <w:rFonts w:ascii="Times New Roman" w:hAnsi="Times New Roman" w:cs="Times New Roman"/>
              </w:rPr>
              <w:t>Optional soil solution pH</w:t>
            </w:r>
          </w:p>
        </w:tc>
      </w:tr>
      <w:tr w:rsidR="007E75D0" w:rsidRPr="00605184" w14:paraId="53DAFA8D" w14:textId="77777777">
        <w:tc>
          <w:tcPr>
            <w:tcW w:w="2800" w:type="dxa"/>
          </w:tcPr>
          <w:p w14:paraId="5F384830" w14:textId="77777777" w:rsidR="007E75D0" w:rsidRPr="00605184" w:rsidRDefault="00434446">
            <w:pPr>
              <w:rPr>
                <w:rFonts w:ascii="Times New Roman" w:hAnsi="Times New Roman" w:cs="Times New Roman"/>
              </w:rPr>
            </w:pPr>
            <w:r w:rsidRPr="00605184">
              <w:rPr>
                <w:rFonts w:ascii="Times New Roman" w:hAnsi="Times New Roman" w:cs="Times New Roman"/>
              </w:rPr>
              <w:t>measured_at</w:t>
            </w:r>
          </w:p>
        </w:tc>
        <w:tc>
          <w:tcPr>
            <w:tcW w:w="1700" w:type="dxa"/>
          </w:tcPr>
          <w:p w14:paraId="0D3647E3" w14:textId="77777777" w:rsidR="007E75D0" w:rsidRPr="00605184" w:rsidRDefault="00434446">
            <w:pPr>
              <w:rPr>
                <w:rFonts w:ascii="Times New Roman" w:hAnsi="Times New Roman" w:cs="Times New Roman"/>
              </w:rPr>
            </w:pPr>
            <w:r w:rsidRPr="00605184">
              <w:rPr>
                <w:rFonts w:ascii="Times New Roman" w:hAnsi="Times New Roman" w:cs="Times New Roman"/>
              </w:rPr>
              <w:t>TEXT</w:t>
            </w:r>
          </w:p>
        </w:tc>
        <w:tc>
          <w:tcPr>
            <w:tcW w:w="4860" w:type="dxa"/>
          </w:tcPr>
          <w:p w14:paraId="767078E6" w14:textId="77777777" w:rsidR="007E75D0" w:rsidRPr="00605184" w:rsidRDefault="00434446">
            <w:pPr>
              <w:rPr>
                <w:rFonts w:ascii="Times New Roman" w:hAnsi="Times New Roman" w:cs="Times New Roman"/>
              </w:rPr>
            </w:pPr>
            <w:r w:rsidRPr="00605184">
              <w:rPr>
                <w:rFonts w:ascii="Times New Roman" w:hAnsi="Times New Roman" w:cs="Times New Roman"/>
              </w:rPr>
              <w:t>Sensor measurement time in UTC for zone telemetry</w:t>
            </w:r>
          </w:p>
        </w:tc>
      </w:tr>
      <w:tr w:rsidR="007E75D0" w:rsidRPr="00605184" w14:paraId="6EF524A7" w14:textId="77777777">
        <w:tc>
          <w:tcPr>
            <w:tcW w:w="2800" w:type="dxa"/>
          </w:tcPr>
          <w:p w14:paraId="12CADBC0" w14:textId="77777777" w:rsidR="007E75D0" w:rsidRPr="00605184" w:rsidRDefault="00434446">
            <w:pPr>
              <w:rPr>
                <w:rFonts w:ascii="Times New Roman" w:hAnsi="Times New Roman" w:cs="Times New Roman"/>
              </w:rPr>
            </w:pPr>
            <w:r w:rsidRPr="00605184">
              <w:rPr>
                <w:rFonts w:ascii="Times New Roman" w:hAnsi="Times New Roman" w:cs="Times New Roman"/>
              </w:rPr>
              <w:t>received_at</w:t>
            </w:r>
          </w:p>
        </w:tc>
        <w:tc>
          <w:tcPr>
            <w:tcW w:w="1700" w:type="dxa"/>
          </w:tcPr>
          <w:p w14:paraId="0B5D1724" w14:textId="77777777" w:rsidR="007E75D0" w:rsidRPr="00605184" w:rsidRDefault="00434446">
            <w:pPr>
              <w:rPr>
                <w:rFonts w:ascii="Times New Roman" w:hAnsi="Times New Roman" w:cs="Times New Roman"/>
              </w:rPr>
            </w:pPr>
            <w:r w:rsidRPr="00605184">
              <w:rPr>
                <w:rFonts w:ascii="Times New Roman" w:hAnsi="Times New Roman" w:cs="Times New Roman"/>
              </w:rPr>
              <w:t>TEXT</w:t>
            </w:r>
          </w:p>
        </w:tc>
        <w:tc>
          <w:tcPr>
            <w:tcW w:w="4860" w:type="dxa"/>
          </w:tcPr>
          <w:p w14:paraId="0D4D7102" w14:textId="77777777" w:rsidR="007E75D0" w:rsidRPr="00605184" w:rsidRDefault="00434446">
            <w:pPr>
              <w:rPr>
                <w:rFonts w:ascii="Times New Roman" w:hAnsi="Times New Roman" w:cs="Times New Roman"/>
              </w:rPr>
            </w:pPr>
            <w:r w:rsidRPr="00605184">
              <w:rPr>
                <w:rFonts w:ascii="Times New Roman" w:hAnsi="Times New Roman" w:cs="Times New Roman"/>
              </w:rPr>
              <w:t>Subscriber receipt time in UTC for zone telemetry</w:t>
            </w:r>
          </w:p>
        </w:tc>
      </w:tr>
    </w:tbl>
    <w:p w14:paraId="0CA0EEDA" w14:textId="77777777" w:rsidR="00042F0A" w:rsidRPr="00605184" w:rsidRDefault="00042F0A" w:rsidP="00F155F4">
      <w:pPr>
        <w:pStyle w:val="Evidence"/>
        <w:jc w:val="both"/>
        <w:rPr>
          <w:rFonts w:ascii="Times New Roman" w:hAnsi="Times New Roman" w:cs="Times New Roman"/>
          <w:color w:val="auto"/>
          <w:sz w:val="24"/>
          <w:szCs w:val="24"/>
        </w:rPr>
      </w:pPr>
    </w:p>
    <w:p w14:paraId="598F1674" w14:textId="556E8995"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rPr>
        <w:t>Schema sources are src/db.py tables sensor_data and zone_telemetry. Zone telemetry includes measured_at, received_at, crop-health fields, optional nutrient_level and ph_scale, and alert metadata. SQLite type declarations alone do not enforce numeric sensor values; subscriber validation and write-time alert normalization provide the application-level checks.</w:t>
      </w:r>
    </w:p>
    <w:p w14:paraId="615D37E1"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Global fallback thresholds are temperature 16-32 degrees C, humidity 40-80% and soil moisture at least 30%. Zone telemetry uses crop-specific configured targets. Boundary values are accepted; light is recorded but does not trigger an alert. Nutrient level and pH are stored as optional telemetry and displayed with target bands.</w:t>
      </w:r>
    </w:p>
    <w:p w14:paraId="5035A77A"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Free toolchain: Python, paho-mqtt, HiveMQ public broker, SQLite, Matplotlib and optional Streamlit/pandas. CSV can be opened in a spreadsheet, but no paid spreadsheet software is needed.</w:t>
      </w:r>
    </w:p>
    <w:p w14:paraId="3566CD03" w14:textId="77777777" w:rsidR="00CE753A" w:rsidRPr="00605184" w:rsidRDefault="00A12F53" w:rsidP="00F155F4">
      <w:pPr>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br w:type="page"/>
      </w:r>
    </w:p>
    <w:p w14:paraId="43D3AFD3"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3. Simulation deliverable</w:t>
      </w:r>
    </w:p>
    <w:p w14:paraId="2B0D1349"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src/simulator.py generates JSON records with UTC timestamps, a device identifier, temperature, humidity, soil moisture, light, nutrient level, pH and alert metadata. The default live interval is two seconds. Zone publishers attach crop and device-health metadata; command-line options control count, interval and zone.</w:t>
      </w:r>
    </w:p>
    <w:p w14:paraId="2FA9A4FF"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Live readings and historical simulation</w:t>
      </w:r>
    </w:p>
    <w:p w14:paraId="1A2B9D6F"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generate_reading() models temperature and light with a solar curve and humidity with an inverse trend plus random variation. Live calls use soil moisture near the default 55% baseline. generate_series() adds soil dry-down, a mid-series irrigation recovery and injected anomalies. Those historical events are not automatically present in the live publisher. The implemented temperature curve does not include the two-hour lag claimed in a source comment.</w:t>
      </w:r>
    </w:p>
    <w:p w14:paraId="16437A27"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Run from the repository root after dependencies are installed:</w:t>
      </w:r>
    </w:p>
    <w:p w14:paraId="35B1E0F1" w14:textId="77777777" w:rsidR="00CE753A" w:rsidRPr="00605184" w:rsidRDefault="00A12F53" w:rsidP="00042F0A">
      <w:pPr>
        <w:pStyle w:val="Cod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.venv\Scripts\python.exe src/simulator.py --count 20 --interval 2</w:t>
      </w:r>
      <w:r w:rsidRPr="00605184">
        <w:rPr>
          <w:rFonts w:ascii="Times New Roman" w:hAnsi="Times New Roman" w:cs="Times New Roman"/>
          <w:color w:val="auto"/>
          <w:sz w:val="24"/>
          <w:szCs w:val="24"/>
        </w:rPr>
        <w:br/>
        <w:t>.venv\Scripts\python.exe src/simulator.py --once</w:t>
      </w:r>
    </w:p>
    <w:p w14:paraId="040F4EED"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Saved sample output</w:t>
      </w:r>
    </w:p>
    <w:p w14:paraId="5A53979D"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samples/phase2_sample_output.txt contains 20 parseable JSON records, satisfying the requested 10-20 record sample. Its header explicitly uses interval=0.0s, so this artifact demonstrates the output format rather than two-second timing. One actual saved record is reproduced below.</w:t>
      </w:r>
    </w:p>
    <w:p w14:paraId="53EC40BE" w14:textId="77777777" w:rsidR="00CE753A" w:rsidRPr="00605184" w:rsidRDefault="00A12F53" w:rsidP="00042F0A">
      <w:pPr>
        <w:pStyle w:val="Cod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w:t>
      </w:r>
      <w:r w:rsidRPr="00605184">
        <w:rPr>
          <w:rFonts w:ascii="Times New Roman" w:hAnsi="Times New Roman" w:cs="Times New Roman"/>
          <w:color w:val="auto"/>
          <w:sz w:val="24"/>
          <w:szCs w:val="24"/>
        </w:rPr>
        <w:br/>
        <w:t xml:space="preserve">  "timestamp": 1788813086.599,</w:t>
      </w:r>
      <w:r w:rsidRPr="00605184">
        <w:rPr>
          <w:rFonts w:ascii="Times New Roman" w:hAnsi="Times New Roman" w:cs="Times New Roman"/>
          <w:color w:val="auto"/>
          <w:sz w:val="24"/>
          <w:szCs w:val="24"/>
        </w:rPr>
        <w:br/>
        <w:t xml:space="preserve">  "iso_time": "2026-09-07T20:31:26.598819+00:00",</w:t>
      </w:r>
      <w:r w:rsidRPr="00605184">
        <w:rPr>
          <w:rFonts w:ascii="Times New Roman" w:hAnsi="Times New Roman" w:cs="Times New Roman"/>
          <w:color w:val="auto"/>
          <w:sz w:val="24"/>
          <w:szCs w:val="24"/>
        </w:rPr>
        <w:br/>
        <w:t xml:space="preserve">  "device_id": "GH-SENSOR-01",</w:t>
      </w:r>
      <w:r w:rsidRPr="00605184">
        <w:rPr>
          <w:rFonts w:ascii="Times New Roman" w:hAnsi="Times New Roman" w:cs="Times New Roman"/>
          <w:color w:val="auto"/>
          <w:sz w:val="24"/>
          <w:szCs w:val="24"/>
        </w:rPr>
        <w:br/>
        <w:t xml:space="preserve">  "temperature_c": 16.85,</w:t>
      </w:r>
      <w:r w:rsidRPr="00605184">
        <w:rPr>
          <w:rFonts w:ascii="Times New Roman" w:hAnsi="Times New Roman" w:cs="Times New Roman"/>
          <w:color w:val="auto"/>
          <w:sz w:val="24"/>
          <w:szCs w:val="24"/>
        </w:rPr>
        <w:br/>
        <w:t xml:space="preserve">  "humidity_pct": 75.82,</w:t>
      </w:r>
      <w:r w:rsidRPr="00605184">
        <w:rPr>
          <w:rFonts w:ascii="Times New Roman" w:hAnsi="Times New Roman" w:cs="Times New Roman"/>
          <w:color w:val="auto"/>
          <w:sz w:val="24"/>
          <w:szCs w:val="24"/>
        </w:rPr>
        <w:br/>
        <w:t xml:space="preserve">  "soil_moisture_pct": 54.34,</w:t>
      </w:r>
      <w:r w:rsidRPr="00605184">
        <w:rPr>
          <w:rFonts w:ascii="Times New Roman" w:hAnsi="Times New Roman" w:cs="Times New Roman"/>
          <w:color w:val="auto"/>
          <w:sz w:val="24"/>
          <w:szCs w:val="24"/>
        </w:rPr>
        <w:br/>
        <w:t xml:space="preserve">  "light_lux": 20.9,</w:t>
      </w:r>
      <w:r w:rsidRPr="00605184">
        <w:rPr>
          <w:rFonts w:ascii="Times New Roman" w:hAnsi="Times New Roman" w:cs="Times New Roman"/>
          <w:color w:val="auto"/>
          <w:sz w:val="24"/>
          <w:szCs w:val="24"/>
        </w:rPr>
        <w:br/>
        <w:t xml:space="preserve">  "alert_flag": 0,</w:t>
      </w:r>
      <w:r w:rsidRPr="00605184">
        <w:rPr>
          <w:rFonts w:ascii="Times New Roman" w:hAnsi="Times New Roman" w:cs="Times New Roman"/>
          <w:color w:val="auto"/>
          <w:sz w:val="24"/>
          <w:szCs w:val="24"/>
        </w:rPr>
        <w:br/>
        <w:t xml:space="preserve">  "alert_reason": null</w:t>
      </w:r>
      <w:r w:rsidRPr="00605184">
        <w:rPr>
          <w:rFonts w:ascii="Times New Roman" w:hAnsi="Times New Roman" w:cs="Times New Roman"/>
          <w:color w:val="auto"/>
          <w:sz w:val="24"/>
          <w:szCs w:val="24"/>
        </w:rPr>
        <w:br/>
        <w:t>}</w:t>
      </w:r>
    </w:p>
    <w:p w14:paraId="297CA9A4"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Simulation verification</w:t>
      </w:r>
    </w:p>
    <w:p w14:paraId="2E84D2A5"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Threshold and repository tests pass, including exact boundary cases, multi-zone telemetry, nutrient/pH fields and alert normalization. The implementation supports eight configured crop zones; active telemetry is still simulated unless a physical publisher is connected.</w:t>
      </w:r>
    </w:p>
    <w:p w14:paraId="6282133F" w14:textId="016F9634" w:rsidR="002579CE" w:rsidRPr="00605184" w:rsidRDefault="00A12F53" w:rsidP="002579CE">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Phase 1 artifacts: docs/PHASE1_Project_Proposal.docx and diagrams/architecture.png. Phase 2 artifacts: src/simulator.py, src/config.py and samples/phase2_sample_output.txt.</w:t>
      </w:r>
    </w:p>
    <w:p w14:paraId="7F3EE04B"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4. MQTT transmission and SQLite storage</w:t>
      </w:r>
    </w:p>
    <w:p w14:paraId="2A2FAB29"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Transmission implementation and retained evidence</w:t>
      </w:r>
    </w:p>
    <w:p w14:paraId="01C61EF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src/publisher.py sends zone-aware JSON through broker.hivemq.com:1883 on ctec651/greenhousewatch/ipmcbit. src/subscriber.py validates payloads, records received_at, preserves measured_at, normalizes crop-specific alert metadata and inserts readings through src/db.py. The publisher retries after transient broker disconnects.</w:t>
      </w:r>
    </w:p>
    <w:p w14:paraId="289D84E7"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The saved samples/subscriber_run.log contains 20 received payloads and storage messages. All 20 payloads were matched against current SQLite records during this review. This is retained evidence of the earlier run, not a new live broker test on 16 September. samples/phase3_mqtt_transmission.txt is explicitly an example and should not be used as primary evidence. The assignment accepts a screenshot OR output.</w:t>
      </w:r>
    </w:p>
    <w:p w14:paraId="3E004FBD"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Current repository snapshot</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800"/>
        <w:gridCol w:w="6560"/>
      </w:tblGrid>
      <w:tr w:rsidR="00CE753A" w:rsidRPr="00605184" w14:paraId="3638B6FD" w14:textId="77777777">
        <w:trPr>
          <w:cantSplit/>
          <w:tblHeader/>
        </w:trPr>
        <w:tc>
          <w:tcPr>
            <w:tcW w:w="2800" w:type="dxa"/>
            <w:shd w:val="clear" w:color="auto" w:fill="F2F4F7"/>
          </w:tcPr>
          <w:p w14:paraId="2CFFCA8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Check</w:t>
            </w:r>
          </w:p>
        </w:tc>
        <w:tc>
          <w:tcPr>
            <w:tcW w:w="6560" w:type="dxa"/>
            <w:shd w:val="clear" w:color="auto" w:fill="F2F4F7"/>
          </w:tcPr>
          <w:p w14:paraId="6C092761"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Verified result</w:t>
            </w:r>
          </w:p>
        </w:tc>
      </w:tr>
      <w:tr w:rsidR="00CE753A" w:rsidRPr="00605184" w14:paraId="15CD1A98" w14:textId="77777777">
        <w:trPr>
          <w:cantSplit/>
        </w:trPr>
        <w:tc>
          <w:tcPr>
            <w:tcW w:w="2800" w:type="dxa"/>
          </w:tcPr>
          <w:p w14:paraId="38D0E06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Database</w:t>
            </w:r>
          </w:p>
        </w:tc>
        <w:tc>
          <w:tcPr>
            <w:tcW w:w="6560" w:type="dxa"/>
          </w:tcPr>
          <w:p w14:paraId="403D96C0"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data/iot_data.db; PRAGMA integrity_check = ok</w:t>
            </w:r>
          </w:p>
        </w:tc>
      </w:tr>
      <w:tr w:rsidR="00CE753A" w:rsidRPr="00605184" w14:paraId="75D53F83" w14:textId="77777777">
        <w:trPr>
          <w:cantSplit/>
        </w:trPr>
        <w:tc>
          <w:tcPr>
            <w:tcW w:w="2800" w:type="dxa"/>
          </w:tcPr>
          <w:p w14:paraId="788200B2"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Stored rows</w:t>
            </w:r>
          </w:p>
        </w:tc>
        <w:tc>
          <w:tcPr>
            <w:tcW w:w="6560" w:type="dxa"/>
          </w:tcPr>
          <w:p w14:paraId="4D8C0D15" w14:textId="77777777" w:rsidR="007E75D0" w:rsidRPr="00605184" w:rsidRDefault="00434446">
            <w:pPr>
              <w:rPr>
                <w:rFonts w:ascii="Times New Roman" w:hAnsi="Times New Roman" w:cs="Times New Roman"/>
              </w:rPr>
            </w:pPr>
            <w:r w:rsidRPr="00605184">
              <w:rPr>
                <w:rFonts w:ascii="Times New Roman" w:hAnsi="Times New Roman" w:cs="Times New Roman"/>
              </w:rPr>
              <w:t>Current repository snapshot; verify row count immediately before demonstration</w:t>
            </w:r>
          </w:p>
        </w:tc>
      </w:tr>
      <w:tr w:rsidR="00CE753A" w:rsidRPr="00605184" w14:paraId="7066E603" w14:textId="77777777">
        <w:trPr>
          <w:cantSplit/>
        </w:trPr>
        <w:tc>
          <w:tcPr>
            <w:tcW w:w="2800" w:type="dxa"/>
          </w:tcPr>
          <w:p w14:paraId="10F2711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Composition</w:t>
            </w:r>
          </w:p>
        </w:tc>
        <w:tc>
          <w:tcPr>
            <w:tcW w:w="6560" w:type="dxa"/>
          </w:tcPr>
          <w:p w14:paraId="10DEC68F" w14:textId="77777777" w:rsidR="007E75D0" w:rsidRPr="00605184" w:rsidRDefault="00434446">
            <w:pPr>
              <w:rPr>
                <w:rFonts w:ascii="Times New Roman" w:hAnsi="Times New Roman" w:cs="Times New Roman"/>
              </w:rPr>
            </w:pPr>
            <w:r w:rsidRPr="00605184">
              <w:rPr>
                <w:rFonts w:ascii="Times New Roman" w:hAnsi="Times New Roman" w:cs="Times New Roman"/>
              </w:rPr>
              <w:t>Historical seed records plus live/simulated zone telemetry; composition changes as publishers run</w:t>
            </w:r>
          </w:p>
        </w:tc>
      </w:tr>
      <w:tr w:rsidR="00CE753A" w:rsidRPr="00605184" w14:paraId="13541C6B" w14:textId="77777777">
        <w:trPr>
          <w:cantSplit/>
        </w:trPr>
        <w:tc>
          <w:tcPr>
            <w:tcW w:w="2800" w:type="dxa"/>
          </w:tcPr>
          <w:p w14:paraId="3693063D"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Coverage (UTC)</w:t>
            </w:r>
          </w:p>
        </w:tc>
        <w:tc>
          <w:tcPr>
            <w:tcW w:w="6560" w:type="dxa"/>
          </w:tcPr>
          <w:p w14:paraId="4163237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7 Sep 2026 00:31:21 to 8 Sep 2026 05:56:22</w:t>
            </w:r>
          </w:p>
        </w:tc>
      </w:tr>
      <w:tr w:rsidR="00CE753A" w:rsidRPr="00605184" w14:paraId="755F52A1" w14:textId="77777777">
        <w:trPr>
          <w:cantSplit/>
        </w:trPr>
        <w:tc>
          <w:tcPr>
            <w:tcW w:w="2800" w:type="dxa"/>
          </w:tcPr>
          <w:p w14:paraId="1CD2F15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Sampling</w:t>
            </w:r>
          </w:p>
        </w:tc>
        <w:tc>
          <w:tcPr>
            <w:tcW w:w="6560" w:type="dxa"/>
          </w:tcPr>
          <w:p w14:paraId="6381607C"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Historical rows: 15 minutes; MQTT batch: approximately 2 seconds</w:t>
            </w:r>
          </w:p>
        </w:tc>
      </w:tr>
      <w:tr w:rsidR="00CE753A" w:rsidRPr="00605184" w14:paraId="64ABC82C" w14:textId="77777777">
        <w:trPr>
          <w:cantSplit/>
        </w:trPr>
        <w:tc>
          <w:tcPr>
            <w:tcW w:w="2800" w:type="dxa"/>
          </w:tcPr>
          <w:p w14:paraId="64F1E5AB"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Gap</w:t>
            </w:r>
          </w:p>
        </w:tc>
        <w:tc>
          <w:tcPr>
            <w:tcW w:w="6560" w:type="dxa"/>
          </w:tcPr>
          <w:p w14:paraId="2F04C2A4"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Approximately 9 hours 39 minutes between batches</w:t>
            </w:r>
          </w:p>
        </w:tc>
      </w:tr>
      <w:tr w:rsidR="00CE753A" w:rsidRPr="00605184" w14:paraId="7C36B422" w14:textId="77777777">
        <w:trPr>
          <w:cantSplit/>
        </w:trPr>
        <w:tc>
          <w:tcPr>
            <w:tcW w:w="2800" w:type="dxa"/>
          </w:tcPr>
          <w:p w14:paraId="2D2B1B79"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Alerts</w:t>
            </w:r>
          </w:p>
        </w:tc>
        <w:tc>
          <w:tcPr>
            <w:tcW w:w="6560" w:type="dxa"/>
          </w:tcPr>
          <w:p w14:paraId="69C9C27A"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7 alerts; 93 normal readings</w:t>
            </w:r>
          </w:p>
        </w:tc>
      </w:tr>
      <w:tr w:rsidR="00CE753A" w:rsidRPr="00605184" w14:paraId="2E735107" w14:textId="77777777">
        <w:trPr>
          <w:cantSplit/>
        </w:trPr>
        <w:tc>
          <w:tcPr>
            <w:tcW w:w="2800" w:type="dxa"/>
          </w:tcPr>
          <w:p w14:paraId="59A9792E"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CSV</w:t>
            </w:r>
          </w:p>
        </w:tc>
        <w:tc>
          <w:tcPr>
            <w:tcW w:w="6560" w:type="dxa"/>
          </w:tcPr>
          <w:p w14:paraId="4D740CF4" w14:textId="77777777" w:rsidR="007E75D0" w:rsidRPr="00605184" w:rsidRDefault="00434446">
            <w:pPr>
              <w:rPr>
                <w:rFonts w:ascii="Times New Roman" w:hAnsi="Times New Roman" w:cs="Times New Roman"/>
              </w:rPr>
            </w:pPr>
            <w:r w:rsidRPr="00605184">
              <w:rPr>
                <w:rFonts w:ascii="Times New Roman" w:hAnsi="Times New Roman" w:cs="Times New Roman"/>
              </w:rPr>
              <w:t>CSV export is generated from the filtered repository snapshot</w:t>
            </w:r>
          </w:p>
        </w:tc>
      </w:tr>
      <w:tr w:rsidR="00CE753A" w:rsidRPr="00605184" w14:paraId="60887869" w14:textId="77777777">
        <w:trPr>
          <w:cantSplit/>
        </w:trPr>
        <w:tc>
          <w:tcPr>
            <w:tcW w:w="2800" w:type="dxa"/>
          </w:tcPr>
          <w:p w14:paraId="18F8550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Timestamp and alert checks</w:t>
            </w:r>
          </w:p>
        </w:tc>
        <w:tc>
          <w:tcPr>
            <w:tcW w:w="6560" w:type="dxa"/>
          </w:tcPr>
          <w:p w14:paraId="09E2E56F"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All ISO/numeric times agree within 1 ms; all alerts match current threshold logic</w:t>
            </w:r>
          </w:p>
        </w:tc>
      </w:tr>
    </w:tbl>
    <w:p w14:paraId="6E8050F9"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Storage and pipeline behavior</w:t>
      </w:r>
    </w:p>
    <w:p w14:paraId="4BAF51D3" w14:textId="4E289436"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The schema has timestamp indexes and parameterized INSERT statements. The offline pipeline initializes a database, seeds historical readings when needed, exports CSV, builds the modelled year from cached Bowie weather and creates seven charts. The current dashboard loads the SQLite repository, applies freshness rules, and preserves UTC storage while presenting user-facing times in Eastern time.</w:t>
      </w:r>
    </w:p>
    <w:p w14:paraId="1FE2DEC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MQTT QoS 0 and the publisher console counter do not establish subscriber receipt. For this snapshot, the independent subscriber log and database matching provide the stronger evidence. The offline script bypasses MQTT and cannot by itself prove Phase 3 communication.</w:t>
      </w:r>
    </w:p>
    <w:p w14:paraId="5D883015" w14:textId="50BF77FD" w:rsidR="00CE753A" w:rsidRPr="00605184" w:rsidRDefault="00CE753A" w:rsidP="00042F0A">
      <w:pPr>
        <w:spacing w:line="276" w:lineRule="auto"/>
        <w:jc w:val="both"/>
        <w:rPr>
          <w:rFonts w:ascii="Times New Roman" w:hAnsi="Times New Roman" w:cs="Times New Roman"/>
          <w:color w:val="auto"/>
          <w:sz w:val="24"/>
          <w:szCs w:val="24"/>
        </w:rPr>
      </w:pPr>
    </w:p>
    <w:p w14:paraId="4CA988A5"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5. Visualizations and interpretation</w:t>
      </w:r>
    </w:p>
    <w:p w14:paraId="08A36D14"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The Phase 5 charts now cover a full year, 1 October 2025 to 26 September 2026 (361 whole days, local Bowie time), so the data can be read by day, month, quarter and year. Outdoor weather is real: hourly temperature, humidity and solar radiation for Bowie, MD from the free Open-Meteo historical archive. Indoor conditions for the Tomato, Lettuce and Seedling zones are modelled from that weather hour by hour, applying the controls a typical greenhouse has: solar gain, a heater held just above each crop's minimum, a 40% shade cloth on hot days, vents with evaporative pad cooling, fogging for dry air, morning irrigation with an afternoon top-up and a weekly nutrient change. These rows are stored with source = 'weather model' so they are never confused with sensor readings. Each zone is judged against its own crop targets; an hour is outside target when temperature, humidity or soil moisture is out of range.</w:t>
      </w:r>
    </w:p>
    <w:p w14:paraId="10441516"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Days</w:t>
      </w:r>
    </w:p>
    <w:p w14:paraId="1EEBF4D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1755E21D" wp14:editId="54D0439B">
            <wp:extent cx="54864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ily_cycle_by_season.png"/>
                    <pic:cNvPicPr/>
                  </pic:nvPicPr>
                  <pic:blipFill>
                    <a:blip r:embed="rId9"/>
                    <a:stretch>
                      <a:fillRect/>
                    </a:stretch>
                  </pic:blipFill>
                  <pic:spPr>
                    <a:xfrm>
                      <a:off x="0" y="0"/>
                      <a:ext cx="5486400" cy="3657600"/>
                    </a:xfrm>
                    <a:prstGeom prst="rect">
                      <a:avLst/>
                    </a:prstGeom>
                  </pic:spPr>
                </pic:pic>
              </a:graphicData>
            </a:graphic>
          </wp:inline>
        </w:drawing>
      </w:r>
    </w:p>
    <w:p w14:paraId="5D1BA55B"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Figure 2. Average 24-hour temperature cycle in each season, by zone, against outdoor air.</w:t>
      </w:r>
    </w:p>
    <w:p w14:paraId="1EE9AE1C"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In winter the indoor lines are almost flat while the outdoor mean runs from about -2 to 4 degrees C: heating holds each zone just above its minimum all day. In summer the pattern reverses. Outdoor air peaks near 29 degrees C in mid-afternoon and every zone rises with it. Between 15:00 and 16:00, Lettuce is outside its temperature target in 48% of hours and Seedlings in 45%, against 14% and 3% at 03:00.</w:t>
      </w:r>
    </w:p>
    <w:p w14:paraId="05C9241A"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lastRenderedPageBreak/>
        <w:drawing>
          <wp:inline distT="0" distB="0" distL="0" distR="0" wp14:anchorId="54BE7FAD" wp14:editId="2B34FF0B">
            <wp:extent cx="5486400" cy="4343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ily_temperature_year.png"/>
                    <pic:cNvPicPr/>
                  </pic:nvPicPr>
                  <pic:blipFill>
                    <a:blip r:embed="rId10"/>
                    <a:stretch>
                      <a:fillRect/>
                    </a:stretch>
                  </pic:blipFill>
                  <pic:spPr>
                    <a:xfrm>
                      <a:off x="0" y="0"/>
                      <a:ext cx="5486400" cy="4343400"/>
                    </a:xfrm>
                    <a:prstGeom prst="rect">
                      <a:avLst/>
                    </a:prstGeom>
                  </pic:spPr>
                </pic:pic>
              </a:graphicData>
            </a:graphic>
          </wp:inline>
        </w:drawing>
      </w:r>
    </w:p>
    <w:p w14:paraId="107A9A6B"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Figure 3. Daily mean (line) and low-to-high range (shading) for every day of the year, with each crop's target band (grey) and the outdoor daily mean.</w:t>
      </w:r>
    </w:p>
    <w:p w14:paraId="4A82AB59"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From November to March each zone's daily mean sits on the lower edge of its target band, including the coldest hour of the year (-17.7 degrees C outdoors at 06:00 on 30 January 2026). From June to September daily highs break above the band; on the hottest day (37.4 degrees C outdoors, 4 July 2026) all three zones peak above 29 degrees C.</w:t>
      </w:r>
    </w:p>
    <w:p w14:paraId="11F4632E"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Months and quarters</w:t>
      </w:r>
    </w:p>
    <w:p w14:paraId="678D9A2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2B2911C1" wp14:editId="619ADAE6">
            <wp:extent cx="5486400" cy="388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onthly_summary.png"/>
                    <pic:cNvPicPr/>
                  </pic:nvPicPr>
                  <pic:blipFill>
                    <a:blip r:embed="rId11"/>
                    <a:stretch>
                      <a:fillRect/>
                    </a:stretch>
                  </pic:blipFill>
                  <pic:spPr>
                    <a:xfrm>
                      <a:off x="0" y="0"/>
                      <a:ext cx="5486400" cy="3886200"/>
                    </a:xfrm>
                    <a:prstGeom prst="rect">
                      <a:avLst/>
                    </a:prstGeom>
                  </pic:spPr>
                </pic:pic>
              </a:graphicData>
            </a:graphic>
          </wp:inline>
        </w:drawing>
      </w:r>
    </w:p>
    <w:p w14:paraId="3E5EA33A"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Figure 4. Monthly mean temperature (top) and share of hours outside any target (bottom), by zone.</w:t>
      </w:r>
    </w:p>
    <w:p w14:paraId="4FA8CD99"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Monthly mean outdoor temperature ranges from -1 degrees C in January to 25 degrees C in July, while Tomatoes stay between 21 and 26 degrees C every month. Hours outside target have two separate seasonal causes. In January heated air is too dry, and Seedlings are outside target 51% of hours. In July and August pad cooling cannot pull humid summer air low enough, and Lettuce reaches 82% and 85%. November is the easiest month (1-13%).</w:t>
      </w:r>
    </w:p>
    <w:p w14:paraId="19E44525"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lastRenderedPageBreak/>
        <w:drawing>
          <wp:inline distT="0" distB="0" distL="0" distR="0" wp14:anchorId="0CCC95D4" wp14:editId="1F9CAB8D">
            <wp:extent cx="5486400" cy="42394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quarterly_summary.png"/>
                    <pic:cNvPicPr/>
                  </pic:nvPicPr>
                  <pic:blipFill>
                    <a:blip r:embed="rId12"/>
                    <a:stretch>
                      <a:fillRect/>
                    </a:stretch>
                  </pic:blipFill>
                  <pic:spPr>
                    <a:xfrm>
                      <a:off x="0" y="0"/>
                      <a:ext cx="5486400" cy="4239491"/>
                    </a:xfrm>
                    <a:prstGeom prst="rect">
                      <a:avLst/>
                    </a:prstGeom>
                  </pic:spPr>
                </pic:pic>
              </a:graphicData>
            </a:graphic>
          </wp:inline>
        </w:drawing>
      </w:r>
    </w:p>
    <w:p w14:paraId="653D58C2"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Figure 5. Share of hours outside each target by quarter and zone (darker = worse).</w:t>
      </w:r>
    </w:p>
    <w:p w14:paraId="7D82ECC7"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By quarter, hours outside any target rise from Q4 2025 to Q3 2026 for every zone: Tomatoes 4%, 13%, 17%, 35%; Lettuce 6%, 12%, 38%, 76%; Seedlings 18%, 32%, 28%, 56%. The breakdown shows why: Lettuce fails on temperature in summer (69% of Q3 hours), while Seedlings fail on humidity in winter (30% of Q1 hours). Soil moisture was within target in all but four hours of the year, all in the Seedling zone after missed irrigation cycles, so irrigation is not the constraint.</w:t>
      </w:r>
    </w:p>
    <w:p w14:paraId="22C29A7C"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Year</w:t>
      </w:r>
    </w:p>
    <w:p w14:paraId="1EAD5B32"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586E0947" wp14:editId="1066C675">
            <wp:extent cx="5486400" cy="303862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year_calendar.png"/>
                    <pic:cNvPicPr/>
                  </pic:nvPicPr>
                  <pic:blipFill>
                    <a:blip r:embed="rId13"/>
                    <a:stretch>
                      <a:fillRect/>
                    </a:stretch>
                  </pic:blipFill>
                  <pic:spPr>
                    <a:xfrm>
                      <a:off x="0" y="0"/>
                      <a:ext cx="5486400" cy="3038622"/>
                    </a:xfrm>
                    <a:prstGeom prst="rect">
                      <a:avLst/>
                    </a:prstGeom>
                  </pic:spPr>
                </pic:pic>
              </a:graphicData>
            </a:graphic>
          </wp:inline>
        </w:drawing>
      </w:r>
    </w:p>
    <w:p w14:paraId="7B903FF6"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Figure 6. Calendar of hours outside any target for each day of the year, by zone.</w:t>
      </w:r>
    </w:p>
    <w:p w14:paraId="67F2C669"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Of 361 days, Tomatoes had 136 days within target in every hour, Lettuce 103 and Seedlings 76. The problem days cluster in two blocks: late January to February (dry air, mostly Seedlings) and June to early September (heat, mostly Lettuce). The indoor-versus-outdoor chart (outputs/07_indoor_vs_outdoor.png) shows the same threshold: indoor temperature is flat while the outdoor daily mean is below about 15 degrees C and starts to track outdoor air above about 20 degrees C.</w:t>
      </w:r>
    </w:p>
    <w:p w14:paraId="67B2A8B2" w14:textId="77777777" w:rsidR="00CE753A" w:rsidRPr="00605184" w:rsidRDefault="00A12F53" w:rsidP="00F155F4">
      <w:pPr>
        <w:pStyle w:val="Heading2"/>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Implications</w:t>
      </w:r>
    </w:p>
    <w:p w14:paraId="2109A928"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Lettuce is a cool-season crop in this house: within target 94% of hours in Q4 but 24% in Q3. Growing it from October to April and switching to a heat-tolerant crop over summer would remove most of its alert hours.</w:t>
      </w:r>
    </w:p>
    <w:p w14:paraId="4BFEACD9"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Seedlings need more winter humidity: a third of Q1 hours are too dry because heating dries the air. Added fogging capacity or propagation covers is the cheapest fix.</w:t>
      </w:r>
    </w:p>
    <w:p w14:paraId="0439E82A"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Tomatoes suit the house best, outside target 17% of the year and mostly on summer afternoons; stronger shading or cooling in July and August would help most.</w:t>
      </w:r>
    </w:p>
    <w:p w14:paraId="3C8C32E1"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Heating is adequate except in the deepest cold: at -17.7 degrees C outdoors (30 January 2026), Seedlings dipped to 17.7 degrees C, 0.3 degrees under their minimum, and Tomatoes to 17.7 degrees C, 2.3 degrees under their 20-degree minimum. A backup heater or thermal screen for the coldest nights would close that gap.</w:t>
      </w:r>
    </w:p>
    <w:p w14:paraId="65CF5BE8" w14:textId="77777777" w:rsidR="00CE753A" w:rsidRPr="00605184" w:rsidRDefault="00A12F53" w:rsidP="00042F0A">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Sources: outputs/02_daily_cycle_by_season.png, 03_daily_temperature_year.png, 04_monthly_summary.png, 05_quarterly_summary.png and 06_year_calendar.png, with the numbers in outputs/monthly_summary.csv and quarterly_summary.csv. Additional charts: 01_last_7_days_hourly.png and 07_indoor_vs_outdoor.png. Generated by src/build_history.py </w:t>
      </w:r>
      <w:r w:rsidRPr="00605184">
        <w:rPr>
          <w:rFonts w:ascii="Times New Roman" w:hAnsi="Times New Roman" w:cs="Times New Roman"/>
          <w:color w:val="auto"/>
          <w:sz w:val="24"/>
          <w:szCs w:val="24"/>
        </w:rPr>
        <w:t>and src/visualize.py from data/iot_data.db. Limit: indoor values are a model of how a typical greenhouse with these controls responds to the weather Bowie actually had, not measurements. Full write-up: docs/visualization_interpretation.md. Reproducibility: the model uses a fixed seed (651), so running python src/visualize.py regenerates these figures pixel for pixel; the same readings can also be sent through MQTT with python src/publisher.py --replay-history and produce the same charts.</w:t>
      </w:r>
    </w:p>
    <w:p w14:paraId="4F94192A" w14:textId="77777777" w:rsidR="00757CE2" w:rsidRPr="00605184" w:rsidRDefault="00757CE2" w:rsidP="00042F0A">
      <w:pPr>
        <w:spacing w:line="276" w:lineRule="auto"/>
        <w:jc w:val="both"/>
        <w:rPr>
          <w:rFonts w:ascii="Times New Roman" w:hAnsi="Times New Roman" w:cs="Times New Roman"/>
          <w:color w:val="auto"/>
          <w:sz w:val="24"/>
          <w:szCs w:val="24"/>
        </w:rPr>
      </w:pPr>
    </w:p>
    <w:p w14:paraId="7C025F90"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6. Additional insights and optional dashboard</w:t>
      </w:r>
    </w:p>
    <w:p w14:paraId="02191053" w14:textId="77777777" w:rsidR="00CE753A" w:rsidRPr="00605184" w:rsidRDefault="00A12F53" w:rsidP="006A5E01">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Humidity, soil moisture and light</w:t>
      </w:r>
    </w:p>
    <w:p w14:paraId="1694011E" w14:textId="77777777" w:rsidR="00CE753A" w:rsidRPr="00605184" w:rsidRDefault="00A12F53" w:rsidP="006A5E01">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Humidity. Across the year, indoor relative humidity ranges from 46% (Tomatoes) to 92% (Lettuce). Humidity failures split almost evenly between too dry and too humid. In winter, heated air falls below target: Seedlings are below their 65% minimum in 30% of Q1 hours. In summer, humid outdoor air entering through the vents pushes humidity above target: Lettuce exceeds its 80% maximum in 26% of Q3 hours.</w:t>
      </w:r>
    </w:p>
    <w:p w14:paraId="6988AE3D" w14:textId="77777777" w:rsidR="00CE753A" w:rsidRPr="00605184" w:rsidRDefault="00A12F53" w:rsidP="006A5E01">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Soil moisture. The daily irrigation cycle keeps every zone above its minimum. Soil falls by about 7 percentage points a day on average, from 4 points in December to 10 in July as sun and heat raise water use. The only dry spell was four hours in the Seedling zone on 18 July 2026 (10:00-13:00) after a missed morning cycle, with a low of 52.4% against a 55% minimum.</w:t>
      </w:r>
    </w:p>
    <w:p w14:paraId="3B914575" w14:textId="77777777" w:rsidR="00CE753A" w:rsidRPr="00605184" w:rsidRDefault="00A12F53" w:rsidP="006A5E01">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Light. Daylight inside the house, taken as 70% of measured outdoor sunshine, peaks at 77,000 lux (31 May 2026). The average daily peak ranges from about 27,000 lux in December to 66,000 lux in June, and hours of daylight from 10 to 16. December and January are therefore when supplemental lighting would help most. These values come from the modelled year described in Section 5.</w:t>
      </w:r>
    </w:p>
    <w:p w14:paraId="46FBA1E2" w14:textId="77777777" w:rsidR="00CE753A" w:rsidRPr="00605184" w:rsidRDefault="00A12F53" w:rsidP="006A5E01">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Dashboard and integrated demonstration</w:t>
      </w:r>
    </w:p>
    <w:p w14:paraId="3E7E3E9B" w14:textId="77777777" w:rsidR="00CE753A" w:rsidRPr="00605184" w:rsidRDefault="00A12F53" w:rsidP="006A5E01">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src/dashboard.py launches a multi-page Streamlit application. Overview presents primary zone health, explicit KPI averages, environmental trends and data-quality status. Zones provides a searchable crop directory and selected-zone details. Analytics provides compact filters, zone comparison, gaps, alert analysis and summaries. Forecast provides a default Bowie location, current weather, daily summaries, recommendations and indoor/outdoor comparison. Analytics also includes Long-term trends, which groups every stored reading by day, week, month, quarter or year, by zone and data source, with a table view and CSV export.</w:t>
      </w:r>
    </w:p>
    <w:p w14:paraId="26300C33" w14:textId="77777777" w:rsidR="00757CE2" w:rsidRPr="00605184" w:rsidRDefault="00A12F53" w:rsidP="006A5E01">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The dashboard stores UTC timestamps. Chart axes and tooltips use UTC; refresh and availability summaries explicitly use Eastern time. Analytics uses zone-specific dash patterns and gap segmentation. Overview marks bins containing recorded alerts. See Section 9 for the current chart assessment and application screenshots.</w:t>
      </w:r>
    </w:p>
    <w:p w14:paraId="648B5D2E" w14:textId="77777777" w:rsidR="00757CE2" w:rsidRPr="00605184" w:rsidRDefault="00757CE2" w:rsidP="00757CE2">
      <w:pPr>
        <w:spacing w:line="276" w:lineRule="auto"/>
        <w:jc w:val="both"/>
        <w:rPr>
          <w:rFonts w:ascii="Times New Roman" w:hAnsi="Times New Roman" w:cs="Times New Roman"/>
          <w:color w:val="auto"/>
          <w:sz w:val="24"/>
          <w:szCs w:val="24"/>
        </w:rPr>
      </w:pPr>
    </w:p>
    <w:p w14:paraId="1C14CA2B" w14:textId="77777777" w:rsidR="00757CE2" w:rsidRPr="00605184" w:rsidRDefault="00757CE2" w:rsidP="00757CE2">
      <w:pPr>
        <w:spacing w:line="276" w:lineRule="auto"/>
        <w:jc w:val="both"/>
        <w:rPr>
          <w:rFonts w:ascii="Times New Roman" w:hAnsi="Times New Roman" w:cs="Times New Roman"/>
          <w:color w:val="auto"/>
          <w:sz w:val="24"/>
          <w:szCs w:val="24"/>
        </w:rPr>
      </w:pPr>
    </w:p>
    <w:p w14:paraId="64145A75" w14:textId="77777777" w:rsidR="00757CE2" w:rsidRPr="00605184" w:rsidRDefault="00757CE2" w:rsidP="00757CE2">
      <w:pPr>
        <w:spacing w:line="276" w:lineRule="auto"/>
        <w:jc w:val="both"/>
        <w:rPr>
          <w:rFonts w:ascii="Times New Roman" w:hAnsi="Times New Roman" w:cs="Times New Roman"/>
          <w:color w:val="auto"/>
          <w:sz w:val="24"/>
          <w:szCs w:val="24"/>
        </w:rPr>
      </w:pPr>
    </w:p>
    <w:p w14:paraId="3D5D891E" w14:textId="77777777" w:rsidR="00757CE2" w:rsidRPr="00605184" w:rsidRDefault="00757CE2" w:rsidP="00757CE2">
      <w:pPr>
        <w:spacing w:line="276" w:lineRule="auto"/>
        <w:jc w:val="both"/>
        <w:rPr>
          <w:rFonts w:ascii="Times New Roman" w:hAnsi="Times New Roman" w:cs="Times New Roman"/>
          <w:color w:val="auto"/>
          <w:sz w:val="24"/>
          <w:szCs w:val="24"/>
        </w:rPr>
      </w:pPr>
    </w:p>
    <w:p w14:paraId="757DBFF4" w14:textId="77777777" w:rsidR="00757CE2" w:rsidRPr="00605184" w:rsidRDefault="00757CE2" w:rsidP="00757CE2">
      <w:pPr>
        <w:spacing w:line="276" w:lineRule="auto"/>
        <w:jc w:val="both"/>
        <w:rPr>
          <w:rFonts w:ascii="Times New Roman" w:hAnsi="Times New Roman" w:cs="Times New Roman"/>
          <w:color w:val="auto"/>
          <w:sz w:val="24"/>
          <w:szCs w:val="24"/>
        </w:rPr>
      </w:pPr>
    </w:p>
    <w:p w14:paraId="6B2D5B2A" w14:textId="77777777" w:rsidR="00757CE2" w:rsidRPr="00605184" w:rsidRDefault="00757CE2" w:rsidP="00757CE2">
      <w:pPr>
        <w:spacing w:line="276" w:lineRule="auto"/>
        <w:jc w:val="both"/>
        <w:rPr>
          <w:rFonts w:ascii="Times New Roman" w:hAnsi="Times New Roman" w:cs="Times New Roman"/>
          <w:color w:val="auto"/>
          <w:sz w:val="24"/>
          <w:szCs w:val="24"/>
        </w:rPr>
      </w:pPr>
    </w:p>
    <w:p w14:paraId="5641F049" w14:textId="77777777" w:rsidR="00757CE2" w:rsidRPr="00605184" w:rsidRDefault="00757CE2" w:rsidP="00757CE2">
      <w:pPr>
        <w:spacing w:line="276" w:lineRule="auto"/>
        <w:jc w:val="both"/>
        <w:rPr>
          <w:rFonts w:ascii="Times New Roman" w:hAnsi="Times New Roman" w:cs="Times New Roman"/>
          <w:color w:val="auto"/>
          <w:sz w:val="24"/>
          <w:szCs w:val="24"/>
        </w:rPr>
      </w:pPr>
    </w:p>
    <w:p w14:paraId="740C3D71" w14:textId="77777777" w:rsidR="00757CE2" w:rsidRPr="00605184" w:rsidRDefault="00757CE2" w:rsidP="00757CE2">
      <w:pPr>
        <w:spacing w:line="276" w:lineRule="auto"/>
        <w:jc w:val="both"/>
        <w:rPr>
          <w:rFonts w:ascii="Times New Roman" w:hAnsi="Times New Roman" w:cs="Times New Roman"/>
          <w:color w:val="auto"/>
          <w:sz w:val="24"/>
          <w:szCs w:val="24"/>
        </w:rPr>
      </w:pPr>
    </w:p>
    <w:p w14:paraId="5A4C66FE" w14:textId="3AAC036D" w:rsidR="00CE753A" w:rsidRPr="00605184" w:rsidRDefault="00A12F53" w:rsidP="00757CE2">
      <w:pPr>
        <w:spacing w:line="276" w:lineRule="auto"/>
        <w:jc w:val="both"/>
        <w:rPr>
          <w:rFonts w:ascii="Times New Roman" w:hAnsi="Times New Roman" w:cs="Times New Roman"/>
          <w:b/>
          <w:bCs/>
          <w:color w:val="auto"/>
          <w:sz w:val="24"/>
          <w:szCs w:val="24"/>
        </w:rPr>
      </w:pPr>
      <w:r w:rsidRPr="00605184">
        <w:rPr>
          <w:rFonts w:ascii="Times New Roman" w:hAnsi="Times New Roman" w:cs="Times New Roman"/>
          <w:b/>
          <w:bCs/>
          <w:color w:val="auto"/>
          <w:sz w:val="24"/>
          <w:szCs w:val="24"/>
        </w:rPr>
        <w:t>Learning-objective assessment</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300"/>
        <w:gridCol w:w="6060"/>
      </w:tblGrid>
      <w:tr w:rsidR="00CE753A" w:rsidRPr="00605184" w14:paraId="0F69AB0D" w14:textId="77777777">
        <w:trPr>
          <w:cantSplit/>
          <w:tblHeader/>
        </w:trPr>
        <w:tc>
          <w:tcPr>
            <w:tcW w:w="3300" w:type="dxa"/>
            <w:shd w:val="clear" w:color="auto" w:fill="F2F4F7"/>
          </w:tcPr>
          <w:p w14:paraId="4017F67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Objective (PDF p. 1)</w:t>
            </w:r>
          </w:p>
        </w:tc>
        <w:tc>
          <w:tcPr>
            <w:tcW w:w="6060" w:type="dxa"/>
            <w:shd w:val="clear" w:color="auto" w:fill="F2F4F7"/>
          </w:tcPr>
          <w:p w14:paraId="7257050D"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Evidence and assessment</w:t>
            </w:r>
          </w:p>
        </w:tc>
      </w:tr>
      <w:tr w:rsidR="00CE753A" w:rsidRPr="00605184" w14:paraId="03F49DCE" w14:textId="77777777">
        <w:trPr>
          <w:cantSplit/>
        </w:trPr>
        <w:tc>
          <w:tcPr>
            <w:tcW w:w="3300" w:type="dxa"/>
          </w:tcPr>
          <w:p w14:paraId="63D3D7C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Understand IoT architecture</w:t>
            </w:r>
          </w:p>
        </w:tc>
        <w:tc>
          <w:tcPr>
            <w:tcW w:w="6060" w:type="dxa"/>
          </w:tcPr>
          <w:p w14:paraId="5109E720"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Five-stage design and matching implementation; met at artifact level.</w:t>
            </w:r>
          </w:p>
        </w:tc>
      </w:tr>
      <w:tr w:rsidR="00CE753A" w:rsidRPr="00605184" w14:paraId="6BF5CA04" w14:textId="77777777">
        <w:trPr>
          <w:cantSplit/>
        </w:trPr>
        <w:tc>
          <w:tcPr>
            <w:tcW w:w="3300" w:type="dxa"/>
          </w:tcPr>
          <w:p w14:paraId="5A569FE2"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Simulate sensor data</w:t>
            </w:r>
          </w:p>
        </w:tc>
        <w:tc>
          <w:tcPr>
            <w:tcW w:w="6060" w:type="dxa"/>
          </w:tcPr>
          <w:p w14:paraId="484075D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Four measurement channels, JSON and 20 saved samples; met.</w:t>
            </w:r>
          </w:p>
        </w:tc>
      </w:tr>
      <w:tr w:rsidR="00CE753A" w:rsidRPr="00605184" w14:paraId="3A594F3B" w14:textId="77777777">
        <w:trPr>
          <w:cantSplit/>
        </w:trPr>
        <w:tc>
          <w:tcPr>
            <w:tcW w:w="3300" w:type="dxa"/>
          </w:tcPr>
          <w:p w14:paraId="4F53E08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Implement MQTT communication</w:t>
            </w:r>
          </w:p>
        </w:tc>
        <w:tc>
          <w:tcPr>
            <w:tcW w:w="6060" w:type="dxa"/>
          </w:tcPr>
          <w:p w14:paraId="5FD99C9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Publisher/subscriber plus 20 retained payloads matched to storage; supported by prior-run evidence.</w:t>
            </w:r>
          </w:p>
        </w:tc>
      </w:tr>
      <w:tr w:rsidR="00CE753A" w:rsidRPr="00605184" w14:paraId="55218AC6" w14:textId="77777777">
        <w:trPr>
          <w:cantSplit/>
        </w:trPr>
        <w:tc>
          <w:tcPr>
            <w:tcW w:w="3300" w:type="dxa"/>
          </w:tcPr>
          <w:p w14:paraId="0F416660"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Store/manage time series</w:t>
            </w:r>
          </w:p>
        </w:tc>
        <w:tc>
          <w:tcPr>
            <w:tcW w:w="6060" w:type="dxa"/>
          </w:tcPr>
          <w:p w14:paraId="5B011F7B"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SQLite, time index, 100 rows and matching CSV; met for valid data.</w:t>
            </w:r>
          </w:p>
        </w:tc>
      </w:tr>
      <w:tr w:rsidR="00CE753A" w:rsidRPr="00605184" w14:paraId="5B4C8331" w14:textId="77777777">
        <w:trPr>
          <w:cantSplit/>
        </w:trPr>
        <w:tc>
          <w:tcPr>
            <w:tcW w:w="3300" w:type="dxa"/>
          </w:tcPr>
          <w:p w14:paraId="02D5A6A6"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Visualize for insight</w:t>
            </w:r>
          </w:p>
        </w:tc>
        <w:tc>
          <w:tcPr>
            <w:tcW w:w="6060" w:type="dxa"/>
          </w:tcPr>
          <w:p w14:paraId="5966E42D"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Seven PNG charts covering days, months, quarters and a full year, with interpretation in Section 5; met.</w:t>
            </w:r>
          </w:p>
        </w:tc>
      </w:tr>
      <w:tr w:rsidR="00CE753A" w:rsidRPr="00605184" w14:paraId="71B60338" w14:textId="77777777">
        <w:trPr>
          <w:cantSplit/>
        </w:trPr>
        <w:tc>
          <w:tcPr>
            <w:tcW w:w="3300" w:type="dxa"/>
          </w:tcPr>
          <w:p w14:paraId="2151CE69"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Present an end-to-end system</w:t>
            </w:r>
          </w:p>
        </w:tc>
        <w:tc>
          <w:tcPr>
            <w:tcW w:w="6060" w:type="dxa"/>
          </w:tcPr>
          <w:p w14:paraId="5A68634A"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Ten-slide deck and demo commands exist; final presentation/demo delivery remains unverified.</w:t>
            </w:r>
          </w:p>
        </w:tc>
      </w:tr>
    </w:tbl>
    <w:p w14:paraId="6EA6666A" w14:textId="77777777"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The optional dashboard/integrated-script objective is implemented. Basic AI and other bonus enhancements are optional and are not treated as missing core requirements.</w:t>
      </w:r>
    </w:p>
    <w:p w14:paraId="0FA82494"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7. Whole-project deliverable checklist</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650"/>
        <w:gridCol w:w="6710"/>
      </w:tblGrid>
      <w:tr w:rsidR="00CE753A" w:rsidRPr="00605184" w14:paraId="605FD5C1" w14:textId="77777777">
        <w:trPr>
          <w:cantSplit/>
          <w:tblHeader/>
        </w:trPr>
        <w:tc>
          <w:tcPr>
            <w:tcW w:w="2650" w:type="dxa"/>
            <w:shd w:val="clear" w:color="auto" w:fill="F2F4F7"/>
          </w:tcPr>
          <w:p w14:paraId="408FF5EB"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Phase / deadline</w:t>
            </w:r>
          </w:p>
        </w:tc>
        <w:tc>
          <w:tcPr>
            <w:tcW w:w="6710" w:type="dxa"/>
            <w:shd w:val="clear" w:color="auto" w:fill="F2F4F7"/>
          </w:tcPr>
          <w:p w14:paraId="6DDA078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Artifacts and readiness</w:t>
            </w:r>
          </w:p>
        </w:tc>
      </w:tr>
      <w:tr w:rsidR="00CE753A" w:rsidRPr="00605184" w14:paraId="6C1C0095" w14:textId="77777777">
        <w:trPr>
          <w:cantSplit/>
        </w:trPr>
        <w:tc>
          <w:tcPr>
            <w:tcW w:w="2650" w:type="dxa"/>
          </w:tcPr>
          <w:p w14:paraId="579835F0"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1. Design / 7 Sep</w:t>
            </w:r>
          </w:p>
        </w:tc>
        <w:tc>
          <w:tcPr>
            <w:tcW w:w="6710" w:type="dxa"/>
          </w:tcPr>
          <w:p w14:paraId="055A1674"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One-page proposal: docs/PHASE1_Project_Proposal.docx. Architecture: diagrams/architecture.png. Content present; identity needs confirmation.</w:t>
            </w:r>
          </w:p>
        </w:tc>
      </w:tr>
      <w:tr w:rsidR="00CE753A" w:rsidRPr="00605184" w14:paraId="2F8F7A2F" w14:textId="77777777">
        <w:trPr>
          <w:cantSplit/>
        </w:trPr>
        <w:tc>
          <w:tcPr>
            <w:tcW w:w="2650" w:type="dxa"/>
          </w:tcPr>
          <w:p w14:paraId="094F46EC"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2. Simulation / 14 Sep</w:t>
            </w:r>
          </w:p>
        </w:tc>
        <w:tc>
          <w:tcPr>
            <w:tcW w:w="6710" w:type="dxa"/>
          </w:tcPr>
          <w:p w14:paraId="416089B3"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src/simulator.py and samples/phase2_sample_output.txt. Verified 20 records and generator/alert checks.</w:t>
            </w:r>
          </w:p>
        </w:tc>
      </w:tr>
      <w:tr w:rsidR="00CE753A" w:rsidRPr="00605184" w14:paraId="0500AB72" w14:textId="77777777">
        <w:trPr>
          <w:cantSplit/>
        </w:trPr>
        <w:tc>
          <w:tcPr>
            <w:tcW w:w="2650" w:type="dxa"/>
          </w:tcPr>
          <w:p w14:paraId="2E4F34F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3. MQTT / 21 Sep</w:t>
            </w:r>
          </w:p>
        </w:tc>
        <w:tc>
          <w:tcPr>
            <w:tcW w:w="6710" w:type="dxa"/>
          </w:tcPr>
          <w:p w14:paraId="2FAFC40B"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src/publisher.py, src/subscriber.py and samples/subscriber_run.log. Retained transmission output matches 20 stored rows; no new network run in this review.</w:t>
            </w:r>
          </w:p>
        </w:tc>
      </w:tr>
      <w:tr w:rsidR="00CE753A" w:rsidRPr="00605184" w14:paraId="4BAED812" w14:textId="77777777">
        <w:trPr>
          <w:cantSplit/>
        </w:trPr>
        <w:tc>
          <w:tcPr>
            <w:tcW w:w="2650" w:type="dxa"/>
          </w:tcPr>
          <w:p w14:paraId="05BDF8E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4. Storage / 28 Sep</w:t>
            </w:r>
          </w:p>
        </w:tc>
        <w:tc>
          <w:tcPr>
            <w:tcW w:w="6710" w:type="dxa"/>
          </w:tcPr>
          <w:p w14:paraId="7821BE89" w14:textId="77777777" w:rsidR="007E75D0" w:rsidRPr="00605184" w:rsidRDefault="00434446">
            <w:pPr>
              <w:rPr>
                <w:rFonts w:ascii="Times New Roman" w:hAnsi="Times New Roman" w:cs="Times New Roman"/>
              </w:rPr>
            </w:pPr>
            <w:r w:rsidRPr="00605184">
              <w:rPr>
                <w:rFonts w:ascii="Times New Roman" w:hAnsi="Times New Roman" w:cs="Times New Roman"/>
              </w:rPr>
              <w:t>Current repository contains multi-zone telemetry; verify counts before submission</w:t>
            </w:r>
          </w:p>
        </w:tc>
      </w:tr>
      <w:tr w:rsidR="00CE753A" w:rsidRPr="00605184" w14:paraId="581C66D8" w14:textId="77777777">
        <w:trPr>
          <w:cantSplit/>
        </w:trPr>
        <w:tc>
          <w:tcPr>
            <w:tcW w:w="2650" w:type="dxa"/>
          </w:tcPr>
          <w:p w14:paraId="0DA40116"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5. Visualization / 28 Sep</w:t>
            </w:r>
          </w:p>
        </w:tc>
        <w:tc>
          <w:tcPr>
            <w:tcW w:w="6710" w:type="dxa"/>
          </w:tcPr>
          <w:p w14:paraId="67CA5499"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Seven images and two CSV summaries in outputs/. Interpretation in Section 5 and docs/visualization_interpretation.md.</w:t>
            </w:r>
          </w:p>
        </w:tc>
      </w:tr>
      <w:tr w:rsidR="00CE753A" w:rsidRPr="00605184" w14:paraId="1AC5BEED" w14:textId="77777777">
        <w:trPr>
          <w:cantSplit/>
        </w:trPr>
        <w:tc>
          <w:tcPr>
            <w:tcW w:w="2650" w:type="dxa"/>
          </w:tcPr>
          <w:p w14:paraId="54A25092"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6. Bonus / optional</w:t>
            </w:r>
          </w:p>
        </w:tc>
        <w:tc>
          <w:tcPr>
            <w:tcW w:w="6710" w:type="dxa"/>
          </w:tcPr>
          <w:p w14:paraId="71F9E4A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src/dashboard.py and src/offline_pipeline.py execute on valid data. Input-validation and display limitations remain.</w:t>
            </w:r>
          </w:p>
        </w:tc>
      </w:tr>
      <w:tr w:rsidR="00CE753A" w:rsidRPr="00605184" w14:paraId="5731B21B" w14:textId="77777777">
        <w:trPr>
          <w:cantSplit/>
        </w:trPr>
        <w:tc>
          <w:tcPr>
            <w:tcW w:w="2650" w:type="dxa"/>
          </w:tcPr>
          <w:p w14:paraId="2F3A3F13"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7. Presentation / 28 Sep</w:t>
            </w:r>
          </w:p>
        </w:tc>
        <w:tc>
          <w:tcPr>
            <w:tcW w:w="6710" w:type="dxa"/>
          </w:tcPr>
          <w:p w14:paraId="68927F7C"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presentation/GreenHouseWatch_Slides.pptx has 10 slides, within the recommended 8-15. Counts and claims need correction. Live or recorded final demo still must be delivered.</w:t>
            </w:r>
          </w:p>
        </w:tc>
      </w:tr>
    </w:tbl>
    <w:p w14:paraId="288A8B87"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Required corrections before final submission</w:t>
      </w:r>
    </w:p>
    <w:p w14:paraId="66178C16" w14:textId="77F2620C"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Input validation is now enforced before insertion for numeric, finite and physically valid measurements. Zone alert_flag and alert_reason are recomputed from configured crop thresholds at write time. The active database was normalized and has no inconsistent alert flag/reason pairs.</w:t>
      </w:r>
    </w:p>
    <w:p w14:paraId="30662439"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Section 9 provides the current application review and screenshots. The earlier single-device counts and static figures are retained as historical evidence; they are not the current multi-zone dashboard totals. Supporting slides and interpretation files should identify their dataset and distinguish simulated from physical readings.</w:t>
      </w:r>
    </w:p>
    <w:p w14:paraId="59887EB0"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Identity and demonstration: the source materials use IPMC BIT and include a name-replacement note. Confirm the intended student identity. No recording is present in the repository. The student must give the required live presentation/demo or submit a recording; commands on a slide are preparation, not proof of delivery.</w:t>
      </w:r>
    </w:p>
    <w:p w14:paraId="5387BDC2" w14:textId="77777777" w:rsidR="00FE6A85" w:rsidRPr="00605184" w:rsidRDefault="00FE6A85" w:rsidP="00042F0A">
      <w:pPr>
        <w:spacing w:line="276" w:lineRule="auto"/>
        <w:jc w:val="both"/>
        <w:rPr>
          <w:rFonts w:ascii="Times New Roman" w:hAnsi="Times New Roman" w:cs="Times New Roman"/>
          <w:color w:val="auto"/>
          <w:sz w:val="24"/>
          <w:szCs w:val="24"/>
        </w:rPr>
      </w:pPr>
    </w:p>
    <w:p w14:paraId="54BE6BF8" w14:textId="77777777" w:rsidR="00C03DEA" w:rsidRPr="00605184" w:rsidRDefault="00C03DEA" w:rsidP="00042F0A">
      <w:pPr>
        <w:spacing w:line="276" w:lineRule="auto"/>
        <w:jc w:val="both"/>
        <w:rPr>
          <w:rFonts w:ascii="Times New Roman" w:hAnsi="Times New Roman" w:cs="Times New Roman"/>
          <w:color w:val="auto"/>
          <w:sz w:val="24"/>
          <w:szCs w:val="24"/>
        </w:rPr>
      </w:pPr>
    </w:p>
    <w:p w14:paraId="5D573099" w14:textId="77777777" w:rsidR="00C03DEA" w:rsidRPr="00605184" w:rsidRDefault="00C03DEA" w:rsidP="00042F0A">
      <w:pPr>
        <w:spacing w:line="276" w:lineRule="auto"/>
        <w:jc w:val="both"/>
        <w:rPr>
          <w:rFonts w:ascii="Times New Roman" w:hAnsi="Times New Roman" w:cs="Times New Roman"/>
          <w:color w:val="auto"/>
          <w:sz w:val="24"/>
          <w:szCs w:val="24"/>
        </w:rPr>
      </w:pPr>
    </w:p>
    <w:p w14:paraId="3F2634EC" w14:textId="77777777" w:rsidR="00C03DEA" w:rsidRPr="00605184" w:rsidRDefault="00C03DEA" w:rsidP="00042F0A">
      <w:pPr>
        <w:spacing w:line="276" w:lineRule="auto"/>
        <w:jc w:val="both"/>
        <w:rPr>
          <w:rFonts w:ascii="Times New Roman" w:hAnsi="Times New Roman" w:cs="Times New Roman"/>
          <w:color w:val="auto"/>
          <w:sz w:val="24"/>
          <w:szCs w:val="24"/>
        </w:rPr>
      </w:pPr>
    </w:p>
    <w:p w14:paraId="3A479BA9" w14:textId="77777777" w:rsidR="00C03DEA" w:rsidRPr="00605184" w:rsidRDefault="00C03DEA" w:rsidP="00042F0A">
      <w:pPr>
        <w:spacing w:line="276" w:lineRule="auto"/>
        <w:jc w:val="both"/>
        <w:rPr>
          <w:rFonts w:ascii="Times New Roman" w:hAnsi="Times New Roman" w:cs="Times New Roman"/>
          <w:color w:val="auto"/>
          <w:sz w:val="24"/>
          <w:szCs w:val="24"/>
        </w:rPr>
      </w:pPr>
    </w:p>
    <w:p w14:paraId="656CB0EF" w14:textId="77777777" w:rsidR="00C03DEA" w:rsidRPr="00605184" w:rsidRDefault="00C03DEA" w:rsidP="00042F0A">
      <w:pPr>
        <w:spacing w:line="276" w:lineRule="auto"/>
        <w:jc w:val="both"/>
        <w:rPr>
          <w:rFonts w:ascii="Times New Roman" w:hAnsi="Times New Roman" w:cs="Times New Roman"/>
          <w:color w:val="auto"/>
          <w:sz w:val="24"/>
          <w:szCs w:val="24"/>
        </w:rPr>
      </w:pPr>
    </w:p>
    <w:p w14:paraId="6A0D871C" w14:textId="77777777" w:rsidR="00C03DEA" w:rsidRPr="00605184" w:rsidRDefault="00C03DEA" w:rsidP="00042F0A">
      <w:pPr>
        <w:spacing w:line="276" w:lineRule="auto"/>
        <w:jc w:val="both"/>
        <w:rPr>
          <w:rFonts w:ascii="Times New Roman" w:hAnsi="Times New Roman" w:cs="Times New Roman"/>
          <w:color w:val="auto"/>
          <w:sz w:val="24"/>
          <w:szCs w:val="24"/>
        </w:rPr>
      </w:pPr>
    </w:p>
    <w:p w14:paraId="7752A614" w14:textId="77777777" w:rsidR="00C03DEA" w:rsidRPr="00605184" w:rsidRDefault="00C03DEA" w:rsidP="00042F0A">
      <w:pPr>
        <w:spacing w:line="276" w:lineRule="auto"/>
        <w:jc w:val="both"/>
        <w:rPr>
          <w:rFonts w:ascii="Times New Roman" w:hAnsi="Times New Roman" w:cs="Times New Roman"/>
          <w:color w:val="auto"/>
          <w:sz w:val="24"/>
          <w:szCs w:val="24"/>
        </w:rPr>
      </w:pPr>
    </w:p>
    <w:p w14:paraId="61FC79D4" w14:textId="77777777" w:rsidR="00CE753A" w:rsidRPr="00605184" w:rsidRDefault="00A12F53" w:rsidP="00042F0A">
      <w:pPr>
        <w:pStyle w:val="Heading1"/>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8. Verification record and demonstration guide</w:t>
      </w:r>
    </w:p>
    <w:tbl>
      <w:tblPr>
        <w:tblStyle w:val="TableGrid"/>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700"/>
        <w:gridCol w:w="5660"/>
      </w:tblGrid>
      <w:tr w:rsidR="00CE753A" w:rsidRPr="00605184" w14:paraId="2523CCF2" w14:textId="77777777">
        <w:trPr>
          <w:cantSplit/>
          <w:tblHeader/>
        </w:trPr>
        <w:tc>
          <w:tcPr>
            <w:tcW w:w="3700" w:type="dxa"/>
            <w:shd w:val="clear" w:color="auto" w:fill="F2F4F7"/>
          </w:tcPr>
          <w:p w14:paraId="2DDAA6F6"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Check run on 16 September</w:t>
            </w:r>
          </w:p>
        </w:tc>
        <w:tc>
          <w:tcPr>
            <w:tcW w:w="5660" w:type="dxa"/>
            <w:shd w:val="clear" w:color="auto" w:fill="F2F4F7"/>
          </w:tcPr>
          <w:p w14:paraId="38440941"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b/>
                <w:color w:val="auto"/>
                <w:sz w:val="24"/>
                <w:szCs w:val="24"/>
              </w:rPr>
              <w:t>Outcome</w:t>
            </w:r>
          </w:p>
        </w:tc>
      </w:tr>
      <w:tr w:rsidR="00CE753A" w:rsidRPr="00605184" w14:paraId="0D024FE6" w14:textId="77777777">
        <w:trPr>
          <w:cantSplit/>
        </w:trPr>
        <w:tc>
          <w:tcPr>
            <w:tcW w:w="3700" w:type="dxa"/>
          </w:tcPr>
          <w:p w14:paraId="697A1A9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Source and requirement review</w:t>
            </w:r>
          </w:p>
        </w:tc>
        <w:tc>
          <w:tcPr>
            <w:tcW w:w="5660" w:type="dxa"/>
          </w:tcPr>
          <w:p w14:paraId="0C5AA897"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Read all seven PDF pages, application modules, supporting documents and slide text.</w:t>
            </w:r>
          </w:p>
        </w:tc>
      </w:tr>
      <w:tr w:rsidR="00CE753A" w:rsidRPr="00605184" w14:paraId="61EE6F99" w14:textId="77777777">
        <w:trPr>
          <w:cantSplit/>
        </w:trPr>
        <w:tc>
          <w:tcPr>
            <w:tcW w:w="3700" w:type="dxa"/>
          </w:tcPr>
          <w:p w14:paraId="2CBFD00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Data integrity and consistency</w:t>
            </w:r>
          </w:p>
        </w:tc>
        <w:tc>
          <w:tcPr>
            <w:tcW w:w="5660" w:type="dxa"/>
          </w:tcPr>
          <w:p w14:paraId="559C22C3"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PASS: SQLite integrity, 100 CSV rows, timestamps and all alert metadata.</w:t>
            </w:r>
          </w:p>
        </w:tc>
      </w:tr>
      <w:tr w:rsidR="00CE753A" w:rsidRPr="00605184" w14:paraId="40C782E8" w14:textId="77777777">
        <w:trPr>
          <w:cantSplit/>
        </w:trPr>
        <w:tc>
          <w:tcPr>
            <w:tcW w:w="3700" w:type="dxa"/>
          </w:tcPr>
          <w:p w14:paraId="133C3BD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Simulation / thresholds</w:t>
            </w:r>
          </w:p>
        </w:tc>
        <w:tc>
          <w:tcPr>
            <w:tcW w:w="5660" w:type="dxa"/>
          </w:tcPr>
          <w:p w14:paraId="08D0793B"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PASS: historical sequence spacing and 11 boundary cases.</w:t>
            </w:r>
          </w:p>
        </w:tc>
      </w:tr>
      <w:tr w:rsidR="00CE753A" w:rsidRPr="00605184" w14:paraId="52F84B43" w14:textId="77777777">
        <w:trPr>
          <w:cantSplit/>
        </w:trPr>
        <w:tc>
          <w:tcPr>
            <w:tcW w:w="3700" w:type="dxa"/>
          </w:tcPr>
          <w:p w14:paraId="40F5DA2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Subscriber callback</w:t>
            </w:r>
          </w:p>
        </w:tc>
        <w:tc>
          <w:tcPr>
            <w:tcW w:w="5660" w:type="dxa"/>
          </w:tcPr>
          <w:p w14:paraId="32BE8B71"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PASS on valid JSON and missing/malformed messages; FAIL on invalid numeric values.</w:t>
            </w:r>
          </w:p>
        </w:tc>
      </w:tr>
      <w:tr w:rsidR="00CE753A" w:rsidRPr="00605184" w14:paraId="7286DC2D" w14:textId="77777777">
        <w:trPr>
          <w:cantSplit/>
        </w:trPr>
        <w:tc>
          <w:tcPr>
            <w:tcW w:w="3700" w:type="dxa"/>
          </w:tcPr>
          <w:p w14:paraId="1A6C21AF"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Isolated offline pipeline</w:t>
            </w:r>
          </w:p>
        </w:tc>
        <w:tc>
          <w:tcPr>
            <w:tcW w:w="5660" w:type="dxa"/>
          </w:tcPr>
          <w:p w14:paraId="4154EFF8"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PASS: seed/store/export/four charts; rerun preserves row count.</w:t>
            </w:r>
          </w:p>
        </w:tc>
      </w:tr>
      <w:tr w:rsidR="00CE753A" w:rsidRPr="00605184" w14:paraId="2C951477" w14:textId="77777777">
        <w:trPr>
          <w:cantSplit/>
        </w:trPr>
        <w:tc>
          <w:tcPr>
            <w:tcW w:w="3700" w:type="dxa"/>
          </w:tcPr>
          <w:p w14:paraId="3AB99772"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Dashboard execution</w:t>
            </w:r>
          </w:p>
        </w:tc>
        <w:tc>
          <w:tcPr>
            <w:tcW w:w="5660" w:type="dxa"/>
          </w:tcPr>
          <w:p w14:paraId="7CF3B5DF"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PASS on actual dataset; reproduced failure with mocked invalid latest temperature.</w:t>
            </w:r>
          </w:p>
        </w:tc>
      </w:tr>
      <w:tr w:rsidR="00CE753A" w:rsidRPr="00605184" w14:paraId="0C049455" w14:textId="77777777">
        <w:trPr>
          <w:cantSplit/>
        </w:trPr>
        <w:tc>
          <w:tcPr>
            <w:tcW w:w="3700" w:type="dxa"/>
          </w:tcPr>
          <w:p w14:paraId="6E3ED4CC"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Retained MQTT evidence</w:t>
            </w:r>
          </w:p>
        </w:tc>
        <w:tc>
          <w:tcPr>
            <w:tcW w:w="5660" w:type="dxa"/>
          </w:tcPr>
          <w:p w14:paraId="7B767F75" w14:textId="77777777" w:rsidR="00CE753A" w:rsidRPr="00605184" w:rsidRDefault="00A12F53" w:rsidP="00042F0A">
            <w:pPr>
              <w:pStyle w:val="Tabletext"/>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20 payloads match stored rows. A fresh HiveMQ round trip was not run.</w:t>
            </w:r>
          </w:p>
        </w:tc>
      </w:tr>
    </w:tbl>
    <w:p w14:paraId="26BB38DA"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Live demonstration sequence</w:t>
      </w:r>
    </w:p>
    <w:p w14:paraId="7780D0F8" w14:textId="7610CB18"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rPr>
        <w:t>From the repository root, use the existing virtual environment. Start the subscriber first, then one publisher per demonstration zone. Check the database count immediately before the demo because live publishers may continue adding rows; do not present simulated values as physical observations.</w:t>
      </w:r>
    </w:p>
    <w:p w14:paraId="23DDA8C4" w14:textId="77777777" w:rsidR="00CE753A" w:rsidRPr="00605184" w:rsidRDefault="00A12F53" w:rsidP="00042F0A">
      <w:pPr>
        <w:pStyle w:val="Cod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.venv\Scripts\python.exe src/db.py</w:t>
      </w:r>
      <w:r w:rsidRPr="00605184">
        <w:rPr>
          <w:rFonts w:ascii="Times New Roman" w:hAnsi="Times New Roman" w:cs="Times New Roman"/>
          <w:color w:val="auto"/>
          <w:sz w:val="24"/>
          <w:szCs w:val="24"/>
        </w:rPr>
        <w:br/>
        <w:t># Terminal A</w:t>
      </w:r>
      <w:r w:rsidRPr="00605184">
        <w:rPr>
          <w:rFonts w:ascii="Times New Roman" w:hAnsi="Times New Roman" w:cs="Times New Roman"/>
          <w:color w:val="auto"/>
          <w:sz w:val="24"/>
          <w:szCs w:val="24"/>
        </w:rPr>
        <w:br/>
        <w:t>.venv\Scripts\python.exe src/subscriber.py</w:t>
      </w:r>
      <w:r w:rsidRPr="00605184">
        <w:rPr>
          <w:rFonts w:ascii="Times New Roman" w:hAnsi="Times New Roman" w:cs="Times New Roman"/>
          <w:color w:val="auto"/>
          <w:sz w:val="24"/>
          <w:szCs w:val="24"/>
        </w:rPr>
        <w:br/>
        <w:t># Terminal B</w:t>
      </w:r>
      <w:r w:rsidRPr="00605184">
        <w:rPr>
          <w:rFonts w:ascii="Times New Roman" w:hAnsi="Times New Roman" w:cs="Times New Roman"/>
          <w:color w:val="auto"/>
          <w:sz w:val="24"/>
          <w:szCs w:val="24"/>
        </w:rPr>
        <w:br/>
        <w:t>.venv\Scripts\python.exe src/publisher.py --count 20 --interval 2</w:t>
      </w:r>
      <w:r w:rsidRPr="00605184">
        <w:rPr>
          <w:rFonts w:ascii="Times New Roman" w:hAnsi="Times New Roman" w:cs="Times New Roman"/>
          <w:color w:val="auto"/>
          <w:sz w:val="24"/>
          <w:szCs w:val="24"/>
        </w:rPr>
        <w:br/>
        <w:t>.venv\Scripts\python.exe src/db.py</w:t>
      </w:r>
      <w:r w:rsidRPr="00605184">
        <w:rPr>
          <w:rFonts w:ascii="Times New Roman" w:hAnsi="Times New Roman" w:cs="Times New Roman"/>
          <w:color w:val="auto"/>
          <w:sz w:val="24"/>
          <w:szCs w:val="24"/>
        </w:rPr>
        <w:br/>
        <w:t>.venv\Scripts\python.exe src/export_csv.py</w:t>
      </w:r>
      <w:r w:rsidRPr="00605184">
        <w:rPr>
          <w:rFonts w:ascii="Times New Roman" w:hAnsi="Times New Roman" w:cs="Times New Roman"/>
          <w:color w:val="auto"/>
          <w:sz w:val="24"/>
          <w:szCs w:val="24"/>
        </w:rPr>
        <w:br/>
        <w:t>.venv\Scripts\python.exe src/visualize.py</w:t>
      </w:r>
      <w:r w:rsidRPr="00605184">
        <w:rPr>
          <w:rFonts w:ascii="Times New Roman" w:hAnsi="Times New Roman" w:cs="Times New Roman"/>
          <w:color w:val="auto"/>
          <w:sz w:val="24"/>
          <w:szCs w:val="24"/>
        </w:rPr>
        <w:br/>
        <w:t>.venv\Scripts\python.exe -m streamlit run src/dashboard.py</w:t>
      </w:r>
    </w:p>
    <w:p w14:paraId="09A0259F"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Show the received JSON, matching inserted row and refreshed visualizations. Save actual terminal output. If the broker is unavailable, use a previously recorded MQTT demonstration plus the offline pipeline for storage and charting; the offline route alone omits transmission. Do not reset the database before preserving the chosen submission snapshot.</w:t>
      </w:r>
    </w:p>
    <w:p w14:paraId="5FD00400" w14:textId="77777777" w:rsidR="00CE753A" w:rsidRPr="00605184" w:rsidRDefault="00A12F53" w:rsidP="00042F0A">
      <w:pPr>
        <w:pStyle w:val="Heading2"/>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Conclusion</w:t>
      </w:r>
    </w:p>
    <w:p w14:paraId="4A365987" w14:textId="77777777" w:rsidR="00CE753A" w:rsidRPr="00605184" w:rsidRDefault="00A12F53" w:rsidP="00042F0A">
      <w:pPr>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GreenHouseWatch satisfies the central educational design: simulated sensor data can be transmitted, stored locally and visualized with free tools. The first-delivery artifacts are present, and the current dataset is internally consistent. The project should be described as implemented with outstanding validation and submission corrections, rather than fully complete or error-free. This report records the checks and remaining work; it does not certify an instructor grade, submission timing or completion of the final presentation.</w:t>
      </w:r>
    </w:p>
    <w:p w14:paraId="22156E9B" w14:textId="1926B011" w:rsidR="00CE753A" w:rsidRPr="00605184" w:rsidRDefault="00A12F53" w:rsidP="00042F0A">
      <w:pPr>
        <w:pStyle w:val="Evidence"/>
        <w:spacing w:line="276" w:lineRule="auto"/>
        <w:jc w:val="both"/>
        <w:rPr>
          <w:rFonts w:ascii="Times New Roman" w:hAnsi="Times New Roman" w:cs="Times New Roman"/>
          <w:color w:val="auto"/>
          <w:sz w:val="24"/>
          <w:szCs w:val="24"/>
        </w:rPr>
      </w:pPr>
      <w:r w:rsidRPr="00605184">
        <w:rPr>
          <w:rFonts w:ascii="Times New Roman" w:hAnsi="Times New Roman" w:cs="Times New Roman"/>
          <w:color w:val="auto"/>
          <w:sz w:val="24"/>
          <w:szCs w:val="24"/>
        </w:rPr>
        <w:t xml:space="preserve">Verification logs and structured results are retained under tmp/delivery. </w:t>
      </w:r>
    </w:p>
    <w:p w14:paraId="41977C10"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9. Current application and chart assessment</w:t>
      </w:r>
    </w:p>
    <w:p w14:paraId="6B7F5A09" w14:textId="77777777" w:rsidR="007E75D0" w:rsidRPr="00605184" w:rsidRDefault="00434446" w:rsidP="00DA318B">
      <w:pPr>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Review and screenshot capture: 22 September 2026. This section supersedes earlier dashboard descriptions and replaces the duplicate static figures with current application evidence. Screenshots show the running application and its actual repository state; counts and freshness can change while publishers are active.</w:t>
      </w:r>
    </w:p>
    <w:p w14:paraId="0FADFE83" w14:textId="77777777" w:rsidR="007E75D0" w:rsidRPr="00605184" w:rsidRDefault="00434446" w:rsidP="00DA318B">
      <w:pPr>
        <w:pStyle w:val="Heading2"/>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Environment Trend and Analytics: corrections</w:t>
      </w:r>
    </w:p>
    <w:p w14:paraId="4F22778A"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Large histories: removed the Overview crash caused by referencing a zone column after aggregation. Charts sample large display datasets while tables and CSV exports retain loaded observations.</w:t>
      </w:r>
    </w:p>
    <w:p w14:paraId="0AAB148A"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Meaningful averages: Overview and Analytics Overall average now compute five-minute means within each reporting zone, then weight reporting zones equally. Missing zones are excluded, not treated as zero.</w:t>
      </w:r>
    </w:p>
    <w:p w14:paraId="603F9DAA"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Gaps and missing values: gaps longer than 20 minutes remain disconnected, including after display sampling. Missing values in one metric no longer suppress valid values in another.</w:t>
      </w:r>
    </w:p>
    <w:p w14:paraId="0390710E"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Units and time: temperature and humidity have separate labeled axes. Chart axes and hover times explicitly use UTC; Analytics availability summaries include calendar dates and Eastern time. pH ticks retain decimal precision.</w:t>
      </w:r>
    </w:p>
    <w:p w14:paraId="574DE7F2" w14:textId="77777777" w:rsidR="007E75D0" w:rsidRPr="00605184" w:rsidRDefault="00434446" w:rsidP="00DA318B">
      <w:pPr>
        <w:pStyle w:val="ListBullet"/>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Controls and interpretation: Analytics Reset now restores defaults without a session-state exception. Eight dash patterns distinguish configured zones. Overview explains that red triangles mean an alert in any core metric, not necessarily the metric under the marker.</w:t>
      </w:r>
    </w:p>
    <w:p w14:paraId="62C82227" w14:textId="77777777" w:rsidR="007E75D0" w:rsidRPr="00605184" w:rsidRDefault="00434446" w:rsidP="00DA318B">
      <w:pPr>
        <w:pStyle w:val="Heading2"/>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Verification and limits</w:t>
      </w:r>
    </w:p>
    <w:p w14:paraId="32D319F2" w14:textId="77777777" w:rsidR="007E75D0" w:rsidRPr="00605184" w:rsidRDefault="00434446" w:rsidP="00DA318B">
      <w:pPr>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All 26 automated tests passed, including five chart regression tests. The six application pages were opened and captured without page exceptions. The forecast page returned live outdoor weather for Bowie, Maryland. No irrigation request was submitted during this review.</w:t>
      </w:r>
    </w:p>
    <w:p w14:paraId="67972257" w14:textId="77777777" w:rsidR="007E75D0" w:rsidRPr="00605184" w:rsidRDefault="00434446" w:rsidP="00DA318B">
      <w:pPr>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At 16:49 UTC, the loaded multi-zone snapshot contained 442 readings across eight zones: 433 simulator and nine seeded samples. Nutrient and pH values were absent in 328 readings. These are simulated observations, not evidence of physical greenhouse measurements. Display sampling may omit individual events; inspect the full filtered data for exact values.</w:t>
      </w:r>
    </w:p>
    <w:p w14:paraId="2C0D641C"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Remaining interpretation limits: aggregate target bands show the intersection of configured zone ranges and cannot certify each zone as healthy. Overview may display last-known values when sources are stale. Analytics summary averages weight records, while Overall average charts weight reporting zones within five-minute bins. The five-day outdoor forecast is separate from indoor telemetry.</w:t>
      </w:r>
    </w:p>
    <w:p w14:paraId="18C64D5B"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Current Overview</w:t>
      </w:r>
    </w:p>
    <w:p w14:paraId="0A9264F8"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44373A61" wp14:editId="15C778FA">
            <wp:extent cx="4716858" cy="6217919"/>
            <wp:effectExtent l="0" t="0" r="0" b="0"/>
            <wp:docPr id="4" name="Picture 4" descr="Figure 5. Operations Overview: current repository values, source freshness, environmental trend, primary zone health and simulated irrig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14"/>
                    <a:stretch>
                      <a:fillRect/>
                    </a:stretch>
                  </pic:blipFill>
                  <pic:spPr>
                    <a:xfrm>
                      <a:off x="0" y="0"/>
                      <a:ext cx="4716858" cy="6217919"/>
                    </a:xfrm>
                    <a:prstGeom prst="rect">
                      <a:avLst/>
                    </a:prstGeom>
                  </pic:spPr>
                </pic:pic>
              </a:graphicData>
            </a:graphic>
          </wp:inline>
        </w:drawing>
      </w:r>
    </w:p>
    <w:p w14:paraId="2D382775"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7. Operations Overview: current repository values, source freshness, environmental trend, primary zone health and simulated irrigation controls.</w:t>
      </w:r>
    </w:p>
    <w:p w14:paraId="5E4E712B"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Freshness and source status are part of the evidence. An Offline or Degraded state indicates missing recent telemetry; it is not a failure to load the dashboard. The values shown are last-known or simulated measurements.</w:t>
      </w:r>
    </w:p>
    <w:p w14:paraId="02586B45"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Environment Trend: detailed view</w:t>
      </w:r>
    </w:p>
    <w:p w14:paraId="1517F815"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2078CB37" wp14:editId="5518BFE4">
            <wp:extent cx="5943600" cy="4666411"/>
            <wp:effectExtent l="0" t="0" r="0" b="0"/>
            <wp:docPr id="5" name="Picture 5" descr="Figure 6. Corrected Environment Trend with separate temperature and humidity axes, five-minute zone means, configured target bands and visible observation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ironment-trend.png"/>
                    <pic:cNvPicPr/>
                  </pic:nvPicPr>
                  <pic:blipFill>
                    <a:blip r:embed="rId15"/>
                    <a:stretch>
                      <a:fillRect/>
                    </a:stretch>
                  </pic:blipFill>
                  <pic:spPr>
                    <a:xfrm>
                      <a:off x="0" y="0"/>
                      <a:ext cx="5943600" cy="4666411"/>
                    </a:xfrm>
                    <a:prstGeom prst="rect">
                      <a:avLst/>
                    </a:prstGeom>
                  </pic:spPr>
                </pic:pic>
              </a:graphicData>
            </a:graphic>
          </wp:inline>
        </w:drawing>
      </w:r>
    </w:p>
    <w:p w14:paraId="5394F215"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8. Corrected Environment Trend with separate temperature and humidity axes, five-minute zone means, configured target bands and visible observation gaps.</w:t>
      </w:r>
    </w:p>
    <w:p w14:paraId="1417DFCE" w14:textId="77777777" w:rsidR="007E75D0" w:rsidRPr="00605184" w:rsidRDefault="00434446" w:rsidP="00DA318B">
      <w:pPr>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Read temperature against the left axis and humidity against the right. Blank intervals indicate a lack of observations rather than a constant environment. Red triangles indicate that at least one recorded core-metric alert occurred in the time bin. The band represents shared configured targets for the selected zones.</w:t>
      </w:r>
    </w:p>
    <w:p w14:paraId="72F1A2F2"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Soil moisture, nutrient level and pH remain selectable. Where optional measurements are absent, the application presents an explicit no-measurements message rather than inventing values.</w:t>
      </w:r>
    </w:p>
    <w:p w14:paraId="3B051833"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Analytics: comparison and filtering</w:t>
      </w:r>
    </w:p>
    <w:p w14:paraId="4D7E20C9"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31866F89" wp14:editId="0D71AF38">
            <wp:extent cx="5943600" cy="3301626"/>
            <wp:effectExtent l="0" t="0" r="0" b="0"/>
            <wp:docPr id="6" name="Picture 6" descr="Figure 7. Analytics comparison view: period and metric filters, UTC axes, zone dash legend, summary statistics and dated Eastern availability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tics-chart.png"/>
                    <pic:cNvPicPr/>
                  </pic:nvPicPr>
                  <pic:blipFill>
                    <a:blip r:embed="rId16"/>
                    <a:stretch>
                      <a:fillRect/>
                    </a:stretch>
                  </pic:blipFill>
                  <pic:spPr>
                    <a:xfrm>
                      <a:off x="0" y="0"/>
                      <a:ext cx="5943600" cy="3301626"/>
                    </a:xfrm>
                    <a:prstGeom prst="rect">
                      <a:avLst/>
                    </a:prstGeom>
                  </pic:spPr>
                </pic:pic>
              </a:graphicData>
            </a:graphic>
          </wp:inline>
        </w:drawing>
      </w:r>
    </w:p>
    <w:p w14:paraId="7ABCAB10"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9. Analytics comparison view: period and metric filters, UTC axes, zone dash legend, summary statistics and dated Eastern availability range.</w:t>
      </w:r>
    </w:p>
    <w:p w14:paraId="32FB822B" w14:textId="77777777" w:rsidR="007E75D0" w:rsidRPr="00605184" w:rsidRDefault="00434446" w:rsidP="00DA318B">
      <w:pPr>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Compare zones retains each zone's observations. Overall average aligns asynchronous publishers to five-minute bins before averaging zones. Summary cards and comparison tables use all matching loaded records; they can differ from equal-zone chart means when reporting frequencies differ.</w:t>
      </w:r>
    </w:p>
    <w:p w14:paraId="75BD811C"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Assessment: units and gaps are now explicit, and Reset is functional. Dense overlapping series are still easier to inspect using the Zone filter or a shorter period. The chart is a monitoring aid; use the filtered CSV for exact event-level analysis.</w:t>
      </w:r>
    </w:p>
    <w:p w14:paraId="020F190B"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Zones: current crop directory</w:t>
      </w:r>
    </w:p>
    <w:p w14:paraId="184076DE"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5D5B9FA7" wp14:editId="1F08BF3C">
            <wp:extent cx="4811939" cy="6217919"/>
            <wp:effectExtent l="0" t="0" r="0" b="0"/>
            <wp:docPr id="7" name="Picture 7" descr="Figure 8. Current eight-zone crop directory with matching crop images, observed conditions and freshness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s-directory.png"/>
                    <pic:cNvPicPr/>
                  </pic:nvPicPr>
                  <pic:blipFill>
                    <a:blip r:embed="rId17"/>
                    <a:stretch>
                      <a:fillRect/>
                    </a:stretch>
                  </pic:blipFill>
                  <pic:spPr>
                    <a:xfrm>
                      <a:off x="0" y="0"/>
                      <a:ext cx="4811939" cy="6217919"/>
                    </a:xfrm>
                    <a:prstGeom prst="rect">
                      <a:avLst/>
                    </a:prstGeom>
                  </pic:spPr>
                </pic:pic>
              </a:graphicData>
            </a:graphic>
          </wp:inline>
        </w:drawing>
      </w:r>
    </w:p>
    <w:p w14:paraId="7C1CDB25"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10. Current eight-zone crop directory with matching crop images, observed conditions and freshness labels.</w:t>
      </w:r>
    </w:p>
    <w:p w14:paraId="7A1009A2"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The directory includes Tomato, Lettuce, Cucumber, Carrot, Corn, Onion, Watermelon and Seedling zones. Stale readings remain historical evidence. Optional nutrient and pH values are not available in every stored message.</w:t>
      </w:r>
    </w:p>
    <w:p w14:paraId="544E7AF8"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Forecast: current outdoor context</w:t>
      </w:r>
    </w:p>
    <w:p w14:paraId="61D06451"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2D9D140D" wp14:editId="7E16F37C">
            <wp:extent cx="5634137" cy="5943600"/>
            <wp:effectExtent l="0" t="0" r="0" b="0"/>
            <wp:docPr id="8" name="Picture 8" descr="Figure 9. Current Bowie outdoor weather, five-day forecast and greenhouse impact recommendations from the running Foreca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summary.png"/>
                    <pic:cNvPicPr/>
                  </pic:nvPicPr>
                  <pic:blipFill>
                    <a:blip r:embed="rId18"/>
                    <a:stretch>
                      <a:fillRect/>
                    </a:stretch>
                  </pic:blipFill>
                  <pic:spPr>
                    <a:xfrm>
                      <a:off x="0" y="0"/>
                      <a:ext cx="5634137" cy="5943600"/>
                    </a:xfrm>
                    <a:prstGeom prst="rect">
                      <a:avLst/>
                    </a:prstGeom>
                  </pic:spPr>
                </pic:pic>
              </a:graphicData>
            </a:graphic>
          </wp:inline>
        </w:drawing>
      </w:r>
    </w:p>
    <w:p w14:paraId="12A56AAB"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11. Current Bowie outdoor weather, five-day forecast and greenhouse impact recommendations from the running Forecast page.</w:t>
      </w:r>
    </w:p>
    <w:p w14:paraId="6EF9E388"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Outdoor weather is provided by OpenWeatherMap. Indoor values elsewhere in this application originate from the repository and were simulated in this review. Forecast recommendations do not actuate hardware.</w:t>
      </w:r>
    </w:p>
    <w:p w14:paraId="039AC834" w14:textId="77777777" w:rsidR="007E75D0" w:rsidRPr="00605184" w:rsidRDefault="00434446" w:rsidP="00DA318B">
      <w:pPr>
        <w:pStyle w:val="Heading1"/>
        <w:pageBreakBefor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lastRenderedPageBreak/>
        <w:t>Controls and repository data</w:t>
      </w:r>
    </w:p>
    <w:p w14:paraId="63FF26AA"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5187E829" wp14:editId="65E26082">
            <wp:extent cx="4913277" cy="2743200"/>
            <wp:effectExtent l="0" t="0" r="0" b="0"/>
            <wp:docPr id="9" name="Picture 9" descr="Figure 10. Controls page explicitly identifies the absence of a physical controller. No request was submitted during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s.png"/>
                    <pic:cNvPicPr/>
                  </pic:nvPicPr>
                  <pic:blipFill>
                    <a:blip r:embed="rId19"/>
                    <a:stretch>
                      <a:fillRect/>
                    </a:stretch>
                  </pic:blipFill>
                  <pic:spPr>
                    <a:xfrm>
                      <a:off x="0" y="0"/>
                      <a:ext cx="4913277" cy="2743200"/>
                    </a:xfrm>
                    <a:prstGeom prst="rect">
                      <a:avLst/>
                    </a:prstGeom>
                  </pic:spPr>
                </pic:pic>
              </a:graphicData>
            </a:graphic>
          </wp:inline>
        </w:drawing>
      </w:r>
    </w:p>
    <w:p w14:paraId="4E7B354D"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12. Controls page explicitly identifies the absence of a physical controller. No request was submitted during review.</w:t>
      </w:r>
    </w:p>
    <w:p w14:paraId="67B8BA3D" w14:textId="77777777" w:rsidR="007E75D0" w:rsidRPr="00605184" w:rsidRDefault="00434446" w:rsidP="00DA318B">
      <w:pPr>
        <w:keepNext/>
        <w:spacing w:line="276" w:lineRule="auto"/>
        <w:jc w:val="center"/>
        <w:rPr>
          <w:rFonts w:ascii="Times New Roman" w:hAnsi="Times New Roman" w:cs="Times New Roman"/>
          <w:color w:val="auto"/>
          <w:sz w:val="24"/>
          <w:szCs w:val="24"/>
        </w:rPr>
      </w:pPr>
      <w:r w:rsidRPr="00605184">
        <w:rPr>
          <w:rFonts w:ascii="Times New Roman" w:hAnsi="Times New Roman" w:cs="Times New Roman"/>
          <w:noProof/>
          <w:color w:val="auto"/>
          <w:sz w:val="24"/>
          <w:szCs w:val="24"/>
        </w:rPr>
        <w:drawing>
          <wp:inline distT="0" distB="0" distL="0" distR="0" wp14:anchorId="389D3F7B" wp14:editId="03992CE0">
            <wp:extent cx="5273497" cy="3383280"/>
            <wp:effectExtent l="0" t="0" r="0" b="0"/>
            <wp:docPr id="10" name="Picture 10" descr="Figure 11. Data page with repository filters, timestamps, provenance fields and CSV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png"/>
                    <pic:cNvPicPr/>
                  </pic:nvPicPr>
                  <pic:blipFill>
                    <a:blip r:embed="rId20"/>
                    <a:stretch>
                      <a:fillRect/>
                    </a:stretch>
                  </pic:blipFill>
                  <pic:spPr>
                    <a:xfrm>
                      <a:off x="0" y="0"/>
                      <a:ext cx="5273497" cy="3383280"/>
                    </a:xfrm>
                    <a:prstGeom prst="rect">
                      <a:avLst/>
                    </a:prstGeom>
                  </pic:spPr>
                </pic:pic>
              </a:graphicData>
            </a:graphic>
          </wp:inline>
        </w:drawing>
      </w:r>
    </w:p>
    <w:p w14:paraId="34CDAC40" w14:textId="77777777" w:rsidR="007E75D0" w:rsidRPr="00605184" w:rsidRDefault="00434446" w:rsidP="00DA318B">
      <w:pPr>
        <w:pStyle w:val="Evidence"/>
        <w:keepLines/>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Figure 13. Data page with repository filters, timestamps, provenance fields and CSV export.</w:t>
      </w:r>
    </w:p>
    <w:p w14:paraId="5155D0EA" w14:textId="77777777" w:rsidR="007E75D0" w:rsidRPr="00605184" w:rsidRDefault="00434446" w:rsidP="00DA318B">
      <w:pPr>
        <w:pStyle w:val="Evidence"/>
        <w:spacing w:line="276" w:lineRule="auto"/>
        <w:rPr>
          <w:rFonts w:ascii="Times New Roman" w:hAnsi="Times New Roman" w:cs="Times New Roman"/>
          <w:color w:val="auto"/>
          <w:sz w:val="24"/>
          <w:szCs w:val="24"/>
        </w:rPr>
      </w:pPr>
      <w:r w:rsidRPr="00605184">
        <w:rPr>
          <w:rFonts w:ascii="Times New Roman" w:hAnsi="Times New Roman" w:cs="Times New Roman"/>
          <w:color w:val="auto"/>
          <w:sz w:val="24"/>
          <w:szCs w:val="24"/>
        </w:rPr>
        <w:t>Evidence files: outputs/current-application/. Verification: tests/test_chart_review.py and the complete 26-test suite. The pre-edit report is preserved under tmp/finalProject-before-chart-review-20260922.docx.</w:t>
      </w:r>
    </w:p>
    <w:sectPr w:rsidR="007E75D0" w:rsidRPr="00605184" w:rsidSect="00D56DF0">
      <w:headerReference w:type="default" r:id="rId21"/>
      <w:footerReference w:type="default" r:id="rId22"/>
      <w:pgSz w:w="12240" w:h="15840"/>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57213" w14:textId="77777777" w:rsidR="00BC0CAA" w:rsidRDefault="00BC0CAA">
      <w:pPr>
        <w:spacing w:after="0" w:line="240" w:lineRule="auto"/>
      </w:pPr>
      <w:r>
        <w:separator/>
      </w:r>
    </w:p>
  </w:endnote>
  <w:endnote w:type="continuationSeparator" w:id="0">
    <w:p w14:paraId="5A0E43D4" w14:textId="77777777" w:rsidR="00BC0CAA" w:rsidRDefault="00BC0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9EBA6" w14:textId="4AAAA0A9" w:rsidR="00CE753A" w:rsidRDefault="00A12F53">
    <w:pPr>
      <w:pStyle w:val="Evidence"/>
      <w:jc w:val="right"/>
    </w:pPr>
    <w:r>
      <w:t xml:space="preserve">Review: 22 September 2026  |  </w:t>
    </w:r>
    <w:r w:rsidR="00F155F4">
      <w:rPr>
        <w:noProof/>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26B4E" w14:textId="77777777" w:rsidR="00BC0CAA" w:rsidRDefault="00BC0CAA">
      <w:pPr>
        <w:spacing w:after="0" w:line="240" w:lineRule="auto"/>
      </w:pPr>
      <w:r>
        <w:separator/>
      </w:r>
    </w:p>
  </w:footnote>
  <w:footnote w:type="continuationSeparator" w:id="0">
    <w:p w14:paraId="7C2935BD" w14:textId="77777777" w:rsidR="00BC0CAA" w:rsidRDefault="00BC0C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14EFD" w14:textId="77777777" w:rsidR="00CE753A" w:rsidRPr="003174A4" w:rsidRDefault="00A12F53">
    <w:pPr>
      <w:pStyle w:val="Evidence"/>
      <w:rPr>
        <w:rFonts w:ascii="Times New Roman" w:hAnsi="Times New Roman" w:cs="Times New Roman"/>
        <w:szCs w:val="18"/>
      </w:rPr>
    </w:pPr>
    <w:r w:rsidRPr="003174A4">
      <w:rPr>
        <w:rFonts w:ascii="Times New Roman" w:hAnsi="Times New Roman" w:cs="Times New Roman"/>
        <w:szCs w:val="18"/>
      </w:rPr>
      <w:t>GREENHOUSEWATCH  |  CTEC 651  |  PROJECT DELIVERY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1315026">
    <w:abstractNumId w:val="8"/>
  </w:num>
  <w:num w:numId="2" w16cid:durableId="851189039">
    <w:abstractNumId w:val="6"/>
  </w:num>
  <w:num w:numId="3" w16cid:durableId="1877235667">
    <w:abstractNumId w:val="5"/>
  </w:num>
  <w:num w:numId="4" w16cid:durableId="2129735873">
    <w:abstractNumId w:val="4"/>
  </w:num>
  <w:num w:numId="5" w16cid:durableId="1681732275">
    <w:abstractNumId w:val="7"/>
  </w:num>
  <w:num w:numId="6" w16cid:durableId="1986471362">
    <w:abstractNumId w:val="3"/>
  </w:num>
  <w:num w:numId="7" w16cid:durableId="1607418720">
    <w:abstractNumId w:val="2"/>
  </w:num>
  <w:num w:numId="8" w16cid:durableId="1612320200">
    <w:abstractNumId w:val="1"/>
  </w:num>
  <w:num w:numId="9" w16cid:durableId="790781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443"/>
    <w:rsid w:val="00034616"/>
    <w:rsid w:val="00042F0A"/>
    <w:rsid w:val="0006063C"/>
    <w:rsid w:val="0015074B"/>
    <w:rsid w:val="001C0179"/>
    <w:rsid w:val="002579CE"/>
    <w:rsid w:val="0029639D"/>
    <w:rsid w:val="003174A4"/>
    <w:rsid w:val="00326F90"/>
    <w:rsid w:val="00434446"/>
    <w:rsid w:val="004816E1"/>
    <w:rsid w:val="00605184"/>
    <w:rsid w:val="006A1002"/>
    <w:rsid w:val="006A5E01"/>
    <w:rsid w:val="00757CE2"/>
    <w:rsid w:val="00794AF0"/>
    <w:rsid w:val="007E75D0"/>
    <w:rsid w:val="00980F88"/>
    <w:rsid w:val="00A12F53"/>
    <w:rsid w:val="00A37811"/>
    <w:rsid w:val="00AA1D8D"/>
    <w:rsid w:val="00B47730"/>
    <w:rsid w:val="00BC0CAA"/>
    <w:rsid w:val="00C03DEA"/>
    <w:rsid w:val="00CB0664"/>
    <w:rsid w:val="00CE753A"/>
    <w:rsid w:val="00D30233"/>
    <w:rsid w:val="00D538C2"/>
    <w:rsid w:val="00D56DF0"/>
    <w:rsid w:val="00DA318B"/>
    <w:rsid w:val="00E667FE"/>
    <w:rsid w:val="00F155F4"/>
    <w:rsid w:val="00FC693F"/>
    <w:rsid w:val="00FD3687"/>
    <w:rsid w:val="00FE6A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2DA82E0-0732-4C01-A5C2-03383D90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
    <w:name w:val="Evidence"/>
    <w:basedOn w:val="Normal"/>
    <w:pPr>
      <w:spacing w:before="80" w:after="80"/>
    </w:pPr>
    <w:rPr>
      <w:sz w:val="18"/>
    </w:rPr>
  </w:style>
  <w:style w:type="paragraph" w:customStyle="1" w:styleId="Code">
    <w:name w:val="Code"/>
    <w:basedOn w:val="Normal"/>
    <w:pPr>
      <w:spacing w:after="80" w:line="240" w:lineRule="auto"/>
    </w:pPr>
    <w:rPr>
      <w:rFonts w:ascii="Consolas" w:hAnsi="Consolas"/>
      <w:sz w:val="16"/>
    </w:rPr>
  </w:style>
  <w:style w:type="paragraph" w:customStyle="1" w:styleId="Tabletext">
    <w:name w:val="Table text"/>
    <w:basedOn w:val="Normal"/>
    <w:pPr>
      <w:spacing w:after="0"/>
    </w:pPr>
    <w:rPr>
      <w:sz w:val="18"/>
    </w:rPr>
  </w:style>
  <w:style w:type="character" w:customStyle="1" w:styleId="NoSpacingChar">
    <w:name w:val="No Spacing Char"/>
    <w:basedOn w:val="DefaultParagraphFont"/>
    <w:link w:val="NoSpacing"/>
    <w:uiPriority w:val="1"/>
    <w:rsid w:val="00D56D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22</Pages>
  <Words>3946</Words>
  <Characters>22497</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GreenHouseWatch - First Delivery and Application Review</dc:title>
  <dc:subject>CTEC 651 Digital Repository Project 1</dc:subject>
  <dc:creator>IPMC BIT</dc:creator>
  <cp:keywords/>
  <dc:description>generated by python-docx</dc:description>
  <cp:lastModifiedBy>Jerry Godwin Diabor</cp:lastModifiedBy>
  <cp:revision>20</cp:revision>
  <dcterms:created xsi:type="dcterms:W3CDTF">2013-12-23T23:15:00Z</dcterms:created>
  <dcterms:modified xsi:type="dcterms:W3CDTF">2026-09-29T14:56:00Z</dcterms:modified>
  <cp:category/>
</cp:coreProperties>
</file>