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426D3" w14:textId="77777777" w:rsidR="00B503E2" w:rsidRPr="000029CA" w:rsidRDefault="00000000" w:rsidP="000029CA">
      <w:pPr>
        <w:pStyle w:val="Ttulo1"/>
        <w:jc w:val="center"/>
        <w:rPr>
          <w:rFonts w:ascii="Comic Sans MS" w:hAnsi="Comic Sans MS" w:cs="Times New Roman (Títulos CS)"/>
          <w:b/>
          <w:color w:val="156082" w:themeColor="accent1"/>
          <w:sz w:val="32"/>
          <w:szCs w:val="32"/>
        </w:rPr>
      </w:pPr>
      <w:bookmarkStart w:id="0" w:name="diagramas-de-sequência-jedi-educa"/>
      <w:r w:rsidRPr="000029CA">
        <w:rPr>
          <w:rFonts w:ascii="Comic Sans MS" w:hAnsi="Comic Sans MS" w:cs="Times New Roman (Títulos CS)"/>
          <w:b/>
          <w:color w:val="156082" w:themeColor="accent1"/>
          <w:sz w:val="32"/>
          <w:szCs w:val="32"/>
        </w:rPr>
        <w:t>Diagramas de Sequência – JEDi Educa</w:t>
      </w:r>
    </w:p>
    <w:p w14:paraId="65922DC3" w14:textId="77777777" w:rsidR="00B503E2" w:rsidRPr="000029CA" w:rsidRDefault="00000000">
      <w:pPr>
        <w:pStyle w:val="FirstParagraph"/>
        <w:rPr>
          <w:rFonts w:ascii="Comic Sans MS" w:hAnsi="Comic Sans MS"/>
          <w:sz w:val="20"/>
          <w:szCs w:val="20"/>
        </w:rPr>
      </w:pPr>
      <w:r w:rsidRPr="000029CA">
        <w:rPr>
          <w:rFonts w:ascii="Comic Sans MS" w:hAnsi="Comic Sans MS"/>
          <w:sz w:val="20"/>
          <w:szCs w:val="20"/>
        </w:rPr>
        <w:t>Este documento apresenta duas sequências centrais do jogo JEDi Educa: avaliação de notícia com acerto e avaliação com erro. Os diagramas utilizam notação Mermaid para facilitar a visualização dentro do repositório.</w:t>
      </w:r>
    </w:p>
    <w:p w14:paraId="33F28C20" w14:textId="77777777" w:rsidR="00B503E2" w:rsidRPr="000029CA" w:rsidRDefault="00000000" w:rsidP="000029CA">
      <w:pPr>
        <w:pStyle w:val="Ttulo1"/>
        <w:jc w:val="center"/>
        <w:rPr>
          <w:rFonts w:ascii="Comic Sans MS" w:hAnsi="Comic Sans MS"/>
          <w:b/>
          <w:bCs/>
          <w:color w:val="156082" w:themeColor="accent1"/>
          <w:sz w:val="28"/>
          <w:szCs w:val="28"/>
        </w:rPr>
      </w:pPr>
      <w:bookmarkStart w:id="1" w:name="Xa0f503170626e4935f9d5fe6fae973486908b4b"/>
      <w:r w:rsidRPr="000029CA">
        <w:rPr>
          <w:rFonts w:ascii="Comic Sans MS" w:hAnsi="Comic Sans MS"/>
          <w:b/>
          <w:bCs/>
          <w:color w:val="156082" w:themeColor="accent1"/>
          <w:sz w:val="28"/>
          <w:szCs w:val="28"/>
        </w:rPr>
        <w:t>Seqüência 1 – Avaliação Correta e Lançamento de Dado</w:t>
      </w:r>
    </w:p>
    <w:p w14:paraId="7AF66BE2" w14:textId="77777777" w:rsidR="00B503E2" w:rsidRPr="000029CA" w:rsidRDefault="00000000">
      <w:pPr>
        <w:pStyle w:val="FirstParagraph"/>
        <w:rPr>
          <w:rFonts w:ascii="Comic Sans MS" w:hAnsi="Comic Sans MS"/>
        </w:rPr>
      </w:pPr>
      <w:r w:rsidRPr="000029CA">
        <w:rPr>
          <w:rFonts w:ascii="Comic Sans MS" w:hAnsi="Comic Sans MS"/>
          <w:noProof/>
        </w:rPr>
        <w:drawing>
          <wp:inline distT="0" distB="0" distL="0" distR="0" wp14:anchorId="6BC68120" wp14:editId="395492CD">
            <wp:extent cx="5334000" cy="4272642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mermaid-images/2d6ef021b09801e6f818af8758174fdf6dd3fb88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2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95A926" w14:textId="77777777" w:rsidR="00B503E2" w:rsidRPr="000029CA" w:rsidRDefault="00000000" w:rsidP="000029CA">
      <w:pPr>
        <w:pStyle w:val="Ttulo1"/>
        <w:jc w:val="center"/>
        <w:rPr>
          <w:rFonts w:ascii="Comic Sans MS" w:hAnsi="Comic Sans MS"/>
          <w:b/>
          <w:bCs/>
          <w:color w:val="156082" w:themeColor="accent1"/>
          <w:sz w:val="28"/>
          <w:szCs w:val="28"/>
        </w:rPr>
      </w:pPr>
      <w:bookmarkStart w:id="2" w:name="X80479e9f8bd22a1e94a6a0574fc7a748570152f"/>
      <w:bookmarkEnd w:id="1"/>
      <w:r w:rsidRPr="000029CA">
        <w:rPr>
          <w:rFonts w:ascii="Comic Sans MS" w:hAnsi="Comic Sans MS"/>
          <w:b/>
          <w:bCs/>
          <w:color w:val="156082" w:themeColor="accent1"/>
          <w:sz w:val="28"/>
          <w:szCs w:val="28"/>
        </w:rPr>
        <w:lastRenderedPageBreak/>
        <w:t>Seqüência 2 – Avaliação Incorreta e Explicação</w:t>
      </w:r>
    </w:p>
    <w:p w14:paraId="3A86EDF2" w14:textId="77777777" w:rsidR="00B503E2" w:rsidRPr="000029CA" w:rsidRDefault="00000000">
      <w:pPr>
        <w:pStyle w:val="FirstParagraph"/>
        <w:rPr>
          <w:rFonts w:ascii="Comic Sans MS" w:hAnsi="Comic Sans MS"/>
        </w:rPr>
      </w:pPr>
      <w:r w:rsidRPr="000029CA">
        <w:rPr>
          <w:rFonts w:ascii="Comic Sans MS" w:hAnsi="Comic Sans MS"/>
          <w:noProof/>
        </w:rPr>
        <w:drawing>
          <wp:inline distT="0" distB="0" distL="0" distR="0" wp14:anchorId="7C9084C8" wp14:editId="4F42E358">
            <wp:extent cx="5334000" cy="3231696"/>
            <wp:effectExtent l="0" t="0" r="0" b="0"/>
            <wp:docPr id="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mermaid-images/25e2e7ed60e9fd5b6f4f68a93f953c99a3c6c008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1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634044" w14:textId="77777777" w:rsidR="00B503E2" w:rsidRPr="000029CA" w:rsidRDefault="00000000" w:rsidP="000029CA">
      <w:pPr>
        <w:pStyle w:val="Ttulo1"/>
        <w:jc w:val="center"/>
        <w:rPr>
          <w:rFonts w:ascii="Comic Sans MS" w:hAnsi="Comic Sans MS"/>
          <w:b/>
          <w:bCs/>
          <w:color w:val="156082" w:themeColor="accent1"/>
          <w:sz w:val="28"/>
          <w:szCs w:val="28"/>
        </w:rPr>
      </w:pPr>
      <w:bookmarkStart w:id="3" w:name="notas-complementares"/>
      <w:bookmarkEnd w:id="2"/>
      <w:r w:rsidRPr="000029CA">
        <w:rPr>
          <w:rFonts w:ascii="Comic Sans MS" w:hAnsi="Comic Sans MS"/>
          <w:b/>
          <w:bCs/>
          <w:color w:val="156082" w:themeColor="accent1"/>
          <w:sz w:val="28"/>
          <w:szCs w:val="28"/>
        </w:rPr>
        <w:t>Notas Complementares</w:t>
      </w:r>
    </w:p>
    <w:p w14:paraId="2BA56B5D" w14:textId="77777777" w:rsidR="00B503E2" w:rsidRPr="000029CA" w:rsidRDefault="00000000" w:rsidP="000029CA">
      <w:pPr>
        <w:pStyle w:val="Compact"/>
        <w:numPr>
          <w:ilvl w:val="0"/>
          <w:numId w:val="3"/>
        </w:numPr>
        <w:rPr>
          <w:rFonts w:ascii="Comic Sans MS" w:hAnsi="Comic Sans MS"/>
          <w:sz w:val="20"/>
          <w:szCs w:val="20"/>
        </w:rPr>
      </w:pPr>
      <w:r w:rsidRPr="000029CA">
        <w:rPr>
          <w:rFonts w:ascii="Comic Sans MS" w:hAnsi="Comic Sans MS"/>
          <w:sz w:val="20"/>
          <w:szCs w:val="20"/>
        </w:rPr>
        <w:t>Os diagramas focam no fluxo lógico. Efeitos visuais (zoom, animações) foram simplificados para clareza.</w:t>
      </w:r>
    </w:p>
    <w:p w14:paraId="04148F87" w14:textId="77777777" w:rsidR="00B503E2" w:rsidRPr="000029CA" w:rsidRDefault="00000000" w:rsidP="000029CA">
      <w:pPr>
        <w:pStyle w:val="Compact"/>
        <w:numPr>
          <w:ilvl w:val="0"/>
          <w:numId w:val="3"/>
        </w:numPr>
        <w:rPr>
          <w:rFonts w:ascii="Comic Sans MS" w:hAnsi="Comic Sans MS"/>
          <w:sz w:val="20"/>
          <w:szCs w:val="20"/>
        </w:rPr>
      </w:pPr>
      <w:r w:rsidRPr="000029CA">
        <w:rPr>
          <w:rFonts w:ascii="Comic Sans MS" w:hAnsi="Comic Sans MS"/>
          <w:sz w:val="20"/>
          <w:szCs w:val="20"/>
        </w:rPr>
        <w:t xml:space="preserve">O </w:t>
      </w:r>
      <w:r w:rsidRPr="000029CA">
        <w:rPr>
          <w:rStyle w:val="VerbatimChar"/>
          <w:rFonts w:ascii="Comic Sans MS" w:hAnsi="Comic Sans MS"/>
          <w:sz w:val="20"/>
          <w:szCs w:val="20"/>
        </w:rPr>
        <w:t>PlayerManager</w:t>
      </w:r>
      <w:r w:rsidRPr="000029CA">
        <w:rPr>
          <w:rFonts w:ascii="Comic Sans MS" w:hAnsi="Comic Sans MS"/>
          <w:sz w:val="20"/>
          <w:szCs w:val="20"/>
        </w:rPr>
        <w:t xml:space="preserve"> mantém controle de turnos e posições; suas interações foram sintetizadas nos diagramas como chamadas diretas.</w:t>
      </w:r>
    </w:p>
    <w:p w14:paraId="23D2DF20" w14:textId="77777777" w:rsidR="00B503E2" w:rsidRPr="000029CA" w:rsidRDefault="00000000" w:rsidP="000029CA">
      <w:pPr>
        <w:pStyle w:val="Compact"/>
        <w:numPr>
          <w:ilvl w:val="0"/>
          <w:numId w:val="3"/>
        </w:numPr>
        <w:rPr>
          <w:rFonts w:ascii="Comic Sans MS" w:hAnsi="Comic Sans MS"/>
          <w:sz w:val="20"/>
          <w:szCs w:val="20"/>
        </w:rPr>
      </w:pPr>
      <w:r w:rsidRPr="000029CA">
        <w:rPr>
          <w:rFonts w:ascii="Comic Sans MS" w:hAnsi="Comic Sans MS"/>
          <w:sz w:val="20"/>
          <w:szCs w:val="20"/>
        </w:rPr>
        <w:t xml:space="preserve">Serviços externos (News, Rules, LLM, Speech) estão desacoplados via </w:t>
      </w:r>
      <w:r w:rsidRPr="000029CA">
        <w:rPr>
          <w:rStyle w:val="VerbatimChar"/>
          <w:rFonts w:ascii="Comic Sans MS" w:hAnsi="Comic Sans MS"/>
          <w:sz w:val="20"/>
          <w:szCs w:val="20"/>
        </w:rPr>
        <w:t>apiService</w:t>
      </w:r>
      <w:r w:rsidRPr="000029CA">
        <w:rPr>
          <w:rFonts w:ascii="Comic Sans MS" w:hAnsi="Comic Sans MS"/>
          <w:sz w:val="20"/>
          <w:szCs w:val="20"/>
        </w:rPr>
        <w:t xml:space="preserve">, </w:t>
      </w:r>
      <w:r w:rsidRPr="000029CA">
        <w:rPr>
          <w:rStyle w:val="VerbatimChar"/>
          <w:rFonts w:ascii="Comic Sans MS" w:hAnsi="Comic Sans MS"/>
          <w:sz w:val="20"/>
          <w:szCs w:val="20"/>
        </w:rPr>
        <w:t>llmService</w:t>
      </w:r>
      <w:r w:rsidRPr="000029CA">
        <w:rPr>
          <w:rFonts w:ascii="Comic Sans MS" w:hAnsi="Comic Sans MS"/>
          <w:sz w:val="20"/>
          <w:szCs w:val="20"/>
        </w:rPr>
        <w:t xml:space="preserve"> e </w:t>
      </w:r>
      <w:r w:rsidRPr="000029CA">
        <w:rPr>
          <w:rStyle w:val="VerbatimChar"/>
          <w:rFonts w:ascii="Comic Sans MS" w:hAnsi="Comic Sans MS"/>
          <w:sz w:val="20"/>
          <w:szCs w:val="20"/>
        </w:rPr>
        <w:t>speechService</w:t>
      </w:r>
      <w:r w:rsidRPr="000029CA">
        <w:rPr>
          <w:rFonts w:ascii="Comic Sans MS" w:hAnsi="Comic Sans MS"/>
          <w:sz w:val="20"/>
          <w:szCs w:val="20"/>
        </w:rPr>
        <w:t>. Cada chamada inclui tratamento de erros e fallback na implementação real.</w:t>
      </w:r>
      <w:bookmarkEnd w:id="0"/>
      <w:bookmarkEnd w:id="3"/>
    </w:p>
    <w:sectPr w:rsidR="00B503E2" w:rsidRPr="000029CA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Times New Roman (Títulos CS)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C4AAC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FFA78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104177A"/>
    <w:multiLevelType w:val="multilevel"/>
    <w:tmpl w:val="C58E8D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21729147">
    <w:abstractNumId w:val="0"/>
  </w:num>
  <w:num w:numId="2" w16cid:durableId="721900725">
    <w:abstractNumId w:val="1"/>
  </w:num>
  <w:num w:numId="3" w16cid:durableId="1492404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03E2"/>
    <w:rsid w:val="000029CA"/>
    <w:rsid w:val="003F713C"/>
    <w:rsid w:val="00B50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F95A72"/>
  <w15:docId w15:val="{D285C89E-A6B8-F647-AC0F-7C89833C6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123</Words>
  <Characters>665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Sérgio Pacheco</cp:lastModifiedBy>
  <cp:revision>2</cp:revision>
  <dcterms:created xsi:type="dcterms:W3CDTF">2025-10-30T18:32:00Z</dcterms:created>
  <dcterms:modified xsi:type="dcterms:W3CDTF">2025-10-30T18:38:00Z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heme">
    <vt:lpwstr>default</vt:lpwstr>
  </property>
  <property fmtid="{D5CDD505-2E9C-101B-9397-08002B2CF9AE}" pid="3" name="themeVariables">
    <vt:lpwstr/>
  </property>
</Properties>
</file>