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b/>
          <w:bCs/>
          <w:color w:val="0F1F3D"/>
          <w:sz w:val="40"/>
          <w:szCs w:val="40"/>
        </w:rPr>
        <w:t xml:space="preserve">Customer Success Report</w:t>
      </w:r>
    </w:p>
    <w:p>
      <w:pPr>
        <w:spacing w:after="200" w:before="0"/>
      </w:pPr>
      <w:r>
        <w:rPr>
          <w:rFonts w:ascii="Arial" w:cs="Arial" w:eastAsia="Arial" w:hAnsi="Arial"/>
          <w:color w:val="8896A8"/>
          <w:sz w:val="19"/>
          <w:szCs w:val="19"/>
        </w:rPr>
        <w:t xml:space="preserve">Customer Success  ·  Confidential - Client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1D9E75" w:sz="8"/>
              <w:right w:val="none" w:color="FFFFFF" w:sz="0"/>
            </w:tcBorders>
            <w:shd w:fill="FCE8E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221F"/>
                <w:sz w:val="16"/>
                <w:szCs w:val="16"/>
              </w:rPr>
              <w:t xml:space="preserve">SENSITIVITY: CONFIDENTIAL - CLIENT DATA — This document is protected by Microsoft Purview Information Protection. Unauthorized distribution is prohibited.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Period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Q2 FY2026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NPS Score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67 (+4 vs Q1)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CSAT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4.6 / 5.0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Churn Rate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1.8% (vs 2.1% target)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Expansion Revenue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$8.2M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Customers at Risk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14 accounts (flagged)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EBRs Completed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7F8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312 of 340 scheduled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1F3D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CS Leadership, Sales Leadership, Executive Team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This report contains customer health data, usage metrics, and account-level detail. Distribution is restricted to authorized leadership only. Do not share with customers or external parties.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Top drivers of positive NPS this quarter: product stability improvements, faster support response times, and expanded onboarding resources. Top detractors: feature request backlog and pricing transparency.</w:t>
      </w:r>
    </w:p>
    <w:p>
      <w:pPr>
        <w:spacing w:after="80" w:before="80"/>
      </w:pPr>
      <w:r>
        <w:rPr>
          <w:rFonts w:ascii="Arial" w:cs="Arial" w:eastAsia="Arial" w:hAnsi="Arial"/>
          <w:color w:val="4A5568"/>
          <w:sz w:val="19"/>
          <w:szCs w:val="19"/>
        </w:rPr>
        <w:t xml:space="preserve">The 14 at-risk accounts have been assigned to Senior CSMs and escalation plans are in place. Executive sponsorship has been engaged for 6 of the 14 accounts.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2026-05-08T17:45:34.034Z</dcterms:created>
  <dcterms:modified xsi:type="dcterms:W3CDTF">2026-05-08T17:45:34.034Z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