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Arial" w:cs="Arial" w:eastAsia="Arial" w:hAnsi="Arial"/>
          <w:b/>
          <w:bCs/>
          <w:color w:val="0F1F3D"/>
          <w:sz w:val="40"/>
          <w:szCs w:val="40"/>
        </w:rPr>
        <w:t xml:space="preserve">Employee Handbook 2025</w:t>
      </w:r>
    </w:p>
    <w:p>
      <w:pPr>
        <w:spacing w:after="200" w:before="0"/>
      </w:pPr>
      <w:r>
        <w:rPr>
          <w:rFonts w:ascii="Arial" w:cs="Arial" w:eastAsia="Arial" w:hAnsi="Arial"/>
          <w:color w:val="8896A8"/>
          <w:sz w:val="19"/>
          <w:szCs w:val="19"/>
        </w:rPr>
        <w:t xml:space="preserve">Human Resources  ·  Internal Use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D9E75" w:sz="8"/>
              <w:right w:val="none" w:color="FFFFFF" w:sz="0"/>
            </w:tcBorders>
            <w:shd w:fill="FCE8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221F"/>
                <w:sz w:val="16"/>
                <w:szCs w:val="16"/>
              </w:rPr>
              <w:t xml:space="preserve">SENSITIVITY: INTERNAL USE ONLY — This document is protected by Microsoft Purview Information Protection. Unauthorized distribution is prohibited.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18"/>
                <w:szCs w:val="18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2025.2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January 1, 2025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18"/>
                <w:szCs w:val="18"/>
              </w:rPr>
              <w:t xml:space="preserve">Last Revised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March 15, 2025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18"/>
                <w:szCs w:val="18"/>
              </w:rPr>
              <w:t xml:space="preserve">Scope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All full-time and part-time employees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18"/>
                <w:szCs w:val="18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Chief People Officer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January 2026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18"/>
                <w:szCs w:val="18"/>
              </w:rPr>
              <w:t xml:space="preserve">Distribution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Internal only - not for external distribution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This handbook applies to all employees of the organization and supersedes all prior versions. Employees are expected to review and acknowledge receipt annually.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Key policies covered include: Code of Conduct, Equal Employment Opportunity, Anti-Harassment and Anti-Discrimination, Remote Work, Data Security and Acceptable Use, Benefits and Leave, Performance Management, and Separation.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For questions about any policy contained in this handbook, contact your HR Business Partner or the People Operations team.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2026-05-08T17:45:33.905Z</dcterms:created>
  <dcterms:modified xsi:type="dcterms:W3CDTF">2026-05-08T17:45:33.905Z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