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0F1F3D"/>
          <w:sz w:val="40"/>
          <w:szCs w:val="40"/>
        </w:rPr>
        <w:t xml:space="preserve">Q2 Financial Summary</w:t>
      </w:r>
    </w:p>
    <w:p>
      <w:pPr>
        <w:spacing w:after="200" w:before="0"/>
      </w:pPr>
      <w:r>
        <w:rPr>
          <w:rFonts w:ascii="Arial" w:cs="Arial" w:eastAsia="Arial" w:hAnsi="Arial"/>
          <w:color w:val="8896A8"/>
          <w:sz w:val="19"/>
          <w:szCs w:val="19"/>
        </w:rPr>
        <w:t xml:space="preserve">Finance  ·  Confidential - Finance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D9E75" w:sz="8"/>
              <w:right w:val="none" w:color="FFFFFF" w:sz="0"/>
            </w:tcBorders>
            <w:shd w:fill="FCE8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221F"/>
                <w:sz w:val="16"/>
                <w:szCs w:val="16"/>
              </w:rPr>
              <w:t xml:space="preserve">SENSITIVITY: CONFIDENTIAL - FINANCE — This document is protected by Microsoft Purview Information Protection. Unauthorized distribution is prohibited.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Period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Q2 FY2026 (April - June)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$142.6M (+8.3% YoY)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61.2%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Operating Income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$28.4M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EBITDA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$34.1M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Net Income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$19.7M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Cash &amp; Equivalents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$218.4M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Headcount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1,847 FTE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DRAFT - Pending CFO Review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FP&amp;A Team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Executive Leadership, Board of Directors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This document contains forward-looking financial statements and material non-public information. Distribution is restricted to authorized personnel only.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Q2 performance exceeded plan by 3.1% driven primarily by Enterprise Sales outperformance and stronger-than-expected renewal rates in the mid-market segment. Operating expenses came in 1.4% below plan due to delayed headcount additions in Engineering.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Full P&amp;L, balance sheet, and cash flow statement available in the CFO SharePoint library (restricted access).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2026-05-08T17:45:33.777Z</dcterms:created>
  <dcterms:modified xsi:type="dcterms:W3CDTF">2026-05-08T17:45:33.778Z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