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EAD6F" w14:textId="03B4FDF0"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5453CC28" w14:textId="50D760C7" w:rsidR="00A749AD" w:rsidRPr="00323847" w:rsidRDefault="00A749AD" w:rsidP="00CE2143">
      <w:pPr>
        <w:jc w:val="center"/>
        <w:rPr>
          <w:b/>
          <w:u w:val="single"/>
        </w:rPr>
      </w:pPr>
      <w:r w:rsidRPr="006304B2">
        <w:rPr>
          <w:b/>
          <w:color w:val="FF0000"/>
          <w:u w:val="single"/>
        </w:rPr>
        <w:t>in class</w:t>
      </w:r>
      <w:r>
        <w:rPr>
          <w:b/>
          <w:u w:val="single"/>
        </w:rPr>
        <w:t xml:space="preserve"> </w:t>
      </w:r>
      <w:r w:rsidR="0068743A">
        <w:rPr>
          <w:b/>
          <w:u w:val="single"/>
        </w:rPr>
        <w:t>October 5 and October 7, 2020</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5C1B80A1"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77777777" w:rsidR="00031148" w:rsidRPr="00A718CE" w:rsidRDefault="00031148" w:rsidP="00EA0E05">
      <w:pPr>
        <w:jc w:val="both"/>
        <w:rPr>
          <w:b/>
        </w:rPr>
      </w:pPr>
      <w:r w:rsidRPr="00A718CE">
        <w:rPr>
          <w:b/>
        </w:rPr>
        <w:tab/>
        <w:t xml:space="preserve">a) </w:t>
      </w:r>
      <w:proofErr w:type="spellStart"/>
      <w:r w:rsidRPr="00A718CE">
        <w:rPr>
          <w:b/>
        </w:rPr>
        <w:t>subsetting</w:t>
      </w:r>
      <w:proofErr w:type="spellEnd"/>
      <w:r w:rsidRPr="00A718CE">
        <w:rPr>
          <w:b/>
        </w:rPr>
        <w:t xml:space="preserve">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w:t>
      </w:r>
      <w:proofErr w:type="spellStart"/>
      <w:r w:rsidR="00520186">
        <w:rPr>
          <w:b/>
        </w:rPr>
        <w:t>pjysical</w:t>
      </w:r>
      <w:proofErr w:type="spellEnd"/>
      <w:r w:rsidR="00520186">
        <w:rPr>
          <w:b/>
        </w:rPr>
        <w:t xml:space="preserve">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53BC4CC2" w:rsidR="0034474A" w:rsidRDefault="003147EF" w:rsidP="0034474A">
      <w:pPr>
        <w:jc w:val="both"/>
        <w:rPr>
          <w:b/>
          <w:color w:val="3366FF"/>
        </w:rPr>
      </w:pPr>
      <w:r w:rsidRPr="003147EF">
        <w:rPr>
          <w:b/>
          <w:color w:val="3366FF"/>
        </w:rPr>
        <w:t>ATOC7500_applicationlab3_eigenfaces.ipynb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174191"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0B6E49C8"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2111322F" w14:textId="77D862D5" w:rsidR="006E2FC0" w:rsidRPr="006E2FC0" w:rsidRDefault="006E2FC0" w:rsidP="00093E5F">
      <w:pPr>
        <w:jc w:val="both"/>
        <w:rPr>
          <w:bCs/>
        </w:rPr>
      </w:pPr>
      <w:r>
        <w:rPr>
          <w:b/>
        </w:rPr>
        <w:tab/>
      </w:r>
      <w:r>
        <w:rPr>
          <w:bCs/>
        </w:rPr>
        <w:t xml:space="preserve">The EOFs tell us the different modes of variability faces can take on. The PC tells us the degree to which each individual face “agrees” or “disagrees” with that specific structure. The first two EOFs suggest that the two most important spatial structures of faces are face shape (EOF 1) and hair (EOF 2). </w:t>
      </w:r>
    </w:p>
    <w:p w14:paraId="23DEBFDE" w14:textId="77777777" w:rsidR="00673A20" w:rsidRDefault="00673A20" w:rsidP="00093E5F">
      <w:pPr>
        <w:jc w:val="both"/>
        <w:rPr>
          <w:b/>
        </w:rPr>
      </w:pPr>
    </w:p>
    <w:p w14:paraId="7C9149DD" w14:textId="2E955795"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324DB82F" w14:textId="2BE9297E" w:rsidR="008A5853" w:rsidRPr="008A5853" w:rsidRDefault="008A5853" w:rsidP="00875DBE">
      <w:pPr>
        <w:ind w:firstLine="720"/>
        <w:jc w:val="both"/>
        <w:rPr>
          <w:bCs/>
        </w:rPr>
      </w:pPr>
      <w:r>
        <w:rPr>
          <w:bCs/>
        </w:rPr>
        <w:t xml:space="preserve">Between </w:t>
      </w:r>
      <w:r w:rsidR="00875DBE">
        <w:rPr>
          <w:bCs/>
        </w:rPr>
        <w:t xml:space="preserve">170 and 200 EOFs are needed to reconstruct a face from the database. While some faces look better than others within this range, all of the faces sampled look reasonable within this range. The biggest variable controlling the picture quality </w:t>
      </w:r>
    </w:p>
    <w:p w14:paraId="42FBD439" w14:textId="77777777" w:rsidR="00EE100F" w:rsidRDefault="00EE100F" w:rsidP="00093E5F">
      <w:pPr>
        <w:jc w:val="both"/>
        <w:rPr>
          <w:b/>
        </w:rPr>
      </w:pPr>
    </w:p>
    <w:p w14:paraId="52095E94" w14:textId="251616B8" w:rsidR="00EE100F" w:rsidRPr="00155909" w:rsidRDefault="00EE100F" w:rsidP="00093E5F">
      <w:pPr>
        <w:jc w:val="both"/>
        <w:rPr>
          <w:b/>
        </w:rPr>
      </w:pPr>
      <w:r>
        <w:rPr>
          <w:b/>
        </w:rPr>
        <w:lastRenderedPageBreak/>
        <w:t>3)</w:t>
      </w:r>
      <w:r w:rsidR="00710E28">
        <w:rPr>
          <w:b/>
        </w:rPr>
        <w:t xml:space="preserve"> Food for thought:</w:t>
      </w:r>
      <w:r>
        <w:rPr>
          <w:b/>
        </w:rPr>
        <w:t xml:space="preserve"> The database contains </w:t>
      </w:r>
      <w:r w:rsidR="00B65E1D">
        <w:rPr>
          <w:b/>
        </w:rPr>
        <w:t>75% white men</w:t>
      </w:r>
      <w:r w:rsidR="00A24BFE">
        <w:rPr>
          <w:b/>
        </w:rPr>
        <w:t xml:space="preserve"> (</w:t>
      </w:r>
      <w:hyperlink r:id="rId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28443A09" w:rsidR="0034474A" w:rsidRPr="00875DBE" w:rsidRDefault="00875DBE" w:rsidP="00EA0E05">
      <w:pPr>
        <w:jc w:val="both"/>
        <w:rPr>
          <w:bCs/>
        </w:rPr>
      </w:pPr>
      <w:r>
        <w:rPr>
          <w:bCs/>
        </w:rPr>
        <w:tab/>
        <w:t>The fact that</w:t>
      </w:r>
      <w:r w:rsidR="00D215F2">
        <w:rPr>
          <w:bCs/>
        </w:rPr>
        <w:t xml:space="preserve"> the database is not diverse means that the eigenfaces are not representative facial modes of the entire population, but instead just representative of an individual sample. </w:t>
      </w: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48C81A4" w:rsidR="00A749AD" w:rsidRDefault="00512E25" w:rsidP="00EA0E05">
      <w:pPr>
        <w:jc w:val="both"/>
        <w:rPr>
          <w:b/>
          <w:color w:val="3366FF"/>
        </w:rPr>
      </w:pPr>
      <w:r w:rsidRPr="00512E25">
        <w:rPr>
          <w:b/>
          <w:color w:val="3366FF"/>
        </w:rPr>
        <w:t>ATOC7500_applicationlab3_eof_analysis_cosineweighting_cartopy.ipynb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4C2F7DA8" w:rsidR="00155909" w:rsidRPr="00155909" w:rsidRDefault="00FF1F02" w:rsidP="00EA0E05">
      <w:pPr>
        <w:jc w:val="both"/>
        <w:rPr>
          <w:b/>
        </w:rPr>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w:t>
      </w:r>
      <w:proofErr w:type="spellStart"/>
      <w:r w:rsidR="00193908">
        <w:rPr>
          <w:b/>
        </w:rPr>
        <w:t>Nstar</w:t>
      </w:r>
      <w:proofErr w:type="spellEnd"/>
      <w:r w:rsidR="00193908">
        <w:rPr>
          <w:b/>
        </w:rPr>
        <w:t xml:space="preserve">)?  Can you propose an alternative way to estimate </w:t>
      </w:r>
      <w:proofErr w:type="spellStart"/>
      <w:r w:rsidR="00193908">
        <w:rPr>
          <w:b/>
        </w:rPr>
        <w:t>Nstar</w:t>
      </w:r>
      <w:proofErr w:type="spellEnd"/>
      <w:r w:rsidR="00193908">
        <w:rPr>
          <w:b/>
        </w:rPr>
        <w:t>?</w:t>
      </w:r>
      <w:r w:rsidR="00833EA6">
        <w:rPr>
          <w:b/>
        </w:rPr>
        <w:t xml:space="preserve">  Do you get the same results using </w:t>
      </w:r>
      <w:proofErr w:type="spellStart"/>
      <w:r w:rsidR="00833EA6">
        <w:rPr>
          <w:b/>
        </w:rPr>
        <w:t>eigenanalysis</w:t>
      </w:r>
      <w:proofErr w:type="spellEnd"/>
      <w:r w:rsidR="00833EA6">
        <w:rPr>
          <w:b/>
        </w:rPr>
        <w:t xml:space="preserve"> a</w:t>
      </w:r>
      <w:r w:rsidR="008910F5">
        <w:rPr>
          <w:b/>
        </w:rPr>
        <w:t xml:space="preserve">nd SVD? </w:t>
      </w:r>
      <w:r w:rsidR="00833EA6">
        <w:rPr>
          <w:b/>
        </w:rPr>
        <w:t>If you got a different sign d</w:t>
      </w:r>
      <w:r w:rsidR="008910F5">
        <w:rPr>
          <w:b/>
        </w:rPr>
        <w:t>o you think that is meaningful?</w:t>
      </w:r>
      <w:r w:rsidR="00833EA6">
        <w:rPr>
          <w:b/>
        </w:rPr>
        <w:t>.</w:t>
      </w:r>
    </w:p>
    <w:p w14:paraId="56BFA7B5" w14:textId="1BCC43DE" w:rsidR="00D224D8" w:rsidRDefault="001B205E" w:rsidP="00EA0E05">
      <w:pPr>
        <w:jc w:val="both"/>
      </w:pPr>
      <w:r>
        <w:rPr>
          <w:b/>
          <w:bCs/>
        </w:rPr>
        <w:tab/>
      </w:r>
      <w:r>
        <w:t xml:space="preserve">Both EOFs are different modes of SST variability in the North Pacific, broadly related to the PDO and potentially the Aleutian Low. PCs tell us the degree to which a given month </w:t>
      </w:r>
      <w:r w:rsidR="00D224D8">
        <w:t xml:space="preserve">follows  a given mode of variability or not. Using </w:t>
      </w:r>
      <w:proofErr w:type="spellStart"/>
      <w:r w:rsidR="00D224D8">
        <w:t>eigenanylsis</w:t>
      </w:r>
      <w:proofErr w:type="spellEnd"/>
      <w:r w:rsidR="00D224D8">
        <w:t xml:space="preserve"> vs SVD, we got the same results. In SVD however, the signs of the principle components and the EOFs were switched relative the </w:t>
      </w:r>
      <w:proofErr w:type="spellStart"/>
      <w:r w:rsidR="00D224D8">
        <w:t>eigenalaysis</w:t>
      </w:r>
      <w:proofErr w:type="spellEnd"/>
      <w:r w:rsidR="00D224D8">
        <w:t xml:space="preserve"> results. This however, did not </w:t>
      </w:r>
      <w:r w:rsidR="00D224D8">
        <w:lastRenderedPageBreak/>
        <w:t xml:space="preserve">affect the results, as when the PCs and EOFs are recombined, they are exactly the same. </w:t>
      </w:r>
    </w:p>
    <w:p w14:paraId="31BCD508" w14:textId="00CBAD53" w:rsidR="006A7283" w:rsidRPr="001B205E" w:rsidRDefault="00D224D8" w:rsidP="00EA0E05">
      <w:pPr>
        <w:jc w:val="both"/>
      </w:pPr>
      <w:r>
        <w:tab/>
        <w:t xml:space="preserve">In terms of estimating the effective sample size, there are multiple ways to approach this problem. For one, there is the option of equation to use as you can use either the Leith or Wilks equations, which will give slightly different, but similar results. There is also the consideration of using </w:t>
      </w:r>
      <w:r w:rsidR="004826A0">
        <w:t xml:space="preserve">a uniform autocorrelation for the entire domain, as some areas of the domain might have more red noise than others. One approach could be to calculate the lag one autocorrelation at every grid point, and use the maximum autocorrelation when calculating the effective sample size.  </w:t>
      </w:r>
      <w:r>
        <w:t xml:space="preserve"> </w:t>
      </w:r>
      <w:r w:rsidR="001B205E">
        <w:t xml:space="preserve">                                    </w:t>
      </w:r>
    </w:p>
    <w:p w14:paraId="437793B5" w14:textId="77777777" w:rsidR="001B205E" w:rsidRDefault="001B205E" w:rsidP="00EA0E05">
      <w:pPr>
        <w:jc w:val="both"/>
      </w:pPr>
    </w:p>
    <w:p w14:paraId="26E46041" w14:textId="71BF86FD"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removing the seasonal cycle</w:t>
      </w:r>
      <w:r w:rsidR="00CB604B">
        <w:rPr>
          <w:b/>
        </w:rPr>
        <w:t xml:space="preserve"> have on your analysis?</w:t>
      </w:r>
    </w:p>
    <w:p w14:paraId="0CB0BF92" w14:textId="63AE80F7" w:rsidR="00B2158E" w:rsidRPr="00D03867" w:rsidRDefault="00D03867" w:rsidP="00EA0E05">
      <w:pPr>
        <w:jc w:val="both"/>
        <w:rPr>
          <w:bCs/>
        </w:rPr>
      </w:pPr>
      <w:r>
        <w:rPr>
          <w:b/>
        </w:rPr>
        <w:tab/>
      </w:r>
      <w:r>
        <w:rPr>
          <w:bCs/>
        </w:rPr>
        <w:t xml:space="preserve">Without the seasonal cycle removed, the first EOF clearly shows the seasonal SST, explaining over 80% of total SST variability throughout the domain. As a result, both the EOF and PC magnitudes are larger. Removing the seasonal cycle was thus really useful as it sheds light on additional modes of variability that are less obvious.  </w:t>
      </w:r>
    </w:p>
    <w:p w14:paraId="7E2D45AA" w14:textId="77777777" w:rsidR="00D03867" w:rsidRDefault="00D03867" w:rsidP="00EA0E05">
      <w:pPr>
        <w:jc w:val="both"/>
        <w:rPr>
          <w:b/>
        </w:rPr>
      </w:pPr>
    </w:p>
    <w:p w14:paraId="16B331F8" w14:textId="52A34867"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232E2E4E" w14:textId="61C3A890" w:rsidR="00A00F61" w:rsidRDefault="00AC26CF" w:rsidP="00EA0E05">
      <w:pPr>
        <w:jc w:val="both"/>
      </w:pPr>
      <w:r>
        <w:tab/>
        <w:t xml:space="preserve">With the linear trend removed, the first EOF explains more variance than the EOF with the linear trend, reflected in the magnitude of PC1. The negative SST anomaly region also moves northward in the first EOF. The fact that the first EOF is stronger without the long term warming trend makes sense because the linear trend was uniformly influencing all years, thus muddying the interannual variability, and by extension, modes of variability. </w:t>
      </w:r>
    </w:p>
    <w:p w14:paraId="66939651" w14:textId="77777777" w:rsidR="00AC26CF" w:rsidRDefault="00AC26CF" w:rsidP="00EA0E05">
      <w:pPr>
        <w:jc w:val="both"/>
      </w:pPr>
    </w:p>
    <w:p w14:paraId="10DB8852" w14:textId="2A268656"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22FC6BE8" w14:textId="0A67ABC1" w:rsidR="00AC26CF" w:rsidRPr="00AC26CF" w:rsidRDefault="00AC26CF" w:rsidP="00EA0E05">
      <w:pPr>
        <w:jc w:val="both"/>
        <w:rPr>
          <w:bCs/>
        </w:rPr>
      </w:pPr>
      <w:r>
        <w:rPr>
          <w:bCs/>
        </w:rPr>
        <w:tab/>
        <w:t>Wi</w:t>
      </w:r>
      <w:r w:rsidR="00A53F70">
        <w:rPr>
          <w:bCs/>
        </w:rPr>
        <w:t xml:space="preserve">thout cosine weighting, the PC component and variance explained by each EOF stays roughly the same, but the structure of the EOFs change, with much more weight on the northern parts of the domain. This is because removing the cosine weighting overemphasized variability in the northern parts of the domain. </w:t>
      </w:r>
    </w:p>
    <w:p w14:paraId="18AFA06F" w14:textId="77777777" w:rsidR="000F7F31" w:rsidRDefault="000F7F31" w:rsidP="00EA0E05">
      <w:pPr>
        <w:jc w:val="both"/>
        <w:rPr>
          <w:b/>
        </w:rPr>
      </w:pPr>
    </w:p>
    <w:p w14:paraId="3AC68786" w14:textId="34B07C1D" w:rsidR="000F7F31" w:rsidRDefault="002C03DF" w:rsidP="000F7F31">
      <w:pPr>
        <w:jc w:val="both"/>
        <w:rPr>
          <w:b/>
        </w:rPr>
      </w:pPr>
      <w:r>
        <w:rPr>
          <w:b/>
        </w:rPr>
        <w:t>5</w:t>
      </w:r>
      <w:r w:rsidR="000F7F31">
        <w:rPr>
          <w:b/>
        </w:rPr>
        <w:t xml:space="preserve">) </w:t>
      </w:r>
      <w:r w:rsidR="000F7F31"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000F7F31" w:rsidRPr="00D75EE3">
        <w:rPr>
          <w:b/>
          <w:u w:val="single"/>
        </w:rPr>
        <w:t>.</w:t>
      </w:r>
      <w:r w:rsidR="000F7F31">
        <w:rPr>
          <w:b/>
        </w:rPr>
        <w:t xml:space="preserve">  Discus your results. How do the EOFs and PC change? Was </w:t>
      </w:r>
      <w:r w:rsidR="004519CA">
        <w:rPr>
          <w:b/>
        </w:rPr>
        <w:t>standardizing</w:t>
      </w:r>
      <w:r w:rsidR="000F7F31">
        <w:rPr>
          <w:b/>
        </w:rPr>
        <w:t xml:space="preserve"> the data useful?  What impacts </w:t>
      </w:r>
      <w:r w:rsidR="007C37B6">
        <w:rPr>
          <w:b/>
        </w:rPr>
        <w:t>does</w:t>
      </w:r>
      <w:r w:rsidR="00314393">
        <w:rPr>
          <w:b/>
        </w:rPr>
        <w:t xml:space="preserve"> standardizing the data</w:t>
      </w:r>
      <w:r w:rsidR="00E528BB">
        <w:rPr>
          <w:b/>
        </w:rPr>
        <w:t xml:space="preserve"> have</w:t>
      </w:r>
      <w:r w:rsidR="000F7F31">
        <w:rPr>
          <w:b/>
        </w:rPr>
        <w:t xml:space="preserve"> on your analysis</w:t>
      </w:r>
      <w:r w:rsidR="00A13C71">
        <w:rPr>
          <w:b/>
        </w:rPr>
        <w:t>?</w:t>
      </w:r>
    </w:p>
    <w:p w14:paraId="24AA77E6" w14:textId="49A74A29" w:rsidR="000F7F31" w:rsidRPr="00DA0504" w:rsidRDefault="00DA0504" w:rsidP="00EA0E05">
      <w:pPr>
        <w:jc w:val="both"/>
        <w:rPr>
          <w:bCs/>
        </w:rPr>
      </w:pPr>
      <w:r>
        <w:rPr>
          <w:b/>
        </w:rPr>
        <w:lastRenderedPageBreak/>
        <w:t xml:space="preserve"> </w:t>
      </w:r>
      <w:r>
        <w:rPr>
          <w:bCs/>
        </w:rPr>
        <w:tab/>
        <w:t xml:space="preserve">There is very little difference between EOFs and PCs of standardized vs non-standardized </w:t>
      </w:r>
      <w:r w:rsidR="00174191">
        <w:rPr>
          <w:bCs/>
        </w:rPr>
        <w:t xml:space="preserve">SST fields. This makes sense because all standardizing the dataset does is make the standard deviation equal to 1. This makes a difference when your field is a combination of datasets with very different variances, but with a field like SSTs, where this isn’t a huge variance, there won’t be a huge difference in EOFs and PCs. </w:t>
      </w:r>
    </w:p>
    <w:p w14:paraId="2A1B5D1F" w14:textId="77777777" w:rsidR="00AD4415" w:rsidRDefault="00AD4415" w:rsidP="00EA0E05">
      <w:pPr>
        <w:jc w:val="both"/>
        <w:rPr>
          <w:b/>
        </w:rPr>
      </w:pP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74191"/>
    <w:rsid w:val="00181555"/>
    <w:rsid w:val="00183455"/>
    <w:rsid w:val="00187B8A"/>
    <w:rsid w:val="0019243F"/>
    <w:rsid w:val="00193908"/>
    <w:rsid w:val="00196C93"/>
    <w:rsid w:val="001B205E"/>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73481"/>
    <w:rsid w:val="00274BAD"/>
    <w:rsid w:val="00277AD2"/>
    <w:rsid w:val="002818A1"/>
    <w:rsid w:val="00282E2C"/>
    <w:rsid w:val="0028542B"/>
    <w:rsid w:val="00292C34"/>
    <w:rsid w:val="002938C2"/>
    <w:rsid w:val="00297FA1"/>
    <w:rsid w:val="002A0332"/>
    <w:rsid w:val="002A34D3"/>
    <w:rsid w:val="002A5813"/>
    <w:rsid w:val="002A6B04"/>
    <w:rsid w:val="002C03DF"/>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26A0"/>
    <w:rsid w:val="00482982"/>
    <w:rsid w:val="00484710"/>
    <w:rsid w:val="0049348D"/>
    <w:rsid w:val="00497857"/>
    <w:rsid w:val="004B5828"/>
    <w:rsid w:val="004C0BCF"/>
    <w:rsid w:val="004C4477"/>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6079D"/>
    <w:rsid w:val="00563272"/>
    <w:rsid w:val="005635D3"/>
    <w:rsid w:val="0057397D"/>
    <w:rsid w:val="00576138"/>
    <w:rsid w:val="005779E3"/>
    <w:rsid w:val="00584229"/>
    <w:rsid w:val="00586E11"/>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E2FC0"/>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5DBE"/>
    <w:rsid w:val="008765DF"/>
    <w:rsid w:val="0087694B"/>
    <w:rsid w:val="00886ABD"/>
    <w:rsid w:val="00886CF9"/>
    <w:rsid w:val="00886E3A"/>
    <w:rsid w:val="008910F5"/>
    <w:rsid w:val="00896800"/>
    <w:rsid w:val="0089686D"/>
    <w:rsid w:val="008A3548"/>
    <w:rsid w:val="008A46B8"/>
    <w:rsid w:val="008A5853"/>
    <w:rsid w:val="008B5888"/>
    <w:rsid w:val="008B5FBB"/>
    <w:rsid w:val="008C2ED7"/>
    <w:rsid w:val="008C4943"/>
    <w:rsid w:val="008D1ACA"/>
    <w:rsid w:val="008D5380"/>
    <w:rsid w:val="008D5A53"/>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3F70"/>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C26CF"/>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4EE1"/>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3867"/>
    <w:rsid w:val="00D04F1C"/>
    <w:rsid w:val="00D12D33"/>
    <w:rsid w:val="00D2149D"/>
    <w:rsid w:val="00D215F2"/>
    <w:rsid w:val="00D224D8"/>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3044"/>
    <w:rsid w:val="00D84F59"/>
    <w:rsid w:val="00D906A9"/>
    <w:rsid w:val="00DA0504"/>
    <w:rsid w:val="00DB3E36"/>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Jed Lenetsky</cp:lastModifiedBy>
  <cp:revision>10</cp:revision>
  <dcterms:created xsi:type="dcterms:W3CDTF">2020-10-05T22:49:00Z</dcterms:created>
  <dcterms:modified xsi:type="dcterms:W3CDTF">2020-10-08T01:13:00Z</dcterms:modified>
</cp:coreProperties>
</file>