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Garamond" w:cs="Garamond" w:eastAsia="Garamond" w:hAnsi="Garamond"/>
          <w:b/>
          <w:bCs/>
          <w:color w:val="1A2430"/>
          <w:sz w:val="32"/>
          <w:szCs w:val="32"/>
        </w:rPr>
        <w:t xml:space="preserve">Who Leaves Teaching, and Who Comes Back?</w:t>
      </w:r>
    </w:p>
    <w:p>
      <w:pPr>
        <w:spacing w:after="160"/>
        <w:jc w:val="center"/>
      </w:pPr>
      <w:r>
        <w:rPr>
          <w:rFonts w:ascii="Garamond" w:cs="Garamond" w:eastAsia="Garamond" w:hAnsi="Garamond"/>
          <w:i/>
          <w:iCs/>
          <w:color w:val="5A6572"/>
          <w:sz w:val="23"/>
          <w:szCs w:val="23"/>
        </w:rPr>
        <w:t xml:space="preserve">Measuring teacher attrition across seven countries with harmonized panel data</w:t>
      </w:r>
    </w:p>
    <w:p>
      <w:pPr>
        <w:spacing w:after="140"/>
        <w:jc w:val="center"/>
      </w:pPr>
      <w:r>
        <w:rPr>
          <w:rFonts w:ascii="Garamond" w:cs="Garamond" w:eastAsia="Garamond" w:hAnsi="Garamond"/>
          <w:color w:val="1A2430"/>
          <w:sz w:val="22"/>
          <w:szCs w:val="22"/>
        </w:rPr>
        <w:t xml:space="preserve">José Elías Durán Roa</w:t>
      </w:r>
      <w:r>
        <w:rPr>
          <w:rFonts w:ascii="Garamond" w:cs="Garamond" w:eastAsia="Garamond" w:hAnsi="Garamond"/>
          <w:color w:val="5A6572"/>
          <w:sz w:val="19"/>
          <w:szCs w:val="19"/>
        </w:rPr>
        <w:t xml:space="preserve">      University of Alicante and OECD      July 2026</w:t>
      </w:r>
    </w:p>
    <w:p>
      <w:pPr>
        <w:spacing w:after="90" w:before="240"/>
      </w:pPr>
      <w:r>
        <w:rPr>
          <w:rFonts w:ascii="Garamond" w:cs="Garamond" w:eastAsia="Garamond" w:hAnsi="Garamond"/>
          <w:smallCaps/>
          <w:color w:val="2A5DB0"/>
          <w:spacing w:val="20"/>
          <w:sz w:val="22"/>
          <w:szCs w:val="22"/>
        </w:rPr>
        <w:t xml:space="preserve">1.  Motivation</w:t>
      </w:r>
    </w:p>
    <w:p>
      <w:pPr>
        <w:spacing w:after="70" w:line="300" w:lineRule="auto"/>
        <w:jc w:val="both"/>
      </w:pPr>
      <w:r>
        <w:rPr>
          <w:rFonts w:ascii="Garamond" w:cs="Garamond" w:eastAsia="Garamond" w:hAnsi="Garamond"/>
          <w:color w:val="1A2430"/>
          <w:sz w:val="22"/>
          <w:szCs w:val="22"/>
        </w:rPr>
        <w:t xml:space="preserve">Keeping good teachers in the classroom is a first-order concern for every school system, and the starting point is knowing who leaves and who returns. Measuring teacher attrition, however, is hard, as it requires following the same teachers over time. Most countries now publish an aggregate attrition rate each year from administrative records. What is scarce is everything behind the rate. Person-level records sit in secure enclaves, closed registers or restricted licenses, and the public tables carry no personal characteristics, no destinations and no returns. The one national survey that follows leavers to where they go, the American Teacher Follow-up Survey, has run eight times since 1988, with a nine-year gap before its latest wave, and its recent microdata are available only to licensed institutions in the United States </w:t>
      </w:r>
      <w:r>
        <w:rPr>
          <w:rFonts w:ascii="Garamond" w:cs="Garamond" w:eastAsia="Garamond" w:hAnsi="Garamond"/>
          <w:color w:val="2A5DB0"/>
          <w:sz w:val="22"/>
          <w:szCs w:val="22"/>
        </w:rPr>
        <w:t xml:space="preserve">(Goldring, Taie and Riddles 2014; NCES 2024)</w:t>
      </w:r>
      <w:r>
        <w:rPr>
          <w:rFonts w:ascii="Garamond" w:cs="Garamond" w:eastAsia="Garamond" w:hAnsi="Garamond"/>
          <w:color w:val="1A2430"/>
          <w:sz w:val="22"/>
          <w:szCs w:val="22"/>
        </w:rPr>
        <w:t xml:space="preserve">. The official reports built on these instruments are therefore the ceiling of what is known. Far deeper characterizations of who leaves, and of who comes back, would be possible with data that are open and comparable.</w:t>
      </w:r>
    </w:p>
    <w:p>
      <w:pPr>
        <w:spacing w:after="70" w:line="300" w:lineRule="auto"/>
        <w:jc w:val="both"/>
      </w:pPr>
      <w:r>
        <w:rPr>
          <w:rFonts w:ascii="Garamond" w:cs="Garamond" w:eastAsia="Garamond" w:hAnsi="Garamond"/>
          <w:color w:val="1A2430"/>
          <w:sz w:val="22"/>
          <w:szCs w:val="22"/>
        </w:rPr>
        <w:t xml:space="preserve">Research on this margin is essential, because teacher shortages are a real concern in many school systems </w:t>
      </w:r>
      <w:r>
        <w:rPr>
          <w:rFonts w:ascii="Garamond" w:cs="Garamond" w:eastAsia="Garamond" w:hAnsi="Garamond"/>
          <w:color w:val="2A5DB0"/>
          <w:sz w:val="22"/>
          <w:szCs w:val="22"/>
        </w:rPr>
        <w:t xml:space="preserve">(OECD 2025)</w:t>
      </w:r>
      <w:r>
        <w:rPr>
          <w:rFonts w:ascii="Garamond" w:cs="Garamond" w:eastAsia="Garamond" w:hAnsi="Garamond"/>
          <w:color w:val="1A2430"/>
          <w:sz w:val="22"/>
          <w:szCs w:val="22"/>
        </w:rPr>
        <w:t xml:space="preserve">, and the numbers in the debate cannot be compared across borders. Annual attrition figures range from about two percent in South Korea to about nine percent in England, but the published statistics count different things. England counts exits from state-funded schools, the Netherlands exits from the education sector, Korea departures before the statutory retirement age, and the United States exits from the profession itself. Longitudinal household surveys that exist in several countries at once are a unique and largely unused opportunity. They follow the same people for decades, they record the family, income and health context that administrative data never see, and they allow rich detail on the profile of the leaver and the returner. A serious international debate on teacher attrition needs the insight they can provide.</w:t>
      </w:r>
    </w:p>
    <w:p>
      <w:pPr>
        <w:spacing w:after="90" w:before="240"/>
      </w:pPr>
      <w:r>
        <w:rPr>
          <w:rFonts w:ascii="Garamond" w:cs="Garamond" w:eastAsia="Garamond" w:hAnsi="Garamond"/>
          <w:smallCaps/>
          <w:color w:val="2A5DB0"/>
          <w:spacing w:val="20"/>
          <w:sz w:val="22"/>
          <w:szCs w:val="22"/>
        </w:rPr>
        <w:t xml:space="preserve">2.  Objectives</w:t>
      </w:r>
    </w:p>
    <w:p>
      <w:pPr>
        <w:spacing w:after="70" w:line="300" w:lineRule="auto"/>
        <w:jc w:val="both"/>
      </w:pPr>
      <w:r>
        <w:rPr>
          <w:rFonts w:ascii="Garamond" w:cs="Garamond" w:eastAsia="Garamond" w:hAnsi="Garamond"/>
          <w:color w:val="1A2430"/>
          <w:sz w:val="22"/>
          <w:szCs w:val="22"/>
        </w:rPr>
        <w:t xml:space="preserve">The project has three objectives.</w:t>
      </w:r>
    </w:p>
    <w:p>
      <w:pPr>
        <w:spacing w:after="50" w:line="300" w:lineRule="auto"/>
        <w:ind w:left="400" w:hanging="280"/>
        <w:jc w:val="both"/>
      </w:pPr>
      <w:r>
        <w:rPr>
          <w:rFonts w:ascii="Garamond" w:cs="Garamond" w:eastAsia="Garamond" w:hAnsi="Garamond"/>
          <w:color w:val="1A2430"/>
          <w:sz w:val="22"/>
          <w:szCs w:val="22"/>
        </w:rPr>
        <w:t xml:space="preserve">1.  To estimate teacher attrition and re-entry rates for seven countries under a single, common definition, decomposed by destination, namely another job, unemployment, or withdrawal from the labor force.</w:t>
      </w:r>
    </w:p>
    <w:p>
      <w:pPr>
        <w:spacing w:after="50" w:line="300" w:lineRule="auto"/>
        <w:ind w:left="400" w:hanging="280"/>
        <w:jc w:val="both"/>
      </w:pPr>
      <w:r>
        <w:rPr>
          <w:rFonts w:ascii="Garamond" w:cs="Garamond" w:eastAsia="Garamond" w:hAnsi="Garamond"/>
          <w:color w:val="1A2430"/>
          <w:sz w:val="22"/>
          <w:szCs w:val="22"/>
        </w:rPr>
        <w:t xml:space="preserve">2.  To characterize the socioeconomic profile of the teachers who leave and of those who return, using identical variables in every country.</w:t>
      </w:r>
    </w:p>
    <w:p>
      <w:pPr>
        <w:spacing w:after="50" w:line="300" w:lineRule="auto"/>
        <w:ind w:left="400" w:hanging="280"/>
        <w:jc w:val="both"/>
      </w:pPr>
      <w:r>
        <w:rPr>
          <w:rFonts w:ascii="Garamond" w:cs="Garamond" w:eastAsia="Garamond" w:hAnsi="Garamond"/>
          <w:color w:val="1A2430"/>
          <w:sz w:val="22"/>
          <w:szCs w:val="22"/>
        </w:rPr>
        <w:t xml:space="preserve">3.  To link cross-country differences in rates and profiles to institutional differences in job protection, pay and family policy, so the comparison speaks to the levers governments control.</w:t>
      </w:r>
    </w:p>
    <w:p>
      <w:pPr>
        <w:spacing w:after="90" w:before="240"/>
      </w:pPr>
      <w:r>
        <w:rPr>
          <w:rFonts w:ascii="Garamond" w:cs="Garamond" w:eastAsia="Garamond" w:hAnsi="Garamond"/>
          <w:smallCaps/>
          <w:color w:val="2A5DB0"/>
          <w:spacing w:val="20"/>
          <w:sz w:val="22"/>
          <w:szCs w:val="22"/>
        </w:rPr>
        <w:t xml:space="preserve">3.  Data</w:t>
      </w:r>
    </w:p>
    <w:p>
      <w:pPr>
        <w:spacing w:after="70" w:line="300" w:lineRule="auto"/>
        <w:jc w:val="both"/>
      </w:pPr>
      <w:r>
        <w:rPr>
          <w:rFonts w:ascii="Garamond" w:cs="Garamond" w:eastAsia="Garamond" w:hAnsi="Garamond"/>
          <w:color w:val="1A2430"/>
          <w:sz w:val="22"/>
          <w:szCs w:val="22"/>
        </w:rPr>
        <w:t xml:space="preserve">Several countries run an annual longitudinal survey that follows a representative sample of households over decades, asking about jobs, incomes, partners, children and health. Because the same people answer year after year, these studies watch careers unfold in a way no snapshot can. The Comparative Panel File (CPF) is an academic initiative that harmonizes seven of the world's most important household panels into one open structure with identical variables for employment, income, family and wellbeing </w:t>
      </w:r>
      <w:r>
        <w:rPr>
          <w:rFonts w:ascii="Garamond" w:cs="Garamond" w:eastAsia="Garamond" w:hAnsi="Garamond"/>
          <w:color w:val="2A5DB0"/>
          <w:sz w:val="22"/>
          <w:szCs w:val="22"/>
        </w:rPr>
        <w:t xml:space="preserve">(Turek, Kalmijn and Leopold 2021; Turek and Kalmijn 2025)</w:t>
      </w:r>
      <w:r>
        <w:rPr>
          <w:rFonts w:ascii="Garamond" w:cs="Garamond" w:eastAsia="Garamond" w:hAnsi="Garamond"/>
          <w:color w:val="1A2430"/>
          <w:sz w:val="22"/>
          <w:szCs w:val="22"/>
        </w:rPr>
        <w:t xml:space="preserve">. Its 2025 release spans 43 waves between 1968 and 2024, around three million observations, and more than 400,000 respondents. It has been used to study retirement, divorce and unemployment across countries. It has never been used for teachers.</w:t>
      </w:r>
    </w:p>
    <w:p>
      <w:pPr>
        <w:spacing w:after="40" w:before="60"/>
      </w:pPr>
      <w:r>
        <w:rPr>
          <w:rFonts w:ascii="Garamond" w:cs="Garamond" w:eastAsia="Garamond" w:hAnsi="Garamond"/>
          <w:i/>
          <w:iCs/>
          <w:color w:val="5A6572"/>
          <w:sz w:val="20"/>
          <w:szCs w:val="20"/>
        </w:rPr>
        <w:t xml:space="preserve">Table 1. The seven household panels of the Comparative Panel File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500"/>
        <w:gridCol w:w="1900"/>
      </w:tblGrid>
      <w:tr>
        <w:tc>
          <w:tcPr>
            <w:tcW w:type="dxa" w:w="27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Country</w:t>
            </w:r>
          </w:p>
        </w:tc>
        <w:tc>
          <w:tcPr>
            <w:tcW w:type="dxa" w:w="33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 panel</w:t>
            </w:r>
          </w:p>
        </w:tc>
        <w:tc>
          <w:tcPr>
            <w:tcW w:type="dxa" w:w="15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Since</w:t>
            </w:r>
          </w:p>
        </w:tc>
        <w:tc>
          <w:tcPr>
            <w:tcW w:type="dxa" w:w="19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Households per wave</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States</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PSID</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1968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Germany</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SOEP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1984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15,000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Kingdom</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BHPS, then Understanding Society</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30,000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South Korea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KLIPS</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Switzerland</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SHP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1999</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Australia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HILDA</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9,500</w:t>
            </w:r>
          </w:p>
        </w:tc>
      </w:tr>
      <w:tr>
        <w:tc>
          <w:tcPr>
            <w:tcW w:type="dxa" w:w="27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Netherlands</w:t>
            </w:r>
          </w:p>
        </w:tc>
        <w:tc>
          <w:tcPr>
            <w:tcW w:type="dxa" w:w="33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LISS</w:t>
            </w:r>
          </w:p>
        </w:tc>
        <w:tc>
          <w:tcPr>
            <w:tcW w:type="dxa" w:w="15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2007</w:t>
            </w:r>
          </w:p>
        </w:tc>
        <w:tc>
          <w:tcPr>
            <w:tcW w:type="dxa" w:w="19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bl>
    <w:p>
      <w:pPr>
        <w:spacing w:after="70"/>
      </w:pPr>
    </w:p>
    <w:p>
      <w:pPr>
        <w:spacing w:after="70" w:line="300" w:lineRule="auto"/>
        <w:jc w:val="both"/>
      </w:pPr>
      <w:r>
        <w:rPr>
          <w:rFonts w:ascii="Garamond" w:cs="Garamond" w:eastAsia="Garamond" w:hAnsi="Garamond"/>
          <w:color w:val="1A2430"/>
          <w:sz w:val="22"/>
          <w:szCs w:val="22"/>
        </w:rPr>
        <w:t xml:space="preserve">A panel observes a teacher before, during and after the exit. It sees the child born two years before the resignation, the partner's earnings that make leaving affordable, the health and job satisfaction that deteriorate beforehand, the wage in the next job, and the return to the classroom three years later. Pooled over twenty to thirty years, the panels hold between roughly two thousand and twenty-five thousand teacher-year observations per country. That is enough to estimate a leaving rate with a precision of about half a percentage point and to support profiles by age, sex and family situation, though not year-by-year series in the smaller countries. All seven panels are open to researchers at no or nominal cost, and the harmonization code is public, so every result can be replicated.</w:t>
      </w:r>
    </w:p>
    <w:p>
      <w:pPr>
        <w:spacing w:after="90" w:before="240"/>
      </w:pPr>
      <w:r>
        <w:rPr>
          <w:rFonts w:ascii="Garamond" w:cs="Garamond" w:eastAsia="Garamond" w:hAnsi="Garamond"/>
          <w:smallCaps/>
          <w:color w:val="2A5DB0"/>
          <w:spacing w:val="20"/>
          <w:sz w:val="22"/>
          <w:szCs w:val="22"/>
        </w:rPr>
        <w:t xml:space="preserve">4.  Empirical Strategy</w:t>
      </w:r>
    </w:p>
    <w:p>
      <w:pPr>
        <w:spacing w:after="70" w:line="300" w:lineRule="auto"/>
        <w:jc w:val="both"/>
      </w:pPr>
      <w:r>
        <w:rPr>
          <w:rFonts w:ascii="Garamond" w:cs="Garamond" w:eastAsia="Garamond" w:hAnsi="Garamond"/>
          <w:color w:val="1A2430"/>
          <w:sz w:val="22"/>
          <w:szCs w:val="22"/>
        </w:rPr>
        <w:t xml:space="preserve">Occupations are measured with error in surveys, and the error is not innocent. When the same person describes their job twice, a promotion or a careless answer can look like a career change. Recent Australian work that checked survey answers against tax records found that panel-based attrition can come out at double the administrative figure for this reason </w:t>
      </w:r>
      <w:r>
        <w:rPr>
          <w:rFonts w:ascii="Garamond" w:cs="Garamond" w:eastAsia="Garamond" w:hAnsi="Garamond"/>
          <w:color w:val="2A5DB0"/>
          <w:sz w:val="22"/>
          <w:szCs w:val="22"/>
        </w:rPr>
        <w:t xml:space="preserve">(Buckley and Griselda 2025)</w:t>
      </w:r>
      <w:r>
        <w:rPr>
          <w:rFonts w:ascii="Garamond" w:cs="Garamond" w:eastAsia="Garamond" w:hAnsi="Garamond"/>
          <w:color w:val="1A2430"/>
          <w:sz w:val="22"/>
          <w:szCs w:val="22"/>
        </w:rPr>
        <w:t xml:space="preserve">. The empirical design confronts this directly. An exit requires a change of employer, not only of occupational code. Interview flags that mark answers carried over from the previous year are used where available to remove spurious changes. Re-entries are modeled rather than ignored, since they are themselves an object of interest. Rates are estimated by pooling waves within country, profiles by harmonized regression models of the exit and return decisions, and every national estimate is validated against administrative benchmarks compiled for this proposal, country by country, from ministries, statistical offices and teacher registers. Where administrative microdata are accessible under standard procedures, as in the Netherlands and Australia, they will additionally support country-level deep dives alongside the harmonized estimates. Occupation is harmonized at the two-digit ISCO level in all seven panels; the three-digit codes that separate school teachers from other teaching professionals are available for most panels and, for the United Kingdom, obtainable under a standard special licence.</w:t>
      </w:r>
    </w:p>
    <w:p>
      <w:pPr>
        <w:spacing w:after="90" w:before="240"/>
      </w:pPr>
      <w:r>
        <w:rPr>
          <w:rFonts w:ascii="Garamond" w:cs="Garamond" w:eastAsia="Garamond" w:hAnsi="Garamond"/>
          <w:smallCaps/>
          <w:color w:val="2A5DB0"/>
          <w:spacing w:val="20"/>
          <w:sz w:val="22"/>
          <w:szCs w:val="22"/>
        </w:rPr>
        <w:t xml:space="preserve">5.  Expected Contribution and Policy Relevance</w:t>
      </w:r>
    </w:p>
    <w:p>
      <w:pPr>
        <w:spacing w:after="70" w:line="300" w:lineRule="auto"/>
        <w:jc w:val="both"/>
      </w:pPr>
      <w:r>
        <w:rPr>
          <w:rFonts w:ascii="Garamond" w:cs="Garamond" w:eastAsia="Garamond" w:hAnsi="Garamond"/>
          <w:color w:val="1A2430"/>
          <w:sz w:val="22"/>
          <w:szCs w:val="22"/>
        </w:rPr>
        <w:t xml:space="preserve">Three things would exist that do not exist today. The first is a set of attrition and return rates that can genuinely be compared across countries. The second is the profile behind each rate. Whether a system is losing young mothers, mid-career men, teachers in poor health or its best paid staff is precisely what a ministry needs to know before choosing among pensions, childcare, pay and workload as the lever, and it is unobservable in the data governments currently use. The third is the institutional reading. Attrition falls as civil-service protection rises across these seven countries. Profiles measured on a common footing would show what that protection buys, whom it retains, and at what cost.</w:t>
      </w:r>
    </w:p>
    <w:p>
      <w:pPr>
        <w:spacing w:after="70" w:line="300" w:lineRule="auto"/>
        <w:jc w:val="both"/>
      </w:pPr>
      <w:r>
        <w:rPr>
          <w:rFonts w:ascii="Garamond" w:cs="Garamond" w:eastAsia="Garamond" w:hAnsi="Garamond"/>
          <w:color w:val="1A2430"/>
          <w:sz w:val="22"/>
          <w:szCs w:val="22"/>
        </w:rPr>
        <w:t xml:space="preserve">The project also feeds directly into the OECD Unlocking Teachers' Potential study. It serves the working paper on former teachers now in preparation, and it informs the study as a whole by delivering a database in which teachers, their exits and their returns can be followed in seven of the world's major economies.</w:t>
      </w:r>
    </w:p>
    <w:p>
      <w:r>
        <w:br w:type="page"/>
      </w:r>
    </w:p>
    <w:p>
      <w:pPr>
        <w:spacing w:after="220"/>
        <w:jc w:val="center"/>
      </w:pPr>
      <w:r>
        <w:rPr>
          <w:rFonts w:ascii="Garamond" w:cs="Garamond" w:eastAsia="Garamond" w:hAnsi="Garamond"/>
          <w:b/>
          <w:bCs/>
          <w:color w:val="1A2430"/>
          <w:sz w:val="26"/>
          <w:szCs w:val="26"/>
        </w:rPr>
        <w:t xml:space="preserve">References</w:t>
      </w:r>
    </w:p>
    <w:p>
      <w:pPr>
        <w:spacing w:after="120" w:line="276" w:lineRule="auto"/>
        <w:ind w:left="420" w:hanging="420"/>
      </w:pPr>
      <w:r>
        <w:rPr>
          <w:rFonts w:ascii="Garamond" w:cs="Garamond" w:eastAsia="Garamond" w:hAnsi="Garamond"/>
          <w:color w:val="1A2430"/>
          <w:sz w:val="20"/>
          <w:szCs w:val="20"/>
        </w:rPr>
        <w:t xml:space="preserve">Buckley, J., and S. Griselda (2025). “Who Stays, Who Goes? A New Look at Teacher Attrition Using Administrative Data.” e61 Institute Research Note.</w:t>
      </w:r>
    </w:p>
    <w:p>
      <w:pPr>
        <w:spacing w:after="120" w:line="276" w:lineRule="auto"/>
        <w:ind w:left="420" w:hanging="420"/>
      </w:pPr>
      <w:r>
        <w:rPr>
          <w:rFonts w:ascii="Garamond" w:cs="Garamond" w:eastAsia="Garamond" w:hAnsi="Garamond"/>
          <w:color w:val="1A2430"/>
          <w:sz w:val="20"/>
          <w:szCs w:val="20"/>
        </w:rPr>
        <w:t xml:space="preserve">Goldring, R., S. Taie, and M. Riddles (2014). Teacher Attrition and Mobility: Results from the 2012–13 Teacher Follow-up Survey. NCES 2014-077, U.S. Department of Education.</w:t>
      </w:r>
    </w:p>
    <w:p>
      <w:pPr>
        <w:spacing w:after="120" w:line="276" w:lineRule="auto"/>
        <w:ind w:left="420" w:hanging="420"/>
      </w:pPr>
      <w:r>
        <w:rPr>
          <w:rFonts w:ascii="Garamond" w:cs="Garamond" w:eastAsia="Garamond" w:hAnsi="Garamond"/>
          <w:color w:val="1A2430"/>
          <w:sz w:val="20"/>
          <w:szCs w:val="20"/>
        </w:rPr>
        <w:t xml:space="preserve">National Center for Education Statistics (2024). Teacher Attrition and Mobility: Results from the 2021–22 Teacher Follow-up Survey. NCES 2024-039, U.S. Department of Education.</w:t>
      </w:r>
    </w:p>
    <w:p>
      <w:pPr>
        <w:spacing w:after="120" w:line="276" w:lineRule="auto"/>
        <w:ind w:left="420" w:hanging="420"/>
      </w:pPr>
      <w:r>
        <w:rPr>
          <w:rFonts w:ascii="Garamond" w:cs="Garamond" w:eastAsia="Garamond" w:hAnsi="Garamond"/>
          <w:color w:val="1A2430"/>
          <w:sz w:val="20"/>
          <w:szCs w:val="20"/>
        </w:rPr>
        <w:t xml:space="preserve">OECD (2025). Education at a Glance 2025. Paris: OECD Publishing.</w:t>
      </w:r>
    </w:p>
    <w:p>
      <w:pPr>
        <w:spacing w:after="120" w:line="276" w:lineRule="auto"/>
        <w:ind w:left="420" w:hanging="420"/>
      </w:pPr>
      <w:r>
        <w:rPr>
          <w:rFonts w:ascii="Garamond" w:cs="Garamond" w:eastAsia="Garamond" w:hAnsi="Garamond"/>
          <w:color w:val="1A2430"/>
          <w:sz w:val="20"/>
          <w:szCs w:val="20"/>
        </w:rPr>
        <w:t xml:space="preserve">Turek, K., M. Kalmijn, and T. Leopold (2021). “The Comparative Panel File: Harmonized Panel Surveys from Seven Countries.” European Sociological Review 37(3), 505–523.</w:t>
      </w:r>
    </w:p>
    <w:p>
      <w:pPr>
        <w:spacing w:after="120" w:line="276" w:lineRule="auto"/>
        <w:ind w:left="420" w:hanging="420"/>
      </w:pPr>
      <w:r>
        <w:rPr>
          <w:rFonts w:ascii="Garamond" w:cs="Garamond" w:eastAsia="Garamond" w:hAnsi="Garamond"/>
          <w:color w:val="1A2430"/>
          <w:sz w:val="20"/>
          <w:szCs w:val="20"/>
        </w:rPr>
        <w:t xml:space="preserve">Turek, K., and M. Kalmijn (2025). Comparative Panel File (CPF) 2.0: Information and Manual. OSF, doi 10.31219/osf.io/y3ph6.</w:t>
      </w:r>
    </w:p>
    <w:p>
      <w:r>
        <w:br w:type="page"/>
      </w:r>
    </w:p>
    <w:p>
      <w:pPr>
        <w:spacing w:after="120"/>
        <w:jc w:val="center"/>
      </w:pPr>
      <w:r>
        <w:rPr>
          <w:rFonts w:ascii="Garamond" w:cs="Garamond" w:eastAsia="Garamond" w:hAnsi="Garamond"/>
          <w:b/>
          <w:bCs/>
          <w:color w:val="1A2430"/>
          <w:sz w:val="24"/>
          <w:szCs w:val="24"/>
        </w:rPr>
        <w:t xml:space="preserve">Annex. National publication of teacher attrition statistics</w:t>
      </w:r>
    </w:p>
    <w:p>
      <w:pPr>
        <w:spacing w:after="140" w:line="276" w:lineRule="auto"/>
        <w:jc w:val="both"/>
      </w:pPr>
      <w:r>
        <w:rPr>
          <w:rFonts w:ascii="Garamond" w:cs="Garamond" w:eastAsia="Garamond" w:hAnsi="Garamond"/>
          <w:color w:val="5A6572"/>
          <w:sz w:val="20"/>
          <w:szCs w:val="20"/>
        </w:rPr>
        <w:t xml:space="preserve">This annex documents the statement in Section 1. Aggregate attrition rates are published annually in five of the seven countries; the federal United States and Switzerland are the exceptions. In no country does the public tier include personal characteristics, destinations or returns.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150"/>
        <w:gridCol w:w="1950"/>
        <w:gridCol w:w="1500"/>
        <w:gridCol w:w="2200"/>
        <w:gridCol w:w="2260"/>
      </w:tblGrid>
      <w:tr>
        <w:tc>
          <w:tcPr>
            <w:tcW w:type="dxa" w:w="1150"/>
            <w:tcBorders>
              <w:top w:val="single" w:color="1A2430" w:sz="6"/>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b/>
                <w:bCs/>
                <w:color w:val="1A2430"/>
                <w:sz w:val="18"/>
                <w:szCs w:val="18"/>
              </w:rPr>
              <w:t xml:space="preserve">Country</w:t>
            </w:r>
          </w:p>
        </w:tc>
        <w:tc>
          <w:tcPr>
            <w:tcW w:type="dxa" w:w="1950"/>
            <w:tcBorders>
              <w:top w:val="single" w:color="1A2430" w:sz="6"/>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b/>
                <w:bCs/>
                <w:color w:val="1A2430"/>
                <w:sz w:val="18"/>
                <w:szCs w:val="18"/>
              </w:rPr>
              <w:t xml:space="preserve">Source and steward</w:t>
            </w:r>
          </w:p>
        </w:tc>
        <w:tc>
          <w:tcPr>
            <w:tcW w:type="dxa" w:w="1500"/>
            <w:tcBorders>
              <w:top w:val="single" w:color="1A2430" w:sz="6"/>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b/>
                <w:bCs/>
                <w:color w:val="1A2430"/>
                <w:sz w:val="18"/>
                <w:szCs w:val="18"/>
              </w:rPr>
              <w:t xml:space="preserve">Frequency</w:t>
            </w:r>
          </w:p>
        </w:tc>
        <w:tc>
          <w:tcPr>
            <w:tcW w:type="dxa" w:w="2200"/>
            <w:tcBorders>
              <w:top w:val="single" w:color="1A2430" w:sz="6"/>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b/>
                <w:bCs/>
                <w:color w:val="1A2430"/>
                <w:sz w:val="18"/>
                <w:szCs w:val="18"/>
              </w:rPr>
              <w:t xml:space="preserve">Scope</w:t>
            </w:r>
          </w:p>
        </w:tc>
        <w:tc>
          <w:tcPr>
            <w:tcW w:type="dxa" w:w="2260"/>
            <w:tcBorders>
              <w:top w:val="single" w:color="1A2430" w:sz="6"/>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b/>
                <w:bCs/>
                <w:color w:val="1A2430"/>
                <w:sz w:val="18"/>
                <w:szCs w:val="18"/>
              </w:rPr>
              <w:t xml:space="preserve">Public availability</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United States</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Teacher Follow-up Survey (NCES, Dept. of Education)</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Eight waves since 1988-89; nine-year gap before 2021-22</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Public-school teachers leaving the profession, with destinations</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Reports public; microdata under restricted-use license for US institutions</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United States, states</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State administrative systems (e.g. Texas TEA, Washington OSPI)</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Exit from the state public teaching workforce</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Aggregates public; Washington person-level files public, Texas secure enclave only</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United Kingdom</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School Workforce Census (DfE, England)</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 since 2010</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Qualified teachers leaving the state-funded sector, by leaver type</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Open granular tables; microdata via ONS Secure Research Service</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Germany</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School statistics (Destatis and Länder offices)</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Departures from school service by reason; Bavaria, Lower Saxony and NRW missing since 2014/15</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Tables free to download; microdata via research data center contracts</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Australia</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Australian Teacher Workforce Data (AITSL)</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 national reports since 2021</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Registration-based attrition indicators, all sectors</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Reports and dashboards public; unit records in secure environment, no extraction</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South Korea</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Educational statistics (KEDI/KESS); Teachers’ Pension open data</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Departures by cause: retirement, honorary retirement, resignation</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Yearbook and open-data files public; no teacher-level microdata released</w:t>
            </w:r>
          </w:p>
        </w:tc>
      </w:tr>
      <w:tr>
        <w:tc>
          <w:tcPr>
            <w:tcW w:type="dxa" w:w="11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Netherlands</w:t>
            </w:r>
          </w:p>
        </w:tc>
        <w:tc>
          <w:tcPr>
            <w:tcW w:type="dxa" w:w="195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Trendrapportage Arbeidsmarkt Leraren (OCW, on DUO payroll records)</w:t>
            </w:r>
          </w:p>
        </w:tc>
        <w:tc>
          <w:tcPr>
            <w:tcW w:type="dxa" w:w="15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Annual</w:t>
            </w:r>
          </w:p>
        </w:tc>
        <w:tc>
          <w:tcPr>
            <w:tcW w:type="dxa" w:w="220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Outflow from government-funded education by sector and age</w:t>
            </w:r>
          </w:p>
        </w:tc>
        <w:tc>
          <w:tcPr>
            <w:tcW w:type="dxa" w:w="2260"/>
            <w:tcBorders>
              <w:top w:val="none" w:color="FFFFFF" w:sz="0"/>
              <w:left w:val="none" w:color="FFFFFF" w:sz="0"/>
              <w:bottom w:val="none" w:color="FFFFFF" w:sz="0"/>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Reports, dashboards and DUO open data public; person-level via CBS remote access</w:t>
            </w:r>
          </w:p>
        </w:tc>
      </w:tr>
      <w:tr>
        <w:tc>
          <w:tcPr>
            <w:tcW w:type="dxa" w:w="1150"/>
            <w:tcBorders>
              <w:top w:val="none" w:color="FFFFFF" w:sz="0"/>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Switzerland</w:t>
            </w:r>
          </w:p>
        </w:tc>
        <w:tc>
          <w:tcPr>
            <w:tcW w:type="dxa" w:w="1950"/>
            <w:tcBorders>
              <w:top w:val="none" w:color="FFFFFF" w:sz="0"/>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School staff statistics (BFS) with LABB longitudinal studies</w:t>
            </w:r>
          </w:p>
        </w:tc>
        <w:tc>
          <w:tcPr>
            <w:tcW w:type="dxa" w:w="1500"/>
            <w:tcBorders>
              <w:top w:val="none" w:color="FFFFFF" w:sz="0"/>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Stocks annual; attrition studies occasional (2014, 2022)</w:t>
            </w:r>
          </w:p>
        </w:tc>
        <w:tc>
          <w:tcPr>
            <w:tcW w:type="dxa" w:w="2200"/>
            <w:tcBorders>
              <w:top w:val="none" w:color="FFFFFF" w:sz="0"/>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Exit from the school registers; cohort retention</w:t>
            </w:r>
          </w:p>
        </w:tc>
        <w:tc>
          <w:tcPr>
            <w:tcW w:type="dxa" w:w="2260"/>
            <w:tcBorders>
              <w:top w:val="none" w:color="FFFFFF" w:sz="0"/>
              <w:left w:val="none" w:color="FFFFFF" w:sz="0"/>
              <w:bottom w:val="single" w:color="1A2430" w:sz="6"/>
              <w:right w:val="none" w:color="FFFFFF" w:sz="0"/>
            </w:tcBorders>
            <w:tcMar>
              <w:top w:type="dxa" w:w="50"/>
              <w:left w:type="dxa" w:w="60"/>
              <w:bottom w:type="dxa" w:w="50"/>
              <w:right w:type="dxa" w:w="60"/>
            </w:tcMar>
          </w:tcPr>
          <w:p>
            <w:r>
              <w:rPr>
                <w:rFonts w:ascii="Garamond" w:cs="Garamond" w:eastAsia="Garamond" w:hAnsi="Garamond"/>
                <w:color w:val="1A2430"/>
                <w:sz w:val="18"/>
                <w:szCs w:val="18"/>
              </w:rPr>
              <w:t xml:space="preserve">Reports public; microdata by data-protection contract with BFS</w:t>
            </w:r>
          </w:p>
        </w:tc>
      </w:tr>
    </w:tbl>
    <w:sectPr>
      <w:pgSz w:w="11906" w:h="16838" w:orient="portrait"/>
      <w:pgMar w:top="136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2026-07-22T08:22:43.073Z</dcterms:created>
  <dcterms:modified xsi:type="dcterms:W3CDTF">2026-07-22T08:22:43.089Z</dcterms:modified>
</cp:coreProperties>
</file>

<file path=docProps/custom.xml><?xml version="1.0" encoding="utf-8"?>
<Properties xmlns="http://schemas.openxmlformats.org/officeDocument/2006/custom-properties" xmlns:vt="http://schemas.openxmlformats.org/officeDocument/2006/docPropsVTypes"/>
</file>