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20"/>
      </w:pPr>
      <w:r>
        <w:rPr>
          <w:rFonts w:ascii="Garamond" w:cs="Garamond" w:eastAsia="Garamond" w:hAnsi="Garamond"/>
          <w:b/>
          <w:bCs/>
          <w:color w:val="000000"/>
          <w:sz w:val="24"/>
          <w:szCs w:val="24"/>
        </w:rPr>
        <w:t xml:space="preserve">Australia</w:t>
      </w:r>
    </w:p>
    <w:p>
      <w:pPr>
        <w:spacing w:after="0" w:before="40"/>
        <w:ind w:left="504"/>
      </w:pPr>
      <w:hyperlink w:history="1" w:anchor="sec0">
        <w:r>
          <w:rPr>
            <w:rFonts w:ascii="Garamond" w:cs="Garamond" w:eastAsia="Garamond" w:hAnsi="Garamond"/>
            <w:b w:val="false"/>
            <w:bCs w:val="false"/>
            <w:color w:val="000000"/>
            <w:sz w:val="22"/>
            <w:szCs w:val="22"/>
            <w:u w:val="single"/>
          </w:rPr>
          <w:t xml:space="preserve">New South Wales</w:t>
        </w:r>
      </w:hyperlink>
    </w:p>
    <w:p>
      <w:pPr>
        <w:spacing w:after="0" w:before="40"/>
        <w:ind w:left="504"/>
      </w:pPr>
      <w:hyperlink w:history="1" w:anchor="sec1">
        <w:r>
          <w:rPr>
            <w:rFonts w:ascii="Garamond" w:cs="Garamond" w:eastAsia="Garamond" w:hAnsi="Garamond"/>
            <w:b w:val="false"/>
            <w:bCs w:val="false"/>
            <w:color w:val="000000"/>
            <w:sz w:val="22"/>
            <w:szCs w:val="22"/>
            <w:u w:val="single"/>
          </w:rPr>
          <w:t xml:space="preserve">Victoria</w:t>
        </w:r>
      </w:hyperlink>
    </w:p>
    <w:p>
      <w:pPr>
        <w:spacing w:after="0" w:before="120"/>
      </w:pPr>
      <w:hyperlink w:history="1" w:anchor="sec2">
        <w:r>
          <w:rPr>
            <w:rFonts w:ascii="Garamond" w:cs="Garamond" w:eastAsia="Garamond" w:hAnsi="Garamond"/>
            <w:b/>
            <w:bCs/>
            <w:color w:val="000000"/>
            <w:sz w:val="24"/>
            <w:szCs w:val="24"/>
            <w:u w:val="single"/>
          </w:rPr>
          <w:t xml:space="preserve">Canada</w:t>
        </w:r>
      </w:hyperlink>
    </w:p>
    <w:p>
      <w:pPr>
        <w:spacing w:after="0" w:before="120"/>
      </w:pPr>
      <w:hyperlink w:history="1" w:anchor="sec3">
        <w:r>
          <w:rPr>
            <w:rFonts w:ascii="Garamond" w:cs="Garamond" w:eastAsia="Garamond" w:hAnsi="Garamond"/>
            <w:b/>
            <w:bCs/>
            <w:color w:val="000000"/>
            <w:sz w:val="24"/>
            <w:szCs w:val="24"/>
            <w:u w:val="single"/>
          </w:rPr>
          <w:t xml:space="preserve">China</w:t>
        </w:r>
      </w:hyperlink>
    </w:p>
    <w:p>
      <w:pPr>
        <w:spacing w:after="0" w:before="120"/>
      </w:pPr>
      <w:hyperlink w:history="1" w:anchor="sec4">
        <w:r>
          <w:rPr>
            <w:rFonts w:ascii="Garamond" w:cs="Garamond" w:eastAsia="Garamond" w:hAnsi="Garamond"/>
            <w:b/>
            <w:bCs/>
            <w:color w:val="000000"/>
            <w:sz w:val="24"/>
            <w:szCs w:val="24"/>
            <w:u w:val="single"/>
          </w:rPr>
          <w:t xml:space="preserve">Netherlands</w:t>
        </w:r>
      </w:hyperlink>
    </w:p>
    <w:p>
      <w:pPr>
        <w:spacing w:after="0" w:before="120"/>
      </w:pPr>
      <w:hyperlink w:history="1" w:anchor="sec5">
        <w:r>
          <w:rPr>
            <w:rFonts w:ascii="Garamond" w:cs="Garamond" w:eastAsia="Garamond" w:hAnsi="Garamond"/>
            <w:b/>
            <w:bCs/>
            <w:color w:val="000000"/>
            <w:sz w:val="24"/>
            <w:szCs w:val="24"/>
            <w:u w:val="single"/>
          </w:rPr>
          <w:t xml:space="preserve">United States</w:t>
        </w:r>
      </w:hyperlink>
    </w:p>
    <w:p>
      <w:r>
        <w:br w:type="page"/>
      </w:r>
    </w:p>
    <w:p>
      <w:pPr>
        <w:pStyle w:val="Heading1"/>
        <w:spacing w:after="0" w:before="0"/>
      </w:pPr>
      <w:bookmarkStart w:name="sec0"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School Workforce directorate of the NSW Department of Education.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From November 2023 the Department went through its own records of teachers who had left in the previous five years and approached more than 1,500 of them. By May 2024, 260 had expressed interest and 145 had joined the pool of casual and temporary teachers serving more than 600 schools, about six in ten of them retirees. Returners are helped with accreditation, approval to teach and the working-with-children check, and register on the casual booking platform schools use. A shorter re-accreditation route for retired teachers appeared at the standards authority the month the calls began. The press described the outreach as cold-calling; the Department has not said what the channel was. No figures have been published since May 2024.</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initiative come about, and with what purpose?</w:t>
      </w:r>
      <w:r>
        <w:rPr>
          <w:rFonts w:ascii="Garamond" w:cs="Garamond" w:eastAsia="Garamond" w:hAnsi="Garamond"/>
          <w:b w:val="false"/>
          <w:bCs w:val="false"/>
          <w:color w:val="000000"/>
          <w:sz w:val="24"/>
          <w:szCs w:val="24"/>
        </w:rPr>
        <w:t xml:space="preserve"> Was the teacher shortage severe at the time?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did you find the teachers you contacted, and how were they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records were used, and what had to be settled before former employees could be contacted?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Phone, letter, e-mail? What was said to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would you describe the response you got?</w:t>
      </w:r>
      <w:r>
        <w:rPr>
          <w:rFonts w:ascii="Garamond" w:cs="Garamond" w:eastAsia="Garamond" w:hAnsi="Garamond"/>
          <w:b w:val="false"/>
          <w:bCs w:val="false"/>
          <w:color w:val="000000"/>
          <w:sz w:val="24"/>
          <w:szCs w:val="24"/>
        </w:rPr>
        <w:t xml:space="preserve"> Refusals interest us as much as acceptances.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refusals have anything in common?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understand the programme offered help with re-accreditation and a placement in casual or temporary work. What did that help consist of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standards authority opened a shorter route for retired teachers the same month. Was that planned together?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itself changed, or was it the usual process with someone guiding them through?</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According to the sources we consulted, the initiative was launched right after a large pay rise and a cut in teachers' administrative workload. How much of the result do you attribute to the outreach itself, and how much to that?</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Department's media release of May 2024 says about 60 per cent of those who came back were retired. Is that right, and if so, why did they come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And the other 40 per cent: who were they, and what had they been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how well the policy has worked — an internal evaluation, figures after May 2024?</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many were still teaching a year later? Any permanent appointments?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initiative still running?</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has it taught you?</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else, in the Department or at the standards authority, you would recommend we speak to?</w:t>
      </w:r>
    </w:p>
    <w:p>
      <w:r>
        <w:br w:type="page"/>
      </w:r>
    </w:p>
    <w:p>
      <w:pPr>
        <w:pStyle w:val="Heading1"/>
        <w:spacing w:after="0" w:before="0"/>
      </w:pPr>
      <w:bookmarkStart w:name="sec1"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re-engagement team of the Victorian Department of Education.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initiative opened in late 2022 as a call for expressions of interest, answered by more than 1,100 teachers; the 2023/24 State Budget then put 12 million dollars into paid placements of up to forty days in government schools, to be completed by June 2025. A teacher away from a fixed-term or ongoing post for a year or more registers, the team calls, coaching is offered on applications and the current curriculum, and a placement is arranged with a serving teacher alongside. Returners from a career break or retirement receive an honorarium of up to 12,000 dollars; teachers returning from more than two years of parental absence resume duty temporarily on their own salary. The current departmental pages describe the placement as school-funded at 330 dollars a day, which we have not been able to confirm. No figure on placements made, or on how many led to a post, has been published.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initiative come about, and with what purpose?</w:t>
      </w:r>
      <w:r>
        <w:rPr>
          <w:rFonts w:ascii="Garamond" w:cs="Garamond" w:eastAsia="Garamond" w:hAnsi="Garamond"/>
          <w:b w:val="false"/>
          <w:bCs w:val="false"/>
          <w:color w:val="000000"/>
          <w:sz w:val="24"/>
          <w:szCs w:val="24"/>
        </w:rPr>
        <w:t xml:space="preserve"> We understand the expressions of interest came before the funding.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pay someone to try the classroom before deciding, rather than ask them to decide first?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would you describe what happens between a teacher registering and their first day in a school?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is not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from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do, and how is that time found?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According to the current departmental pages, the placement is now funded by the school rather than centrally. Is that right, and how did that change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schools' willingness to host change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 and was it who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paid days, the coaching, the mentor and the route into a school, which one do people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are returners from parental leave treated differently from retirees and career-break returners?</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more than 1,100 teachers registered interest in the first months. What did they tell you about why they had left, and what worried them about coming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how well the initiative has worked — placements made, how many led to a post, an evaluation?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became of those who decided against the classroom?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did it cost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would you change if you were designing it again?</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run this closely you would recommend we speak to?</w:t>
      </w:r>
    </w:p>
    <w:p>
      <w:r>
        <w:br w:type="page"/>
      </w:r>
    </w:p>
    <w:p>
      <w:pPr>
        <w:pStyle w:val="Heading1"/>
        <w:spacing w:after="0" w:before="0"/>
      </w:pPr>
      <w:bookmarkStart w:name="sec2" w:id="1"/>
      <w:r>
        <w:rPr>
          <w:rFonts w:ascii="Garamond" w:cs="Garamond" w:eastAsia="Garamond" w:hAnsi="Garamond"/>
          <w:b/>
          <w:bCs/>
          <w:color w:val="000000"/>
          <w:sz w:val="32"/>
          <w:szCs w:val="32"/>
        </w:rPr>
        <w:t xml:space="preserve">Canada</w:t>
      </w:r>
      <w:bookmarkEnd w:id="1"/>
    </w:p>
    <w:p>
      <w:pPr>
        <w:spacing w:after="240"/>
      </w:pPr>
      <w:r>
        <w:rPr>
          <w:rFonts w:ascii="Garamond" w:cs="Garamond" w:eastAsia="Garamond" w:hAnsi="Garamond"/>
          <w:i/>
          <w:iCs/>
          <w:color w:val="555555"/>
          <w:sz w:val="22"/>
          <w:szCs w:val="22"/>
        </w:rPr>
        <w:t xml:space="preserve">Quebec. Measure 15178, pay for returning retired teachers, since 2020</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direction of the Ministère de l'Éducation responsible for teaching staff and for the budget rules of the centres de services scolaires.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Announced on 21 September 2020 as a pandemic measure, the incentive sits in the Règles budgétaires de fonctionnement of the school service centres, now as measure 15178 in several volets. A retired teacher doing supply work is paid from the first day at the salary step and experience held at retirement, where the ordinary rules grant that step only after twenty days; the pension continues because the retiree may elect not to rejoin the plan. It was first limited to teachers retired since July 2015; a ministerial act effective in late January 2022 removed the condition, and the measure was declared permanent the same month. It rests on an agreement outside the collective agreement, between the employers' negotiating committee and the teaching unions, renewed each school year. The minister has written to retired teachers twice, in June 2023 and August 2025. The ministry's figure for 2024-25 is more than 5,000 retirees back in schools; the press has since reported that some school service centres call retirees last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measure come about in 2020, and with what purpose?</w:t>
      </w:r>
      <w:r>
        <w:rPr>
          <w:rFonts w:ascii="Garamond" w:cs="Garamond" w:eastAsia="Garamond" w:hAnsi="Garamond"/>
          <w:b w:val="false"/>
          <w:bCs w:val="false"/>
          <w:color w:val="000000"/>
          <w:sz w:val="24"/>
          <w:szCs w:val="24"/>
        </w:rPr>
        <w:t xml:space="preserve"> We understand it was a pandemic response; why a pay rule, rather than a programme, a campaign or a change to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and what was hardest to agree?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We understand the measure is permanent on the budget side, while the agreement carrying it is renewed each year with the unions. How does that work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renegotiated, and what has changed from one year to the next?</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Seen from a school service centre, how does the measure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report?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According to the press, some centres call retirees last because they cost more. Do you recognise that? Who bears the premium, the ministry or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How would you describe the retirees who come back — how long after retiring, and to do what?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Supply days or contracts? Is the option not to rejoin the pension plan explained to them?</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The minister has written to retired teachers twice. What came of those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the ministry's figure of more than 5,000 retirees back in schools in 2024-25. How is that counted, and how has take-up moved since 2020?</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count anyone paid for one day, or people with a meaningful volume of work?</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what the measure has changed — how absences are covered, the number of classrooms without a qualified teacher, an assessment?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mid-career leaver at all, or only the retiree?</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its impact, and what will decide the next renewal?</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followed this closely you would recommend we speak to?</w:t>
      </w:r>
    </w:p>
    <w:p>
      <w:pPr>
        <w:spacing w:after="100" w:before="100"/>
      </w:pPr>
      <w:r>
        <w:rPr>
          <w:rFonts w:ascii="Garamond" w:cs="Garamond" w:eastAsia="Garamond" w:hAnsi="Garamond"/>
          <w:b/>
          <w:bCs/>
          <w:color w:val="000000"/>
          <w:sz w:val="24"/>
          <w:szCs w:val="24"/>
        </w:rPr>
        <w:t xml:space="preserve">Note.</w:t>
      </w:r>
      <w:r>
        <w:rPr>
          <w:rFonts w:ascii="Garamond" w:cs="Garamond" w:eastAsia="Garamond" w:hAnsi="Garamond"/>
          <w:b w:val="false"/>
          <w:bCs w:val="false"/>
          <w:color w:val="000000"/>
          <w:sz w:val="24"/>
          <w:szCs w:val="24"/>
        </w:rPr>
        <w:t xml:space="preserve"> Two points the record does not settle, to ask in passing: the number and citation of the ministerial act of January 2022, and whether the measure has carried the number 15178 from the start.</w:t>
      </w:r>
    </w:p>
    <w:p>
      <w:r>
        <w:br w:type="page"/>
      </w:r>
    </w:p>
    <w:p>
      <w:pPr>
        <w:pStyle w:val="Heading1"/>
        <w:spacing w:after="0" w:before="0"/>
      </w:pPr>
      <w:bookmarkStart w:name="sec3"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Teacher Work Department of the Ministry of Education, and if possible a provincial education department that recruits for the plan.</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2018 the Ministry of Education and the Ministry of Finance have recruited retired principals, teaching-research officers, special-grade and senior teachers, generally aged 65 or under, to county-town and rural schools in formerly poor, border and minority counties. Recruitment is run by provinces against named posts; the county education bureau signs an agreement with the teacher, for at least one school year and renewed annually, on the strength of a recent health certificate. The pension is untouched; the work is funded at 20,000 yuan per person per year, shared between central and local budgets, for an allowance, travel and accident insurance, and the county provides housing. In 2023 ten government departments extended the model to higher, vocational and private education, with a target of about 120,000 silver-age teachers within three years. The annual plan for compulsory education has been 7,000 in 2024 and 2025, and the notices ask provinces to raise their completion rate.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plan come about in 2018, and with what purpose?</w:t>
      </w:r>
      <w:r>
        <w:rPr>
          <w:rFonts w:ascii="Garamond" w:cs="Garamond" w:eastAsia="Garamond" w:hAnsi="Garamond"/>
          <w:b w:val="false"/>
          <w:bCs w:val="false"/>
          <w:color w:val="000000"/>
          <w:sz w:val="24"/>
          <w:szCs w:val="24"/>
        </w:rPr>
        <w:t xml:space="preserve"> What was it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the thinking between 2018 and the 2023 plan?</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would you describe the path from application to a classroom in a distant county?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happens when applicants outnumber posts, or fall short of them?</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We understand a silver-age teacher both teaches and works with the young teachers of the school. How is that balance struck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get from it?</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An allowance on top of the pension, county housing, an agreement renewed each year: how was that arrangement arrived at, and does it hold?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consider when it renews?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hardest: distance from family, health, the gap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the annual notices ask provinces to raise their completion rate. How has recruitment gone against the plan, and where is the difficulty?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progress towards 120,000 measured, and where does it stand?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what the plan has changed in the receiving schools — for the pupils, for the young teachers, for whether they stay?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the plan, and what should a country with an ageing teaching profession take from it, or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in a province that recruits for the plan, you would recommend we speak to?</w:t>
      </w:r>
    </w:p>
    <w:p>
      <w:r>
        <w:br w:type="page"/>
      </w:r>
    </w:p>
    <w:p>
      <w:pPr>
        <w:pStyle w:val="Heading1"/>
        <w:spacing w:after="0" w:before="0"/>
      </w:pPr>
      <w:bookmarkStart w:name="sec4"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primary-education directorate of the Ministry of Education, Culture and Science, and the agency that handled the applications (DUS-I).</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regulation took effect on 1 November 2017 and paid a primary-school board up to 2,500 euros for each qualified teacher it hired who had not worked in primary education for at least a year, on a contract of six months or more. The money went to the board, for the guidance and support a returner needs in the first months. The first budget was 1.25 million euros, enough for about 500 returners; a 2019 amendment extended the scheme, applications closed on 1 November 2020 and the regulation expired on 1 January</w:t>
      </w:r>
    </w:p>
    <w:p>
      <w:pPr>
        <w:spacing w:after="60" w:before="200"/>
        <w:ind w:left="504" w:hanging="504"/>
      </w:pPr>
      <w:r>
        <w:rPr>
          <w:rFonts w:ascii="Garamond" w:cs="Garamond" w:eastAsia="Garamond" w:hAnsi="Garamond"/>
          <w:b/>
          <w:bCs/>
          <w:color w:val="000000"/>
          <w:sz w:val="24"/>
          <w:szCs w:val="24"/>
        </w:rPr>
        <w:t xml:space="preserve">2022.	</w:t>
      </w:r>
      <w:r>
        <w:rPr>
          <w:rFonts w:ascii="Garamond" w:cs="Garamond" w:eastAsia="Garamond" w:hAnsi="Garamond"/>
          <w:b w:val="false"/>
          <w:bCs w:val="false"/>
          <w:color w:val="000000"/>
          <w:sz w:val="24"/>
          <w:szCs w:val="24"/>
        </w:rPr>
        <w:t xml:space="preserve">In mid-2019 the ministry reported that more than a hundred returners had used it, against a pool of qualified teachers outside education that it put in the tens of thousands. A Dutch teaching qualification does not expire, so there is no re-licensing step on the way back.</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the scheme come about in 2017, and with what purpose?</w:t>
      </w:r>
      <w:r>
        <w:rPr>
          <w:rFonts w:ascii="Garamond" w:cs="Garamond" w:eastAsia="Garamond" w:hAnsi="Garamond"/>
          <w:b w:val="false"/>
          <w:bCs w:val="false"/>
          <w:color w:val="000000"/>
          <w:sz w:val="24"/>
          <w:szCs w:val="24"/>
        </w:rPr>
        <w:t xml:space="preserve"> Why pay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debated? What was the alternative?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board have to do to claim it, and what was the money spent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hiring decision, or did boards hire first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According to the figures we have seen, much less of the money was used than was available. Is that right,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understand the scheme was extended in 2019 and then allowed to lapse in 2022 with nothing of the same kind in its place. How were those decisions taken?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to the regional partnerships, and does anyone there still target returners?</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How would you describe the herintreders who came back?</w:t>
      </w:r>
      <w:r>
        <w:rPr>
          <w:rFonts w:ascii="Garamond" w:cs="Garamond" w:eastAsia="Garamond" w:hAnsi="Garamond"/>
          <w:b w:val="false"/>
          <w:bCs w:val="false"/>
          <w:color w:val="000000"/>
          <w:sz w:val="24"/>
          <w:szCs w:val="24"/>
        </w:rPr>
        <w:t xml:space="preserve"> We are aware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had they left primary teaching, and what made returning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qualification that never expires make return easier, or does it move the difficulty elsewhere?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We noticed that the number of returners in primary education has halved in a decade while the shortage persisted. How do you read that?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Primary teachers leave over workload, class size and leadership. Does a grant to the school reach any of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Is there any record of whether the teachers who came back through the scheme stayed?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Overall, what is your assessment of the scheme, and where has the ministry landed on whether the silent reserve is really available?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at the agency you would recommend we speak to?</w:t>
      </w:r>
    </w:p>
    <w:p>
      <w:r>
        <w:br w:type="page"/>
      </w:r>
    </w:p>
    <w:p>
      <w:pPr>
        <w:pStyle w:val="Heading1"/>
        <w:spacing w:after="0" w:before="0"/>
      </w:pPr>
      <w:bookmarkStart w:name="sec5"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and the department of education or certification board.</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state lets a retired teacher return under conditions built from the same four levers: a waiting period, an earnings ceiling, a shortage designation the district must establish, and a limit on the duration of the return. The states in our set have moved these levers differently. Michigan cut the wait to six months and removed the earnings ceiling after it, under a law expiring in October 2028. Georgia opened full-time return only to teachers with thirty years of service, in subjects a region had designated as highest-need; its 2025 audit found a few hundred returns a year and the one-year wait, not the pay rules, as the main deterrent, and the legislature has since widened eligibility and extended the measure to 2034. New Mexico lets a retiree draw pension and full salary with no cap on earnings or hours for a limited number of months, each return approved by the retirement board. Louisiana removed the cut-off that had confined its critical-shortage route to teachers retired before mid-2020. North Carolina ran the most generous version between 1999 and 2009, and published research finds those returners went disproportionately to high-need schools; the policy was allowed to lapse. Virginia acted on the licence rather than the pension. Several of these laws were amended in 2025 and 2026; check the current text before the conversation.</w:t>
      </w: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In what context did this law come about, and with what purpose?</w:t>
      </w:r>
      <w:r>
        <w:rPr>
          <w:rFonts w:ascii="Garamond" w:cs="Garamond" w:eastAsia="Garamond" w:hAnsi="Garamond"/>
          <w:b w:val="false"/>
          <w:bCs w:val="false"/>
          <w:color w:val="000000"/>
          <w:sz w:val="24"/>
          <w:szCs w:val="24"/>
        </w:rPr>
        <w:t xml:space="preserve"> Was the shortage severe at the time?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We understand the rules are built from a few levers — waiting period, earnings ceiling, shortage designation, duration. Which were argued over,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How would you describe what a retiree has to do to come back, and who decides?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 and does anyone own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to what posts, in which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According to the research we have seen, there is a concern that returning retirees take posts that would otherwise go to new teachers. Has anyone looked at that in your state?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Is there any record of how many have returned, and how are they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Overall, what is your assessment of its impact, and what will decide whether it is kept when it expires?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retirement system or on the certification side you would recommend we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2026-09-21T10:09:55.240Z</dcterms:created>
  <dcterms:modified xsi:type="dcterms:W3CDTF">2026-09-21T10:09:55.251Z</dcterms:modified>
</cp:coreProperties>
</file>

<file path=docProps/custom.xml><?xml version="1.0" encoding="utf-8"?>
<Properties xmlns="http://schemas.openxmlformats.org/officeDocument/2006/custom-properties" xmlns:vt="http://schemas.openxmlformats.org/officeDocument/2006/docPropsVTypes"/>
</file>