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3C0C7261" w14:textId="77777777" w:rsidR="00B3332B" w:rsidRDefault="00000000">
      <w:pPr>
        <w:spacing w:after="130" w:line="242" w:lineRule="auto"/>
        <w:jc w:val="both"/>
        <w:rPr>
          <w:ins w:id="5" w:author="Claude" w:date="2026-10-05T12:38:00Z"/>
        </w:rPr>
      </w:pPr>
      <w:ins w:id="6" w:author="Claude" w:date="2026-10-05T12:38:00Z">
        <w:r>
          <w:t>Re-attracting former teachers has become one of the policy margins through which governments try to alleviate teacher shortages. It cannot close the gap on its own, but it can help fill vacancies in the short run, especially in the disadvantaged and rural schools where shortages concentrate (UNESCO, 2024; Carver-Thomas and Darling-Hammond, 2019; Nguyen, Lam and Bruno, 2024). The size of this margin depends on the leaving and retirement rates of each system. In countries such as France, Greece, Ireland or Israel, where low leaving rates are almost entirely explained by retirement, its potential is limited (OECD, 2025a). Beyond short-run relief, returners and retired teachers can bring benefits of their own, such as experience spillovers to colleagues, mentoring for beginning teachers and tutoring roles with experimental backing (Papay et al., 2020; DeCesare et al., 2017; Nickow, Oreopoulos and Quan, 2024).</w:t>
        </w:r>
      </w:ins>
    </w:p>
    <w:p w14:paraId="2761BCF8" w14:textId="012AEE38" w:rsidR="00F40E91" w:rsidRPr="006E21ED" w:rsidRDefault="00A42790">
      <w:pPr>
        <w:pStyle w:val="Heading1"/>
        <w:pageBreakBefore/>
        <w:spacing w:after="220"/>
        <w:rPr>
          <w:b/>
          <w:bCs/>
          <w:color w:val="04629A"/>
          <w:sz w:val="25"/>
          <w:szCs w:val="25"/>
        </w:rPr>
      </w:pPr>
      <w:bookmarkStart w:id="7" w:name="_Toc239235953"/>
      <w:r>
        <w:rPr>
          <w:b/>
          <w:bCs/>
          <w:color w:val="04629A"/>
          <w:sz w:val="25"/>
          <w:szCs w:val="25"/>
        </w:rPr>
        <w:lastRenderedPageBreak/>
        <w:t xml:space="preserve">2. Teacher leaving: </w:t>
      </w:r>
      <w:bookmarkEnd w:id="7"/>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D933550" w14:textId="77777777" w:rsidR="00F40E91" w:rsidRDefault="00A42790">
      <w:pPr>
        <w:spacing w:after="130" w:line="242" w:lineRule="auto"/>
        <w:jc w:val="both"/>
      </w:pPr>
      <w:r>
        <w:t xml:space="preserve">First, we distinguish three main profiles of former teachers: </w:t>
      </w:r>
      <w:commentRangeStart w:id="8"/>
      <w:commentRangeStart w:id="9"/>
      <w:r>
        <w:t>(1) switchers, those who resign from teaching to take up other part-time or full-time employment, (2) leavers, those who withdraw from the labour market, and (3) retired teachers who have reached the end of their working lives</w:t>
      </w:r>
      <w:commentRangeEnd w:id="8"/>
      <w:r>
        <w:rPr>
          <w:rStyle w:val="CommentReference"/>
          <w:sz w:val="23"/>
          <w:szCs w:val="23"/>
        </w:rPr>
        <w:commentReference w:id="8"/>
      </w:r>
      <w:commentRangeEnd w:id="9"/>
      <w:r>
        <w:rPr>
          <w:rStyle w:val="CommentReference"/>
          <w:sz w:val="23"/>
          <w:szCs w:val="23"/>
        </w:rPr>
        <w:commentReference w:id="9"/>
      </w:r>
      <w:r>
        <w:t xml:space="preserve">. </w:t>
      </w:r>
      <w:r>
        <w:rPr>
          <w:highlight w:val="yellow"/>
        </w:rPr>
        <w:t>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w:t>
      </w:r>
      <w:r>
        <w:t xml:space="preserve">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ins w:id="10" w:author="Claude" w:date="2026-10-05T12:38:00Z">
        <w:r>
          <w:t xml:space="preserve"> These three profiles are used throughout the next section. Each area of reasons closes with its implications for re-entry and with the profile it mainly concerns, and Box 1 at the end of the section brings them together.</w:t>
        </w:r>
      </w:ins>
    </w:p>
    <w:p w14:paraId="5371016C" w14:textId="77777777" w:rsidR="00F40E91" w:rsidRDefault="00A42790">
      <w:pPr>
        <w:pStyle w:val="Heading2"/>
        <w:spacing w:before="200" w:after="120"/>
      </w:pPr>
      <w:bookmarkStart w:id="11" w:name="_Toc239235954"/>
      <w:r>
        <w:rPr>
          <w:b/>
          <w:bCs/>
          <w:color w:val="04629A"/>
          <w:sz w:val="25"/>
          <w:szCs w:val="25"/>
        </w:rPr>
        <w:t>2.1 The teacher leaving rate and its evolution</w:t>
      </w:r>
      <w:bookmarkEnd w:id="11"/>
    </w:p>
    <w:p w14:paraId="469B8B73" w14:textId="77777777" w:rsidR="00B3332B" w:rsidRDefault="00000000">
      <w:pPr>
        <w:spacing w:after="130" w:line="242" w:lineRule="auto"/>
        <w:jc w:val="both"/>
      </w:pPr>
      <w:r>
        <w:t>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326ACA98" w14:textId="2029563F" w:rsidR="00B3332B" w:rsidRDefault="00000000">
      <w:pPr>
        <w:spacing w:after="130" w:line="242" w:lineRule="auto"/>
        <w:jc w:val="both"/>
        <w:rPr>
          <w:del w:id="12008" w:author="Claude" w:date="2026-10-05T15:48:01Z"/>
        </w:rPr>
      </w:pPr>
      <w:commentRangeStart w:id="12"/>
      <w:commentRangeStart w:id="56"/>
      <w:del w:id="12005" w:author="Claude" w:date="2026-10-05T15:48:01Z">
        <w:r>
          <w:delText>The leaving rate has been stable over time in most countries with</w:delText>
        </w:r>
      </w:del>
      <w:ins w:id="13" w:author="DURÁN ROA José Elías, EDU/IMEP" w:date="2026-10-05T16:03:00Z" w16du:dateUtc="2026-10-05T14:03:00Z">
        <w:del w:id="12006" w:author="Claude" w:date="2026-10-05T15:48:01Z">
          <w:r>
            <w:delText xml:space="preserve"> available</w:delText>
          </w:r>
        </w:del>
      </w:ins>
      <w:del w:id="12007" w:author="Claude" w:date="2026-10-05T15:48:01Z">
        <w:r>
          <w:delText xml:space="preserve"> data. The OECD average moved from 6.9% in 2015 to 6.5% in 2023, and most systems present in both years moved by less than one percentage point. The only exceptions are Austria and Estonia, where the rate nearly doubled over the same interval (OECD, 2025a). The countries with the longest series confirm this stability. In the United States, where the Teacher Follow-up Survey has measured departures under one definition since 1988, the rate has oscillated between 5% and 8.5% over three and a half decades, has stayed near 8% for the last twenty years and shows no lasting mark of the pandemic increase (NCES, 2024). A continuous annual measure built from the Current Population Survey gives consistent results (Harris and Adams, 2007; Aldeman and Yi, 2025). Similar patterns hold in England, New Zealand, Sweden, Israel, Iceland, Norway and Flanders (Department for Education, 2024a; Education Counts, 2025; Adermon and Laun, 2018; CBS Israel, 2023; Björnsdóttir and Hansen, 2024; Statistics Norway, 2025; Vansteenkiste, 2025). For most other countries no historical series exist, since they require longitudinally linked teacher registers. Where shorter series are available they move in both directions, upwards in Denmark, Estonia, Lithuania and Korea and downwards in Australia and Chile (AE, 2024; Kindsiko, 2023; NŠA, 2025; Ministry of Education Korea, 2023; Buckley and Griselda, 2025; CIAE, 2025).</w:delText>
        </w:r>
      </w:del>
      <w:commentRangeEnd w:id="56"/>
      <w:commentRangeEnd w:id="12"/>
      <w:r>
        <w:rPr>
          <w:rStyle w:val="CommentReference"/>
          <w:sz w:val="23"/>
          <w:szCs w:val="23"/>
        </w:rPr>
        <w:commentReference w:id="12"/>
      </w:r>
      <w:r>
        <w:rPr>
          <w:rStyle w:val="CommentReference"/>
        </w:rPr>
        <w:commentReference w:id="56"/>
      </w:r>
    </w:p>
    <w:p>
      <w:pPr>
        <w:spacing w:after="130" w:line="242" w:lineRule="auto"/>
        <w:jc w:val="both"/>
        <w:rPr>
          <w:ins w:id="12001" w:author="Claude" w:date="2026-10-05T15:48:01Z"/>
        </w:rPr>
      </w:pPr>
      <w:ins w:id="12002" w:author="Claude" w:date="2026-10-05T15:48:01Z">
        <w:r>
          <w:t xml:space="preserve">Over time, the leaving rate has remained remarkably stable in most countries with available data. The OECD average moved from 6.9% in 2015 to 6.5% in 2023, and most systems present in both years moved by less than one percentage point, with Austria and Estonia as the only exceptions, where the rate nearly doubled over the same interval (OECD, 2025a). The countries with the longest series confirm this stability. In the United States, where the Teacher Follow-up Survey has measured departures under one definition since 1988, the rate has oscillated between 5% and 8.5% over three and a half decades, has stayed near 8% for the last twenty years and shows no lasting mark of the pandemic increase (NCES, 2024), a result that a continuous annual measure built from the Current Population Survey confirms (Harris and Adams, 2007; Aldeman and Yi, 2025). Similar patterns are found in England, New Zealand, Sweden, Israel, Iceland, Norway and Flanders (Department for Education, 2024a; Education Counts, 2025; Adermon and Laun, 2018; CBS Israel, 2023; Björnsdóttir and Hansen, 2024; Statistics Norway, 2025; Vansteenkiste, 2025).</w:t>
        </w:r>
      </w:ins>
    </w:p>
    <w:p>
      <w:pPr>
        <w:spacing w:after="130" w:line="242" w:lineRule="auto"/>
        <w:jc w:val="both"/>
        <w:rPr>
          <w:ins w:id="12003" w:author="Claude" w:date="2026-10-05T15:48:01Z"/>
        </w:rPr>
      </w:pPr>
      <w:ins w:id="12004" w:author="Claude" w:date="2026-10-05T15:48:01Z">
        <w:r>
          <w:t xml:space="preserve">For most other countries, however, the evolution of the leaving rate cannot be assessed, since historical series require longitudinally linked teacher registers that few systems have built. Where shorter series are available, they move in both directions, upwards in Denmark, Estonia, Lithuania and Korea and downwards in Australia and Chile (AE, 2024; Kindsiko, 2023; NŠA, 2025; Ministry of Education Korea, 2023; Buckley and Griselda, 2025; CIAE, 2025). The stability observed in the countries with long series should therefore be read as the best available evidence on the matter rather than as a general rule.</w:t>
        </w:r>
      </w:ins>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rPr>
          <w:ins w:id="16" w:author="TORRES José Manuel, EDU/IMEP" w:date="2026-09-17T16:48:00Z" w16du:dateUtc="2026-09-17T14:48:00Z"/>
        </w:rPr>
      </w:pPr>
    </w:p>
    <w:p w14:paraId="642EC4A1" w14:textId="65877B65" w:rsidR="00B3332B" w:rsidRDefault="00000000">
      <w:pPr>
        <w:spacing w:after="130" w:line="242" w:lineRule="auto"/>
        <w:jc w:val="both"/>
      </w:pPr>
      <w:r>
        <w:t xml:space="preserve">Leaving is not worrying in itself, since a continuous outflow is a common feature of any profession in a dynamic labour market. </w:t>
      </w:r>
      <w:ins w:id="17" w:author="DURÁN ROA José Elías, EDU/IMEP" w:date="2026-10-05T16:13:00Z" w16du:dateUtc="2026-10-05T14:13:00Z">
        <w:r>
          <w:t xml:space="preserve">Despite no </w:t>
        </w:r>
      </w:ins>
      <w:del w:id="18" w:author="DURÁN ROA José Elías, EDU/IMEP" w:date="2026-10-05T16:13:00Z" w16du:dateUtc="2026-10-05T14:13:00Z">
        <w:r>
          <w:delText>No</w:delText>
        </w:r>
      </w:del>
      <w:r>
        <w:t xml:space="preserve"> comparable benchmark has been published for most OECD countries, </w:t>
      </w:r>
      <w:del w:id="19" w:author="DURÁN ROA José Elías, EDU/IMEP" w:date="2026-10-05T16:13:00Z" w16du:dateUtc="2026-10-05T14:13:00Z">
        <w:r>
          <w:delText xml:space="preserve">but </w:delText>
        </w:r>
      </w:del>
      <w:r>
        <w:t>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p>
    <w:p w14:paraId="342ABC3D" w14:textId="77777777" w:rsidR="00B3332B" w:rsidRDefault="00000000">
      <w:pPr>
        <w:spacing w:after="130" w:line="242" w:lineRule="auto"/>
        <w:jc w:val="both"/>
        <w:rPr>
          <w:del w:id="12012" w:author="Claude" w:date="2026-10-05T15:48:01Z"/>
        </w:rPr>
      </w:pPr>
      <w:commentRangeStart w:id="20"/>
      <w:commentRangeStart w:id="57"/>
      <w:del w:id="12011" w:author="Claude" w:date="2026-10-05T15:48:01Z">
        <w:r>
          <w:delText>A stable and moderate leaving rate does not make the reasons behind it less important. Every departure is a vacancy to fill, and shortages concentrate in the schools and subjects where filling it is hardest. The policies examined in Section 3 are addressed to the teachers behind these rates, and their design depends on why those teachers left and on what would bring them back. The next section therefore turns to the determinants of leaving.</w:delText>
        </w:r>
      </w:del>
      <w:commentRangeEnd w:id="57"/>
      <w:commentRangeEnd w:id="20"/>
      <w:r>
        <w:rPr>
          <w:rStyle w:val="CommentReference"/>
          <w:sz w:val="23"/>
          <w:szCs w:val="23"/>
        </w:rPr>
        <w:commentReference w:id="20"/>
      </w:r>
      <w:r>
        <w:rPr>
          <w:rStyle w:val="CommentReference"/>
        </w:rPr>
        <w:commentReference w:id="57"/>
      </w:r>
    </w:p>
    <w:p>
      <w:pPr>
        <w:spacing w:after="130" w:line="242" w:lineRule="auto"/>
        <w:jc w:val="both"/>
        <w:rPr>
          <w:ins w:id="12009" w:author="Claude" w:date="2026-10-05T15:48:01Z"/>
        </w:rPr>
      </w:pPr>
      <w:ins w:id="12010" w:author="Claude" w:date="2026-10-05T15:48:01Z">
        <w:r>
          <w:t xml:space="preserve">The fact that the leaving rate is moderate and stable does not diminish the relevance of understanding why teachers leave. On the one hand, even a modest outflow represents, in absolute terms, a large number of teachers who must be replaced every year, and the difficulty of doing so is unevenly distributed, since vacancies tend to concentrate in the schools and subjects that are hardest to staff. On the other hand, and more importantly for the purposes of this paper, the policies that seek to bring former teachers back are addressed precisely to the teachers behind these rates, and their design depends on an accurate understanding of the motives that led them to leave and of the conditions under which they would consider returning. The following section reviews what the literature has established on these motives.</w:t>
        </w:r>
      </w:ins>
    </w:p>
    <w:p w14:paraId="085ED38B" w14:textId="77777777" w:rsidR="00F40E91" w:rsidRDefault="00A42790">
      <w:pPr>
        <w:pStyle w:val="Heading2"/>
        <w:spacing w:before="200" w:after="120"/>
      </w:pPr>
      <w:bookmarkStart w:id="21" w:name="_Toc239235955"/>
      <w:r>
        <w:rPr>
          <w:b/>
          <w:bCs/>
          <w:color w:val="04629A"/>
          <w:sz w:val="25"/>
          <w:szCs w:val="25"/>
        </w:rPr>
        <w:t>2.2 Determinants of teachers leaving</w:t>
      </w:r>
      <w:bookmarkEnd w:id="21"/>
    </w:p>
    <w:p w14:paraId="789C9BC2" w14:textId="77777777"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areas: working conditions, organisational factors, financial factors, professional factors, personal and life-course factors, and accountability and regulation. They are presented starting with those that the evidence identifies as most </w:t>
        <w:lastRenderedPageBreak/>
        <w:t>important and ending with the least studied. Each area closes with its implications for policies that seek to re-attract former teachers, and Box 1 at the end of the section summarises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ins w:id="22" w:author="TORRES José Manuel, EDU/IMEP" w:date="2026-09-17T17:02:00Z" w16du:dateUtc="2026-09-17T15:02:00Z"/>
          <w:color w:val="000000" w:themeColor="text1"/>
        </w:rPr>
      </w:pPr>
    </w:p>
    <w:p w14:paraId="3BEEBC89" w14:textId="77777777" w:rsidR="00B3332B" w:rsidRDefault="00000000">
      <w:pPr>
        <w:pStyle w:val="Heading3"/>
        <w:keepNext/>
      </w:pPr>
      <w:r>
        <w:t>Working conditions</w:t>
      </w:r>
    </w:p>
    <w:p w14:paraId="50C39CAD" w14:textId="76FCE1D6" w:rsidR="00B3332B" w:rsidRDefault="00CB0771">
      <w:pPr>
        <w:spacing w:after="130" w:line="242" w:lineRule="auto"/>
        <w:jc w:val="both"/>
      </w:pPr>
      <w:r>
        <w:t>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p>
    <w:p w14:paraId="7B5E6891" w14:textId="77777777" w:rsidR="00B3332B" w:rsidRDefault="00000000">
      <w:pPr>
        <w:spacing w:after="130" w:line="242" w:lineRule="auto"/>
        <w:jc w:val="both"/>
        <w:rPr>
          <w:del w:id="12024" w:author="Claude" w:date="2026-10-05T15:48:01Z"/>
        </w:rPr>
      </w:pPr>
      <w:commentRangeStart w:id="23"/>
      <w:commentRangeStart w:id="58"/>
      <w:del w:id="12021" w:author="Claude" w:date="2026-10-05T15:48:01Z">
        <w:r>
          <w:delText>Actual leavers confirm this picture</w:delText>
        </w:r>
      </w:del>
      <w:commentRangeEnd w:id="58"/>
      <w:commentRangeEnd w:id="23"/>
      <w:r>
        <w:rPr>
          <w:rStyle w:val="CommentReference"/>
          <w:sz w:val="23"/>
          <w:szCs w:val="23"/>
        </w:rPr>
        <w:commentReference w:id="23"/>
      </w:r>
      <w:r>
        <w:rPr>
          <w:rStyle w:val="CommentReference"/>
        </w:rPr>
        <w:commentReference w:id="58"/>
      </w:r>
      <w:del w:id="12022" w:author="Claude" w:date="2026-10-05T15:48:01Z">
        <w:r>
          <w:delText xml:space="preserve">. </w:delText>
        </w:r>
      </w:del>
      <w:commentRangeStart w:id="24"/>
      <w:commentRangeStart w:id="59"/>
      <w:del w:id="12023" w:author="Claude" w:date="2026-10-05T15:48:01Z">
        <w:r>
          <w:delText>In the Netherlands, workload, stress and burden were named ahead of every other category by 47% of recent leavers, who complained about intense working days, little rest within them and recurrent overtime (Van Casteren et al., 2023). Among them, 80% declared that they could have been retained, most often with less workload or a smaller class, and a quarter with more supportive school leadership. In Sweden, workload and parental expectations came first, followed by administrative tasks and the lack of control over one's own work (Statistics Sweden, 2023). In Australia, the intensification of workload ranked second, behind dissatisfaction with school leadership (Brandenburg et al., 2024).</w:delText>
        </w:r>
      </w:del>
      <w:commentRangeEnd w:id="59"/>
      <w:commentRangeEnd w:id="24"/>
      <w:r>
        <w:rPr>
          <w:rStyle w:val="CommentReference"/>
          <w:sz w:val="23"/>
          <w:szCs w:val="23"/>
        </w:rPr>
        <w:commentReference w:id="24"/>
      </w:r>
      <w:r>
        <w:rPr>
          <w:rStyle w:val="CommentReference"/>
        </w:rPr>
        <w:commentReference w:id="59"/>
      </w:r>
    </w:p>
    <w:p>
      <w:pPr>
        <w:spacing w:after="130" w:line="242" w:lineRule="auto"/>
        <w:jc w:val="both"/>
        <w:rPr>
          <w:ins w:id="12019" w:author="Claude" w:date="2026-10-05T15:48:01Z"/>
        </w:rPr>
      </w:pPr>
      <w:ins w:id="12020" w:author="Claude" w:date="2026-10-05T15:48:01Z">
        <w:r>
          <w:t xml:space="preserve">The surveys that ask teachers who have actually left why they did so point to the same factors, and in particular to workload, which emerges as the most cited reason among those related to working conditions. The leaver surveys of the Netherlands, Sweden and Australia are consistent in this respect, although the weight of each component varies.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(Van Casteren et al., 2023). In Sweden, workload and parental expectations also came first, followed by administrative tasks and the lack of control over one's own work (Statistics Sweden, 2023), while in Australia the intensification of workload ranked second, behind dissatisfaction with school leadership, which is examined later in this section (Brandenburg et al., 2024).</w:t>
        </w:r>
      </w:ins>
    </w:p>
    <w:p w14:paraId="6FDE8D11" w14:textId="77777777" w:rsidR="00B3332B" w:rsidRDefault="00000000">
      <w:pPr>
        <w:spacing w:after="130" w:line="242" w:lineRule="auto"/>
        <w:jc w:val="both"/>
        <w:rPr>
          <w:del w:id="12030" w:author="Claude" w:date="2026-10-05T15:48:01Z"/>
        </w:rPr>
      </w:pPr>
      <w:commentRangeStart w:id="25"/>
      <w:commentRangeStart w:id="60"/>
      <w:del w:id="12027" w:author="Claude" w:date="2026-10-05T15:48:01Z">
        <w:r>
          <w:delText xml:space="preserve">These complaints do not mean that teachers' conditions are worse than those of other professions. </w:delText>
        </w:r>
      </w:del>
      <w:commentRangeEnd w:id="60"/>
      <w:commentRangeEnd w:id="25"/>
      <w:r>
        <w:rPr>
          <w:rStyle w:val="CommentReference"/>
          <w:sz w:val="23"/>
          <w:szCs w:val="23"/>
        </w:rPr>
        <w:commentReference w:id="25"/>
      </w:r>
      <w:r>
        <w:rPr>
          <w:rStyle w:val="CommentReference"/>
        </w:rPr>
        <w:commentReference w:id="60"/>
      </w:r>
      <w:commentRangeStart w:id="26"/>
      <w:del w:id="12028" w:author="Claude" w:date="2026-10-05T15:48:01Z">
        <w:r>
          <w:delText xml:space="preserve">When TALIS 2024 responses are compared with those of similarly qualified workers in the Survey of Adult Skills, teachers report fewer weekly hours in 13 of 26 systems and no clear difference in another 11 (OECD, 2025b). What distinguishes teaching is less the number of hours than their intensity and the burden perceived in the classroom. </w:delText>
        </w:r>
      </w:del>
      <w:commentRangeEnd w:id="26"/>
      <w:r>
        <w:rPr>
          <w:rStyle w:val="CommentReference"/>
          <w:sz w:val="23"/>
          <w:szCs w:val="23"/>
        </w:rPr>
        <w:commentReference w:id="26"/>
      </w:r>
      <w:del w:id="12029" w:author="Claude" w:date="2026-10-05T15:48:01Z">
        <w:r>
          <w:delText>This is confirmed where declared workload can be set against observed departures. In England, the TALIS 2018 responses of teachers were linked to the School Workforce Census, the administrative register of state-school staff, so that actual departures could be followed (Sims and Jerrim, 2020). Teachers in schools with worse discipline were more likely to leave the profession. An improvement of one standard deviation in the school's discipline climate, an index built from teachers' reports on how far they can control disruptive behaviour, how consistently the school enforces rules and how much stress pupil behaviour causes them, halved a teacher's annual probability of leaving. In the same study, the hours teachers worked did not predict their departure.</w:delText>
        </w:r>
      </w:del>
    </w:p>
    <w:p>
      <w:pPr>
        <w:spacing w:after="130" w:line="242" w:lineRule="auto"/>
        <w:jc w:val="both"/>
        <w:rPr>
          <w:ins w:id="12025" w:author="Claude" w:date="2026-10-05T15:48:01Z"/>
        </w:rPr>
      </w:pPr>
      <w:ins w:id="12026" w:author="Claude" w:date="2026-10-05T15:48:01Z">
        <w:r>
          <w:t xml:space="preserve">The workload that teachers declare, however, goes beyond the number of hours stipulated by contract and mainly reflects the intensity of the work, the preparation and administrative tasks carried out outside school hours, and the burden they perceive in the classroom. Teachers do not work longer hours than comparable professionals: when TALIS 2024 responses are compared with those of similarly qualified workers in the Survey of Adult Skills, teachers report fewer weekly hours in 13 of 26 systems and no clear difference in another 11 (OECD, 2025b). What distinguishes teaching is therefore not the length of the working week but what it contains. This is confirmed by the evidence in which declared working conditions can be set against observed departures. In England, the TALIS 2018 responses of teachers were linked to the School Workforce Census, the administrative register of state-school staff, so that actual departures could be followed (Sims and Jerrim, 2020). Teachers in schools with worse discipline were considerably more likely to leave the profession: an improvement of one standard deviation in the school's discipline climate, an index built from teachers' reports on how far they can control disruptive behaviour, how consistently the school enforces rules and how much stress pupil behaviour causes them, halved a teacher's annual probability of leaving, whereas the number of hours teachers worked did not predict their departure.</w:t>
        </w:r>
      </w:ins>
    </w:p>
    <w:p w14:paraId="47D6B1E6" w14:textId="77777777" w:rsidR="00B3332B" w:rsidRDefault="00000000">
      <w:pPr>
        <w:spacing w:after="130" w:line="242" w:lineRule="auto"/>
        <w:jc w:val="both"/>
        <w:rPr>
          <w:del w:id="12034" w:author="Claude" w:date="2026-10-05T15:48:01Z"/>
        </w:rPr>
      </w:pPr>
      <w:commentRangeStart w:id="27"/>
      <w:commentRangeStart w:id="61"/>
      <w:del w:id="12033" w:author="Claude" w:date="2026-10-05T15:48:01Z">
        <w:r>
          <w:lastRenderedPageBreak/>
          <w:delText>For re-entry policies, two lessons follow. The first concerns placement. Shortages concentrate in disadvantaged and rural schools where the classroom climate is worst (Simon and Johnson, 2015; UNESCO, 2024), so a returner placed there on the strength of an incentive alone meets the conditions that drive departures. The second concerns the load offered. Working conditions weigh on switchers and leavers alike, and a reduced teaching load or a smaller class is the retention measure that leavers themselves most often name (Van Casteren et al., 2023).</w:delText>
        </w:r>
      </w:del>
      <w:commentRangeEnd w:id="61"/>
      <w:commentRangeEnd w:id="27"/>
      <w:r>
        <w:rPr>
          <w:rStyle w:val="CommentReference"/>
          <w:sz w:val="23"/>
          <w:szCs w:val="23"/>
        </w:rPr>
        <w:commentReference w:id="27"/>
      </w:r>
      <w:r>
        <w:rPr>
          <w:rStyle w:val="CommentReference"/>
        </w:rPr>
        <w:commentReference w:id="61"/>
      </w:r>
    </w:p>
    <w:p>
      <w:pPr>
        <w:spacing w:after="130" w:line="242" w:lineRule="auto"/>
        <w:jc w:val="both"/>
        <w:rPr>
          <w:ins w:id="12031" w:author="Claude" w:date="2026-10-05T15:48:01Z"/>
        </w:rPr>
      </w:pPr>
      <w:ins w:id="12032" w:author="Claude" w:date="2026-10-05T15:48:01Z">
        <w:r>
          <w:t xml:space="preserve">This is relevant for policies that aim to re-attract former teachers, because teacher shortages tend to concentrate in disadvantaged or rural schools where the classroom climate is worst (Simon and Johnson, 2015; UNESCO, 2024), so that a former teacher placed in one of them on the strength of an incentive alone would meet precisely the conditions that drive departures. It also points to what such policies should attend to, namely the discipline climate of the school where a returner is placed and the teaching load they are offered, which is the retention measure that leavers themselves most often name (Sims and Jerrim, 2020; Van Casteren et al., 2023). Since working conditions weigh on switchers and leavers alike, this applies to both profiles.</w:t>
        </w:r>
      </w:ins>
    </w:p>
    <w:p w14:paraId="12738D9D" w14:textId="77777777" w:rsidR="00B3332B" w:rsidRDefault="00000000">
      <w:pPr>
        <w:pStyle w:val="Heading3"/>
        <w:keepNext/>
      </w:pPr>
      <w:r>
        <w:t>Organisational factors</w:t>
      </w:r>
    </w:p>
    <w:p w14:paraId="760C7754" w14:textId="362062B8" w:rsidR="00B3332B" w:rsidRDefault="00EE3D50">
      <w:pPr>
        <w:spacing w:after="130" w:line="242" w:lineRule="auto"/>
        <w:jc w:val="both"/>
        <w:rPr>
          <w:del w:id="12039" w:author="Claude" w:date="2026-10-05T15:48:01Z"/>
        </w:rPr>
      </w:pPr>
      <w:del w:id="12037" w:author="Claude" w:date="2026-10-05T15:48:01Z">
        <w:r>
          <w:delText xml:space="preserve">Closely linked to the daily pressures of teaching, organisational factors cover the quality of school leadership, the structuring of collaborative time and the degree of support among colleagues. Dissatisfaction with school leadership is one of the most frequently cited predictors of teacher departure (Boyd et al., 2011; Ladd, 2011; Simon and Johnson, 2015). Isolating its causal effect is difficult, because principals and teachers sort across schools. </w:delText>
        </w:r>
      </w:del>
      <w:commentRangeStart w:id="28"/>
      <w:commentRangeStart w:id="62"/>
      <w:del w:id="12038" w:author="Claude" w:date="2026-10-05T15:48:01Z">
        <w:r>
          <w:delText>Experienced principals tend to move towards schools with more advantaged students, so leadership quality and school context are correlated and their effects are hard to separate (Béteille, Kalogrides and Loeb, 2012).</w:delText>
        </w:r>
      </w:del>
      <w:commentRangeEnd w:id="62"/>
      <w:commentRangeEnd w:id="28"/>
      <w:r>
        <w:rPr>
          <w:rStyle w:val="CommentReference"/>
          <w:sz w:val="23"/>
          <w:szCs w:val="23"/>
        </w:rPr>
        <w:commentReference w:id="28"/>
      </w:r>
      <w:r>
        <w:rPr>
          <w:rStyle w:val="CommentReference"/>
        </w:rPr>
        <w:commentReference w:id="62"/>
      </w:r>
    </w:p>
    <w:p>
      <w:pPr>
        <w:spacing w:after="130" w:line="242" w:lineRule="auto"/>
        <w:jc w:val="both"/>
        <w:rPr>
          <w:ins w:id="12035" w:author="Claude" w:date="2026-10-05T15:48:01Z"/>
        </w:rPr>
      </w:pPr>
      <w:ins w:id="12036" w:author="Claude" w:date="2026-10-05T15:48:01Z">
        <w:r>
          <w:t xml:space="preserve">Closely linked to the daily pressures of teaching, organisational factors cover the quality of school leadership, the structuring of collaborative time and the degree of support among colleagues. Dissatisfaction with school leadership is one of the most frequently cited predictors of teacher departure (Boyd et al., 2011; Ladd, 2011; Simon and Johnson, 2015). Isolating its causal effect is difficult, however, because principals and teachers are not randomly distributed across schools, so that the quality of leadership and the characteristics of the school and its students are correlated in ways that depend on the context and are hard to disentangle.</w:t>
        </w:r>
      </w:ins>
    </w:p>
    <w:p w14:paraId="574AD3AA" w14:textId="6C4242CC" w:rsidR="00B3332B" w:rsidRDefault="00EE3D50">
      <w:pPr>
        <w:spacing w:after="130" w:line="242" w:lineRule="auto"/>
        <w:jc w:val="both"/>
        <w:rPr>
          <w:del w:id="12048" w:author="Claude" w:date="2026-10-05T15:48:01Z"/>
        </w:rPr>
      </w:pPr>
      <w:ins w:id="29" w:author="DURÁN ROA José Elías, EDU/IMEP" w:date="2026-10-05T16:39:00Z" w16du:dateUtc="2026-10-05T14:39:00Z">
        <w:del w:id="12042" w:author="Claude" w:date="2026-10-05T15:48:01Z">
          <w:r>
            <w:delText>The</w:delText>
          </w:r>
        </w:del>
      </w:ins>
      <w:ins w:id="30" w:author="DURÁN ROA José Elías, EDU/IMEP" w:date="2026-10-05T16:55:00Z" w16du:dateUtc="2026-10-05T14:55:00Z">
        <w:del w:id="12043" w:author="Claude" w:date="2026-10-05T15:48:01Z">
          <w:r>
            <w:delText xml:space="preserve"> </w:delText>
          </w:r>
        </w:del>
      </w:ins>
      <w:ins w:id="31" w:author="DURÁN ROA José Elías, EDU/IMEP" w:date="2026-10-05T16:39:00Z" w16du:dateUtc="2026-10-05T14:39:00Z">
        <w:del w:id="12044" w:author="Claude" w:date="2026-10-05T15:48:01Z">
          <w:r>
            <w:delText>s</w:delText>
          </w:r>
        </w:del>
      </w:ins>
      <w:del w:id="12045" w:author="Claude" w:date="2026-10-05T15:48:01Z">
        <w:r>
          <w:delText xml:space="preserve">tudies that account </w:delText>
        </w:r>
      </w:del>
      <w:commentRangeStart w:id="32"/>
      <w:commentRangeStart w:id="63"/>
      <w:del w:id="12046" w:author="Claude" w:date="2026-10-05T15:48:01Z">
        <w:r>
          <w:delText xml:space="preserve">for this sorting </w:delText>
        </w:r>
      </w:del>
      <w:commentRangeEnd w:id="63"/>
      <w:commentRangeEnd w:id="32"/>
      <w:r>
        <w:rPr>
          <w:rStyle w:val="CommentReference"/>
          <w:sz w:val="23"/>
          <w:szCs w:val="23"/>
        </w:rPr>
        <w:commentReference w:id="32"/>
      </w:r>
      <w:r>
        <w:rPr>
          <w:rStyle w:val="CommentReference"/>
        </w:rPr>
        <w:commentReference w:id="63"/>
      </w:r>
      <w:del w:id="12047" w:author="Claude" w:date="2026-10-05T15:48:01Z">
        <w:r>
          <w:delText>still find a substantial effect. 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The effect of principals is largest precisely in disadvantaged schools, where an effective principal raises teacher satisfaction and lowers turnover more than elsewhere (Grissom, 2011).</w:delText>
        </w:r>
      </w:del>
    </w:p>
    <w:p>
      <w:pPr>
        <w:spacing w:after="130" w:line="242" w:lineRule="auto"/>
        <w:jc w:val="both"/>
        <w:rPr>
          <w:ins w:id="12040" w:author="Claude" w:date="2026-10-05T15:48:01Z"/>
        </w:rPr>
      </w:pPr>
      <w:ins w:id="12041" w:author="Claude" w:date="2026-10-05T15:48:01Z">
        <w:r>
          <w:t xml:space="preserve">Nonetheless, when studies account for these sorting dynamics, the direct effect of leadership remains substantial. 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The effect of principals appears to be largest precisely in disadvantaged schools, where an effective principal raises teacher satisfaction and lowers turnover more than elsewhere (Grissom, 2011).</w:t>
        </w:r>
      </w:ins>
    </w:p>
    <w:p w14:paraId="6CA70E3A" w14:textId="77777777" w:rsidR="00B3332B" w:rsidRDefault="00000000">
      <w:pPr>
        <w:spacing w:after="130" w:line="242" w:lineRule="auto"/>
        <w:jc w:val="both"/>
        <w:rPr>
          <w:del w:id="12055" w:author="Claude" w:date="2026-10-05T15:48:01Z"/>
        </w:rPr>
      </w:pPr>
      <w:commentRangeStart w:id="33"/>
      <w:commentRangeStart w:id="64"/>
      <w:del w:id="12051" w:author="Claude" w:date="2026-10-05T15:48:01Z">
        <w:r>
          <w:delText xml:space="preserve">Mentoring is a further organisational lever. It accelerates the development of novice teachers and reduces the isolation common in the first years. </w:delText>
        </w:r>
      </w:del>
      <w:commentRangeEnd w:id="64"/>
      <w:commentRangeEnd w:id="33"/>
      <w:r>
        <w:rPr>
          <w:rStyle w:val="CommentReference"/>
          <w:sz w:val="23"/>
          <w:szCs w:val="23"/>
        </w:rPr>
        <w:commentReference w:id="33"/>
      </w:r>
      <w:r>
        <w:rPr>
          <w:rStyle w:val="CommentReference"/>
        </w:rPr>
        <w:commentReference w:id="64"/>
      </w:r>
      <w:del w:id="12052" w:author="Claude" w:date="2026-10-05T15:48:01Z">
        <w:r>
          <w:delText xml:space="preserve">Across the OECD, only 26% of novice teachers had an assigned mentor in 2024, although four in five worked in schools that offer a mentoring programme (OECD, 2025b). Novice teachers who receive induction support are less likely to leave (Nguyen et al., 2020), </w:delText>
        </w:r>
      </w:del>
      <w:commentRangeStart w:id="34"/>
      <w:commentRangeStart w:id="65"/>
      <w:del w:id="12053" w:author="Claude" w:date="2026-10-05T15:48:01Z">
        <w:r>
          <w:delText xml:space="preserve">and England's Early Career Framework, </w:delText>
        </w:r>
      </w:del>
      <w:commentRangeEnd w:id="65"/>
      <w:commentRangeEnd w:id="34"/>
      <w:r>
        <w:rPr>
          <w:rStyle w:val="CommentReference"/>
          <w:sz w:val="23"/>
          <w:szCs w:val="23"/>
        </w:rPr>
        <w:commentReference w:id="34"/>
      </w:r>
      <w:r>
        <w:rPr>
          <w:rStyle w:val="CommentReference"/>
        </w:rPr>
        <w:commentReference w:id="65"/>
      </w:r>
      <w:del w:id="12054" w:author="Claude" w:date="2026-10-05T15:48:01Z">
        <w:r>
          <w:delText>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delText>
        </w:r>
      </w:del>
    </w:p>
    <w:p>
      <w:pPr>
        <w:spacing w:after="130" w:line="242" w:lineRule="auto"/>
        <w:jc w:val="both"/>
        <w:rPr>
          <w:ins w:id="12049" w:author="Claude" w:date="2026-10-05T15:48:01Z"/>
        </w:rPr>
      </w:pPr>
      <w:ins w:id="12050" w:author="Claude" w:date="2026-10-05T15:48:01Z">
        <w:r>
          <w:t xml:space="preserve">Mentoring is a further organisational lever, since it accelerates the pedagogical development of novice teachers and mitigates the professional isolation that is common in the first years of the career. Across the OECD, however, only 26% of novice teachers had an assigned mentor in 2024, although four in five worked in schools that offer a mentoring programme (OECD, 2025b). Novice teachers who receive induction support are less likely to leave the profession (Nguyen et al., 2020),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ins>
    </w:p>
    <w:p w14:paraId="5FD9AF5E" w14:textId="77777777" w:rsidR="00B3332B" w:rsidRDefault="00000000">
      <w:pPr>
        <w:spacing w:after="130" w:line="242" w:lineRule="auto"/>
        <w:jc w:val="both"/>
        <w:rPr>
          <w:del w:id="12063" w:author="Claude" w:date="2026-10-05T15:48:01Z"/>
        </w:rPr>
      </w:pPr>
      <w:del w:id="12058" w:author="Claude" w:date="2026-10-05T15:48:01Z">
        <w:r>
          <w:delText xml:space="preserve">For re-entry policies, organisational factors matter in two ways. </w:delText>
        </w:r>
      </w:del>
      <w:commentRangeStart w:id="35"/>
      <w:commentRangeStart w:id="66"/>
      <w:commentRangeStart w:id="36"/>
      <w:del w:id="12059" w:author="Claude" w:date="2026-10-05T15:48:01Z">
        <w:r>
          <w:delText xml:space="preserve">The first is again placement. </w:delText>
        </w:r>
      </w:del>
      <w:commentRangeEnd w:id="66"/>
      <w:commentRangeEnd w:id="35"/>
      <w:r>
        <w:rPr>
          <w:rStyle w:val="CommentReference"/>
          <w:sz w:val="23"/>
          <w:szCs w:val="23"/>
        </w:rPr>
        <w:commentReference w:id="35"/>
      </w:r>
      <w:r>
        <w:rPr>
          <w:rStyle w:val="CommentReference"/>
        </w:rPr>
        <w:commentReference w:id="66"/>
      </w:r>
      <w:commentRangeEnd w:id="36"/>
      <w:r>
        <w:rPr>
          <w:rStyle w:val="CommentReference"/>
          <w:sz w:val="23"/>
          <w:szCs w:val="23"/>
        </w:rPr>
        <w:commentReference w:id="36"/>
      </w:r>
      <w:del w:id="12060" w:author="Claude" w:date="2026-10-05T15:48:01Z">
        <w:r>
          <w:delText xml:space="preserve">Leadership and collegial support are decisive for all three profiles, and a teacher who returns to a school with weak leadership meets the conditions that produced the first departure. </w:delText>
        </w:r>
      </w:del>
      <w:commentRangeStart w:id="37"/>
      <w:commentRangeStart w:id="67"/>
      <w:del w:id="12061" w:author="Claude" w:date="2026-10-05T15:48:01Z">
        <w:r>
          <w:delText xml:space="preserve">The second is the role that retired teachers can play. </w:delText>
        </w:r>
      </w:del>
      <w:commentRangeEnd w:id="67"/>
      <w:commentRangeEnd w:id="37"/>
      <w:r>
        <w:rPr>
          <w:rStyle w:val="CommentReference"/>
          <w:sz w:val="23"/>
          <w:szCs w:val="23"/>
        </w:rPr>
        <w:commentReference w:id="37"/>
      </w:r>
      <w:r>
        <w:rPr>
          <w:rStyle w:val="CommentReference"/>
        </w:rPr>
        <w:commentReference w:id="67"/>
      </w:r>
      <w:del w:id="12062" w:author="Claude" w:date="2026-10-05T15:48:01Z">
        <w:r>
          <w:delText>Where fewer than one in three novices has a mentor, experienced returners can fill that gap, and the peer interaction they bring improves the instruction of their colleagues (Papay et al., 2020; DeCesare et al., 2017).</w:delText>
        </w:r>
      </w:del>
    </w:p>
    <w:p>
      <w:pPr>
        <w:spacing w:after="130" w:line="242" w:lineRule="auto"/>
        <w:jc w:val="both"/>
        <w:rPr>
          <w:ins w:id="12056" w:author="Claude" w:date="2026-10-05T15:48:01Z"/>
        </w:rPr>
      </w:pPr>
      <w:ins w:id="12057" w:author="Claude" w:date="2026-10-05T15:48:01Z">
        <w:r>
          <w:t xml:space="preserve">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rather than after.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(Papay et al., 2020; DeCesare et al., 2017).</w:t>
        </w:r>
      </w:ins>
    </w:p>
    <w:p w14:paraId="3D29A35B" w14:textId="77777777" w:rsidR="00B3332B" w:rsidRDefault="00000000">
      <w:pPr>
        <w:pStyle w:val="Heading3"/>
        <w:keepNext/>
      </w:pPr>
      <w:r>
        <w:t>Financial factors</w:t>
      </w:r>
    </w:p>
    <w:p w14:paraId="016CBDB8" w14:textId="77777777" w:rsidR="00B3332B" w:rsidRDefault="00000000">
      <w:pPr>
        <w:spacing w:after="130" w:line="242" w:lineRule="auto"/>
        <w:jc w:val="both"/>
      </w:pPr>
      <w:r>
        <w:t>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(OECD, 2025d).</w:t>
      </w:r>
    </w:p>
    <w:p w14:paraId="62FFFA0B" w14:textId="054BDD7B" w:rsidR="00F40E91" w:rsidRPr="009E7410" w:rsidRDefault="00A42790">
      <w:pPr>
        <w:spacing w:after="130" w:line="242" w:lineRule="auto"/>
        <w:jc w:val="both"/>
        <w:rPr>
          <w:b/>
          <w:bCs/>
        </w:rPr>
      </w:pPr>
      <w:commentRangeStart w:id="38"/>
      <w:commentRangeStart w:id="68"/>
      <w:r>
        <w:rPr>
          <w:b/>
          <w:bCs/>
        </w:rPr>
        <w:t>Figure 2. Teachers’ salary compared to other tertiary-educated workers earnings</w:t>
      </w:r>
      <w:commentRangeEnd w:id="68"/>
      <w:commentRangeEnd w:id="38"/>
      <w:r>
        <w:rPr>
          <w:rStyle w:val="CommentReference"/>
          <w:b/>
          <w:bCs/>
          <w:sz w:val="23"/>
          <w:szCs w:val="23"/>
        </w:rPr>
        <w:commentReference w:id="38"/>
      </w:r>
      <w:r>
        <w:rPr>
          <w:rStyle w:val="CommentReference"/>
        </w:rPr>
        <w:commentReference w:id="68"/>
      </w:r>
    </w:p>
    <w:p w14:paraId="11285CA1" w14:textId="77777777" w:rsidR="00F40E91" w:rsidRPr="009F6E3D" w:rsidRDefault="00A42790">
      <w:pPr>
        <w:spacing w:before="80" w:after="80"/>
        <w:jc w:val="center"/>
      </w:pPr>
      <w:r>
        <w:rPr>
          <w:noProof/>
        </w:rPr>
        <w:lastRenderedPageBreak/>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007B0364" w14:textId="77777777" w:rsidR="00B3332B" w:rsidRDefault="00000000">
      <w:pPr>
        <w:spacing w:after="130" w:line="242" w:lineRule="auto"/>
        <w:jc w:val="both"/>
        <w:rPr>
          <w:del w:id="12068" w:author="Claude" w:date="2026-10-05T15:48:01Z"/>
        </w:rPr>
      </w:pPr>
      <w:commentRangeStart w:id="39"/>
      <w:commentRangeStart w:id="69"/>
      <w:del w:id="12066" w:author="Claude" w:date="2026-10-05T15:48:01Z">
        <w:r>
          <w:delText xml:space="preserve">Where pay has been tested causally, money retains. </w:delText>
        </w:r>
      </w:del>
      <w:commentRangeEnd w:id="69"/>
      <w:commentRangeEnd w:id="39"/>
      <w:r>
        <w:rPr>
          <w:rStyle w:val="CommentReference"/>
          <w:sz w:val="23"/>
          <w:szCs w:val="23"/>
        </w:rPr>
        <w:commentReference w:id="39"/>
      </w:r>
      <w:r>
        <w:rPr>
          <w:rStyle w:val="CommentReference"/>
        </w:rPr>
        <w:commentReference w:id="69"/>
      </w:r>
      <w:del w:id="12067" w:author="Claude" w:date="2026-10-05T15:48:01Z">
        <w:r>
          <w:delText>Targeted payments cut departures by 9% to 23% in Norway, England and North Carolina (Falch, 2011; Sims and Benhenda, 2022; Clotfelter et al., 2008). This causal evidence rests on a small number of studies exploiting policy discontinuities and carries three lessons. Payments work when they are large and teachers know they are eligible (Falch, 2011; Clotfelter et al., 2008). Their effect is confined to the teachers they target and negligible for the rest (Springer, Swain and Rodriguez, 2016). And one-off bonuses produce larger short-run effects than permanent increases, which indicates that the retention gain does not outlast the payment (Feng and Sass, 2018; See et al., 2020).</w:delText>
        </w:r>
      </w:del>
    </w:p>
    <w:p>
      <w:pPr>
        <w:spacing w:after="130" w:line="242" w:lineRule="auto"/>
        <w:jc w:val="both"/>
        <w:rPr>
          <w:ins w:id="12064" w:author="Claude" w:date="2026-10-05T15:48:01Z"/>
        </w:rPr>
      </w:pPr>
      <w:ins w:id="12065" w:author="Claude" w:date="2026-10-05T15:48:01Z">
        <w:r>
          <w:t xml:space="preserve">The causal evidence on pay confirms that financial incentives do retain teachers, although with important qualifications. Where pay has been tested causally, targeted payments cut departures by 9% to 23% in Norway, England and North Carolina (Falch, 2011; Sims and Benhenda, 2022; Clotfelter et al., 2008). This evidence rests on a small number of studies exploiting policy discontinuities, and three conclusions emerge from them. Financial incentives are effective when the payment is large and teachers are aware of their eligibility (Falch, 2011; Clotfelter et al., 2008); their effect is confined to the teachers they target and is negligible for the rest (Springer, Swain and Rodriguez, 2016); and one-off bonuses produce larger short-run effects than permanent increases, which indicates that the retention gain does not persist beyond the payment period (Feng and Sass, 2018; See et al., 2020).</w:t>
        </w:r>
      </w:ins>
    </w:p>
    <w:p w14:paraId="0A3DC875" w14:textId="77777777" w:rsidR="00B3332B" w:rsidRDefault="00000000">
      <w:pPr>
        <w:spacing w:after="130" w:line="242" w:lineRule="auto"/>
        <w:jc w:val="both"/>
        <w:rPr>
          <w:del w:id="12078" w:author="Claude" w:date="2026-10-05T15:48:01Z"/>
        </w:rPr>
      </w:pPr>
      <w:commentRangeStart w:id="40"/>
      <w:commentRangeStart w:id="70"/>
      <w:del w:id="12073" w:author="Claude" w:date="2026-10-05T15:48:01Z">
        <w:r>
          <w:delText xml:space="preserve">Pension rules also shape the decision to leave. </w:delText>
        </w:r>
      </w:del>
      <w:commentRangeEnd w:id="70"/>
      <w:commentRangeEnd w:id="40"/>
      <w:r>
        <w:rPr>
          <w:rStyle w:val="CommentReference"/>
          <w:sz w:val="23"/>
          <w:szCs w:val="23"/>
        </w:rPr>
        <w:commentReference w:id="40"/>
      </w:r>
      <w:r>
        <w:rPr>
          <w:rStyle w:val="CommentReference"/>
        </w:rPr>
        <w:commentReference w:id="70"/>
      </w:r>
      <w:del w:id="12074" w:author="Claude" w:date="2026-10-05T15:48:01Z">
        <w:r>
          <w:delText xml:space="preserve">They set the retirement age, which falls between 62 and 67 in most OECD countries and </w:delText>
        </w:r>
      </w:del>
      <w:commentRangeStart w:id="41"/>
      <w:commentRangeStart w:id="71"/>
      <w:del w:id="12075" w:author="Claude" w:date="2026-10-05T15:48:01Z">
        <w:r>
          <w:delText xml:space="preserve">is lowest for teachers in France and Spain, where retirement is possible from 59 for the former primary corps and from 60 for civil-servant teachers with thirty years of service (OECD, 2025e; Ministère de l'Éducation nationale, 2023; Government of Spain, 2015). </w:delText>
        </w:r>
      </w:del>
      <w:commentRangeEnd w:id="71"/>
      <w:commentRangeEnd w:id="41"/>
      <w:r>
        <w:rPr>
          <w:rStyle w:val="CommentReference"/>
          <w:sz w:val="23"/>
          <w:szCs w:val="23"/>
        </w:rPr>
        <w:commentReference w:id="41"/>
      </w:r>
      <w:r>
        <w:rPr>
          <w:rStyle w:val="CommentReference"/>
        </w:rPr>
        <w:commentReference w:id="71"/>
      </w:r>
      <w:del w:id="12076" w:author="Claude" w:date="2026-10-05T15:48:01Z">
        <w:r>
          <w:delText xml:space="preserve">Retiring before that age reduces the pension and retiring later adds little to it, so retirements concentrate around it. In defined-benefit schemes, most of the pension is earned in the final years before the full-pension age and little accrues after it, so one more year of work carries a substantial gain at 54 and almost nothing at 60 (Costrell and Podgursky, 2009). This is the case in most civil-service teacher schemes of Europe and North America, while defined-contribution systems, as in Sweden or Australia, are close to actuarially neutral and spread retirements accordingly (OECD, 2025e). </w:delText>
        </w:r>
      </w:del>
      <w:commentRangeStart w:id="42"/>
      <w:commentRangeStart w:id="72"/>
      <w:commentRangeStart w:id="43"/>
      <w:del w:id="12077" w:author="Claude" w:date="2026-10-05T15:48:01Z">
        <w:r>
          <w:delText>How much teachers value that deferred income is less clear, with estimates ranging from about 20 cents per dollar of present value to near parity (Fitzpatrick, 2015; Ni, Podgursky and Wang, 2022).</w:delText>
        </w:r>
      </w:del>
      <w:commentRangeEnd w:id="72"/>
      <w:commentRangeEnd w:id="42"/>
      <w:r>
        <w:rPr>
          <w:rStyle w:val="CommentReference"/>
          <w:sz w:val="23"/>
          <w:szCs w:val="23"/>
        </w:rPr>
        <w:commentReference w:id="42"/>
      </w:r>
      <w:r>
        <w:rPr>
          <w:rStyle w:val="CommentReference"/>
        </w:rPr>
        <w:commentReference w:id="72"/>
      </w:r>
      <w:commentRangeEnd w:id="43"/>
      <w:r>
        <w:rPr>
          <w:rStyle w:val="CommentReference"/>
          <w:sz w:val="23"/>
          <w:szCs w:val="23"/>
        </w:rPr>
        <w:commentReference w:id="43"/>
      </w:r>
    </w:p>
    <w:p>
      <w:pPr>
        <w:spacing w:after="130" w:line="242" w:lineRule="auto"/>
        <w:jc w:val="both"/>
        <w:rPr>
          <w:ins w:id="12069" w:author="Claude" w:date="2026-10-05T15:48:01Z"/>
        </w:rPr>
      </w:pPr>
      <w:ins w:id="12070" w:author="Claude" w:date="2026-10-05T15:48:01Z">
        <w:r>
          <w:t xml:space="preserve">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The systems with the lowest ages for teachers are France and Spain, where retirement is possible from 59 for the former primary corps and from 60 for civil-servant teachers with thirty years of service (Ministère de l'Éducation nationale, 2023; Government of Spain, 2015). In most schemes covering teachers, retiring before the age stipulated by law reduces the pension and retiring later marginally increases it, so retirement concentrates around that age. In addition, in many public-service schemes the pension is not freely compatible with a new salary: a retired teacher who returns to work in the public sector sees the pension reduced or suspended once pension and salary together exceed a given threshold, which in practice excludes most retirees from teaching again unless a specific exception is made.</w:t>
        </w:r>
      </w:ins>
    </w:p>
    <w:p>
      <w:pPr>
        <w:spacing w:after="130" w:line="242" w:lineRule="auto"/>
        <w:jc w:val="both"/>
        <w:rPr>
          <w:ins w:id="12071" w:author="Claude" w:date="2026-10-05T15:48:01Z"/>
        </w:rPr>
      </w:pPr>
      <w:ins w:id="12072" w:author="Claude" w:date="2026-10-05T15:48:01Z">
        <w:r>
          <w:t xml:space="preserve">These rules matter because they shape the economic decisions that teachers take around retirement, and this phenomenon is closely related to the way pension entitlements accumulate. In defined-benefit schemes, 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while defined-contribution systems, as in Sweden or Australia, are close 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t>
        </w:r>
      </w:ins>
    </w:p>
    <w:p w14:paraId="7F3FDBA9" w14:textId="77777777" w:rsidR="00B3332B" w:rsidRDefault="00000000">
      <w:pPr>
        <w:spacing w:after="130" w:line="242" w:lineRule="auto"/>
        <w:jc w:val="both"/>
        <w:rPr>
          <w:del w:id="12082" w:author="Claude" w:date="2026-10-05T15:48:01Z"/>
        </w:rPr>
      </w:pPr>
      <w:commentRangeStart w:id="44"/>
      <w:commentRangeStart w:id="73"/>
      <w:del w:id="12081" w:author="Claude" w:date="2026-10-05T15:48:01Z">
        <w:r>
          <w:delText>For re-entry policies, the lesson is twofold. Pay can bring switchers back, but the evidence above suggests that it keeps them only while it is paid, so a financial incentive opens the door rather than keeping teachers inside. For retired teachers the binding constraint is not the salary but the pension rules that penalise working after retirement. Removing those penalties, as several of the policies in Section 3 do, costs little and acts directly on the largest reserve of experienced teachers.</w:delText>
        </w:r>
      </w:del>
      <w:commentRangeEnd w:id="73"/>
      <w:commentRangeEnd w:id="44"/>
      <w:r>
        <w:rPr>
          <w:rStyle w:val="CommentReference"/>
          <w:sz w:val="23"/>
          <w:szCs w:val="23"/>
        </w:rPr>
        <w:commentReference w:id="44"/>
      </w:r>
      <w:r>
        <w:rPr>
          <w:rStyle w:val="CommentReference"/>
        </w:rPr>
        <w:commentReference w:id="73"/>
      </w:r>
    </w:p>
    <w:p>
      <w:pPr>
        <w:spacing w:after="130" w:line="242" w:lineRule="auto"/>
        <w:jc w:val="both"/>
        <w:rPr>
          <w:ins w:id="12079" w:author="Claude" w:date="2026-10-05T15:48:01Z"/>
        </w:rPr>
      </w:pPr>
      <w:ins w:id="12080" w:author="Claude" w:date="2026-10-05T15:48:01Z">
        <w:r>
          <w:t xml:space="preserve">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ins>
    </w:p>
    <w:p w14:paraId="4FDADFB6" w14:textId="77777777" w:rsidR="00B3332B" w:rsidRDefault="00000000">
      <w:pPr>
        <w:pStyle w:val="Heading3"/>
        <w:keepNext/>
      </w:pPr>
      <w:r>
        <w:t>Professional factors</w:t>
      </w:r>
    </w:p>
    <w:p w14:paraId="1AC52E59" w14:textId="6B38A26F" w:rsidR="00B3332B" w:rsidRDefault="00000000">
      <w:pPr>
        <w:spacing w:after="130" w:line="242" w:lineRule="auto"/>
        <w:jc w:val="both"/>
      </w:pPr>
      <w:r>
        <w:t xml:space="preserve">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 and legal action. The evidence </w:t>
      </w:r>
      <w:ins w:id="45" w:author="DURÁN ROA José Elías, EDU/IMEP" w:date="2026-10-05T17:26:00Z" w16du:dateUtc="2026-10-05T15:26:00Z">
        <w:r>
          <w:t xml:space="preserve">to characterize this motive </w:t>
        </w:r>
      </w:ins>
      <w:ins w:id="46" w:author="Claude" w:date="2026-10-05T12:38:00Z">
        <w:r>
          <w:lastRenderedPageBreak/>
          <w:t xml:space="preserve">comes mainly from surveys </w:t>
        </w:r>
      </w:ins>
      <w:r>
        <w:t xml:space="preserve">with declared intentions to leave teaching , which reach motives that administrative records cannot register.</w:t>
      </w:r>
    </w:p>
    <w:p w14:paraId="198FCF05" w14:textId="77777777" w:rsidR="00B3332B" w:rsidRDefault="00000000">
      <w:pPr>
        <w:spacing w:after="130" w:line="242" w:lineRule="auto"/>
        <w:jc w:val="both"/>
        <w:rPr>
          <w:del w:id="12086" w:author="Claude" w:date="2026-10-05T15:48:01Z"/>
        </w:rPr>
      </w:pPr>
      <w:commentRangeStart w:id="47"/>
      <w:commentRangeStart w:id="74"/>
      <w:del w:id="12085" w:author="Claude" w:date="2026-10-05T15:48:01Z">
        <w:r>
          <w:delText>In Finland, a survey that followed teachers over five years found that a lack of professional commitment was named persistently, above workload and interpersonal difficulties, among those intending to leave (Räsänen et al., 2020). In England, teachers who intend to leave say that their views are not considered by policymakers, and give this more weight than pay (Department for Education, 2024b). Actual leavers tell a consistent story. In the United States, most switchers rate their new job above teaching in autonomy, influence and professional prestige, although not always in salary (NCES, 2014). In the Netherlands and Sweden, the lack of professional challenge and the limited control over one's own work rank among the leading motives, behind working conditions only (Van Casteren et al., 2023; Statistics Sweden, 2023).</w:delText>
        </w:r>
      </w:del>
      <w:commentRangeEnd w:id="74"/>
      <w:commentRangeEnd w:id="47"/>
      <w:r>
        <w:rPr>
          <w:rStyle w:val="CommentReference"/>
          <w:sz w:val="23"/>
          <w:szCs w:val="23"/>
        </w:rPr>
        <w:commentReference w:id="47"/>
      </w:r>
      <w:r>
        <w:rPr>
          <w:rStyle w:val="CommentReference"/>
        </w:rPr>
        <w:commentReference w:id="74"/>
      </w:r>
    </w:p>
    <w:p>
      <w:pPr>
        <w:spacing w:after="130" w:line="242" w:lineRule="auto"/>
        <w:jc w:val="both"/>
        <w:rPr>
          <w:ins w:id="12083" w:author="Claude" w:date="2026-10-05T15:48:01Z"/>
        </w:rPr>
      </w:pPr>
      <w:ins w:id="12084" w:author="Claude" w:date="2026-10-05T15:48:01Z">
        <w:r>
          <w:t xml:space="preserve">The available evidence consistently shows that these motives weigh heavily on the decision to leave, both among teachers who intend to leave and among those who have already done so. Among the former, the evidence from Finland is particularly telling, since a longitudinal survey that followed teachers over five years found that a lack of professional commitment was named persistently, above workload and interpersonal difficulties (Räsänen et al., 2020), and in England teachers who intend to leave give more weight to the feeling that their views are not considered by policymakers than to pay (Department for Education, 2024b). Among those who have actually left, the pattern remains consistent: in the United States, most switchers rate their new job above teaching in autonomy, influence and professional prestige, although not always in salary (NCES, 2014), and in the leaver surveys of the Netherlands and Sweden the lack of professional challenge and the limited control over one's own work rank among the leading motives, behind working conditions only (Van Casteren et al., 2023; Statistics Sweden, 2023).</w:t>
        </w:r>
      </w:ins>
    </w:p>
    <w:p w14:paraId="3D05BF9E" w14:textId="77777777" w:rsidR="00B3332B" w:rsidRDefault="00000000">
      <w:pPr>
        <w:spacing w:after="130" w:line="242" w:lineRule="auto"/>
        <w:jc w:val="both"/>
        <w:rPr>
          <w:del w:id="12090" w:author="Claude" w:date="2026-10-05T15:48:01Z"/>
        </w:rPr>
      </w:pPr>
      <w:commentRangeStart w:id="48"/>
      <w:commentRangeStart w:id="75"/>
      <w:del w:id="12089" w:author="Claude" w:date="2026-10-05T15:48:01Z">
        <w:r>
          <w:delText>The decline in the perceived standing of the profession goes beyond those who leave. Across the OECD, only 26% of teachers feel that their profession is valued in society, and those who do are over 10% less likely to intend to leave within five years (OECD, 2020; OECD, 2025b). Recognition and professional purpose thus appear decisive in the decision to leave, consistent with teaching remaining one of the most vocational career choices.</w:delText>
        </w:r>
      </w:del>
    </w:p>
    <w:p>
      <w:pPr>
        <w:spacing w:after="130" w:line="242" w:lineRule="auto"/>
        <w:jc w:val="both"/>
        <w:rPr>
          <w:ins w:id="12087" w:author="Claude" w:date="2026-10-05T15:48:01Z"/>
        </w:rPr>
      </w:pPr>
      <w:ins w:id="12088" w:author="Claude" w:date="2026-10-05T15:48:01Z">
        <w:r>
          <w:t xml:space="preserve">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(OECD, 2020; OECD, 2025b). Taken together, the evidence points to recognition and professional purpose as decisive in the decision to leave,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ins>
    </w:p>
    <w:p w14:paraId="2094F135" w14:textId="77777777" w:rsidR="00B3332B" w:rsidRDefault="00000000">
      <w:pPr>
        <w:spacing w:after="130" w:line="242" w:lineRule="auto"/>
        <w:jc w:val="both"/>
        <w:rPr>
          <w:del w:id="12092" w:author="Claude" w:date="2026-10-05T15:48:01Z"/>
        </w:rPr>
      </w:pPr>
      <w:del w:id="12091" w:author="Claude" w:date="2026-10-05T15:48:01Z">
        <w:r>
          <w:delText>For re-entry policies, this area concerns switchers above all, since they are the ones who found elsewhere the autonomy and standing they missed. Bringing them back calls for recognition of their previous service, roles that make use of their experience and a say in decisions about their own work.</w:delText>
        </w:r>
      </w:del>
      <w:commentRangeEnd w:id="75"/>
      <w:commentRangeEnd w:id="48"/>
      <w:r>
        <w:rPr>
          <w:rStyle w:val="CommentReference"/>
          <w:sz w:val="23"/>
          <w:szCs w:val="23"/>
        </w:rPr>
        <w:commentReference w:id="48"/>
      </w:r>
      <w:r>
        <w:rPr>
          <w:rStyle w:val="CommentReference"/>
        </w:rPr>
        <w:commentReference w:id="75"/>
      </w:r>
    </w:p>
    <w:p w14:paraId="0CF64BCF" w14:textId="77777777" w:rsidR="00B3332B" w:rsidRDefault="00000000">
      <w:pPr>
        <w:pStyle w:val="Heading3"/>
        <w:keepNext/>
      </w:pPr>
      <w:r>
        <w:t>Personal and life-course factors</w:t>
      </w:r>
    </w:p>
    <w:p w14:paraId="5FC6F799" w14:textId="77777777" w:rsidR="00B3332B" w:rsidRDefault="00000000">
      <w:pPr>
        <w:spacing w:after="130" w:line="242" w:lineRule="auto"/>
        <w:jc w:val="both"/>
        <w:rPr>
          <w:del w:id="12097" w:author="Claude" w:date="2026-10-05T15:48:01Z"/>
        </w:rPr>
      </w:pPr>
      <w:commentRangeStart w:id="49"/>
      <w:commentRangeStart w:id="76"/>
      <w:del w:id="12095" w:author="Claude" w:date="2026-10-05T15:48:01Z">
        <w:r>
          <w:delText xml:space="preserve">Personal and life-course factors drive a substantial share of departures. Unlike the preceding areas, these causes originate outside the school, which makes them the least predictable from an institutional perspective and the least responsive to administrative levers. </w:delText>
        </w:r>
      </w:del>
      <w:commentRangeEnd w:id="76"/>
      <w:commentRangeEnd w:id="49"/>
      <w:r>
        <w:rPr>
          <w:rStyle w:val="CommentReference"/>
          <w:sz w:val="23"/>
          <w:szCs w:val="23"/>
        </w:rPr>
        <w:commentReference w:id="49"/>
      </w:r>
      <w:r>
        <w:rPr>
          <w:rStyle w:val="CommentReference"/>
        </w:rPr>
        <w:commentReference w:id="76"/>
      </w:r>
      <w:del w:id="12096" w:author="Claude" w:date="2026-10-05T15:48:01Z">
        <w:r>
          <w:delText>Along the career, the leaving rate follows a pronounced U-shape, high among novice teachers, stable in the middle years and rising again as retirement approaches (Nguyen et al., 2020). Figure 3 shows this profile for the United States. The early peak reflects novice teachers who leave for further study, family formation or other employment while the quality of their match with the profession is still being revealed (Guarino, Santibañez and Daley, 2006). The late peak responds to the retirement incentives examined above (Costrell and Podgursky, 2009). The figure also shows that the whole profile has shifted upwards in the last decade, most of all at career entry.</w:delText>
        </w:r>
      </w:del>
    </w:p>
    <w:p>
      <w:pPr>
        <w:spacing w:after="130" w:line="242" w:lineRule="auto"/>
        <w:jc w:val="both"/>
        <w:rPr>
          <w:ins w:id="12093" w:author="Claude" w:date="2026-10-05T15:48:01Z"/>
        </w:rPr>
      </w:pPr>
      <w:ins w:id="12094" w:author="Claude" w:date="2026-10-05T15:48:01Z">
        <w:r>
          <w:t xml:space="preserve">Personal and life-course factors drive a substantial share of departures and, unlike the preceding areas, originate entirely outside the school, which makes them the least predictable from an institutional perspective and the least responsive to standard administrative levers. Along the teaching career, the leaving rate exhibits a pronounced U-shape, concentrated among novice teachers during early-career sorting and among late-career teachers approaching retirement, with a stable middle phase (Nguyen et al., 2020). Figure 3 shows this profile for the United States and separates the two exit routes behind it. 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(Guarino, Santibañez and Daley, 2006). The late peak is driven by leavers, whose probability of withdrawing from the labour force rises sharply after the age of 55 in response to the retirement incentives just examined (Costrell and Podgursky, 2009).</w:t>
        </w:r>
      </w:ins>
    </w:p>
    <w:p w14:paraId="6F1599A5" w14:textId="77777777" w:rsidR="00B3332B" w:rsidRDefault="00000000">
      <w:pPr>
        <w:keepNext/>
        <w:spacing w:after="130" w:line="242" w:lineRule="auto"/>
        <w:jc w:val="both"/>
        <w:rPr>
          <w:del w:id="12107" w:author="Claude" w:date="2026-10-05T15:48:01Z"/>
        </w:rPr>
      </w:pPr>
      <w:commentRangeStart w:id="50"/>
      <w:commentRangeStart w:id="77"/>
      <w:del w:id="12106" w:author="Claude" w:date="2026-10-05T15:48:01Z">
        <w:r>
          <w:rPr>
            <w:b/>
            <w:bCs/>
          </w:rPr>
          <w:delText>Figure 3. The leaving rate by age in the United States, 2005-2014 and 2015-2024</w:delText>
        </w:r>
      </w:del>
      <w:commentRangeEnd w:id="77"/>
      <w:commentRangeEnd w:id="50"/>
      <w:r>
        <w:rPr>
          <w:rStyle w:val="CommentReference"/>
          <w:sz w:val="23"/>
          <w:szCs w:val="23"/>
        </w:rPr>
        <w:commentReference w:id="50"/>
      </w:r>
      <w:r>
        <w:rPr>
          <w:rStyle w:val="CommentReference"/>
        </w:rPr>
        <w:commentReference w:id="77"/>
      </w:r>
    </w:p>
    <w:p w14:paraId="2AB452D1" w14:textId="77777777" w:rsidR="00B3332B" w:rsidRDefault="00000000">
      <w:pPr>
        <w:keepNext/>
        <w:spacing w:after="60"/>
        <w:jc w:val="center"/>
        <w:rPr>
          <w:del w:id="12115" w:author="Claude" w:date="2026-10-05T15:48:01Z"/>
        </w:rPr>
      </w:pPr>
      <w:del w:id="12114" w:author="Claude" w:date="2026-10-05T15:48:01Z">
        <w:r>
          <w:rPr>
            <w:noProof/>
          </w:rPr>
          <w:drawing>
            <wp:inline distT="0" distB="0" distL="0" distR="0" wp14:anchorId="54CCCAB4" wp14:editId="4F89512D">
              <wp:extent cx="5394960" cy="2617610"/>
              <wp:effectExtent l="0" t="0" r="0" b="0"/>
              <wp:docPr id="77"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7"/>
                      <a:stretch>
                        <a:fillRect/>
                      </a:stretch>
                    </pic:blipFill>
                    <pic:spPr>
                      <a:xfrm>
                        <a:off x="0" y="0"/>
                        <a:ext cx="5394960" cy="2617610"/>
                      </a:xfrm>
                      <a:prstGeom prst="rect">
                        <a:avLst/>
                      </a:prstGeom>
                    </pic:spPr>
                  </pic:pic>
                </a:graphicData>
              </a:graphic>
            </wp:inline>
          </w:drawing>
        </w:r>
      </w:del>
    </w:p>
    <w:p>
      <w:pPr>
        <w:keepNext/>
        <w:spacing w:after="130" w:line="242" w:lineRule="auto"/>
        <w:jc w:val="both"/>
        <w:rPr>
          <w:ins w:id="12098" w:author="Claude" w:date="2026-10-05T15:48:01Z"/>
        </w:rPr>
      </w:pPr>
      <w:ins w:id="12099" w:author="Claude" w:date="2026-10-05T15:48:01Z">
        <w:r>
          <w:rPr>
            <w:b/>
            <w:bCs/>
          </w:rPr>
          <w:t xml:space="preserve">Figure 3. The age profile of leaving teaching in the United States, by exit route</w:t>
        </w:r>
      </w:ins>
    </w:p>
    <w:p>
      <w:pPr>
        <w:keepNext/>
        <w:spacing w:after="60"/>
        <w:jc w:val="center"/>
        <w:rPr>
          <w:ins w:id="12100" w:author="Claude" w:date="2026-10-05T15:48:01Z"/>
        </w:rPr>
      </w:pPr>
      <w:ins w:id="12101" w:author="Claude" w:date="2026-10-05T15:48:01Z">
        <w:r>
          <w:drawing>
            <wp:inline distT="0" distB="0" distL="0" distR="0">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5"/>
                      <a:stretch>
                        <a:fillRect/>
                      </a:stretch>
                    </pic:blipFill>
                    <pic:spPr>
                      <a:xfrm>
                        <a:off x="0" y="0"/>
                        <a:ext cx="5760720" cy="1920240"/>
                      </a:xfrm>
                      <a:prstGeom prst="rect">
                        <a:avLst/>
                      </a:prstGeom>
                    </pic:spPr>
                  </pic:pic>
                </a:graphicData>
              </a:graphic>
            </wp:inline>
          </w:drawing>
        </w:r>
      </w:ins>
    </w:p>
    <w:p>
      <w:pPr>
        <w:spacing w:after="50" w:line="200" w:lineRule="auto"/>
        <w:jc w:val="both"/>
        <w:rPr>
          <w:ins w:id="12102" w:author="Claude" w:date="2026-10-05T15:48:01Z"/>
        </w:rPr>
      </w:pPr>
      <w:ins w:id="12103" w:author="Claude" w:date="2026-10-05T15:48:01Z">
        <w:r>
          <w:rPr>
            <w:sz w:val="17"/>
            <w:szCs w:val="17"/>
          </w:rPr>
          <w:t xml:space="preserve">Note: </w:t>
        </w:r>
        <w:r>
          <w:rPr>
            <w:sz w:val="15"/>
            <w:szCs w:val="15"/>
          </w:rPr>
          <w:t xml:space="preserve">Each panel shows the predicted probability of leaving teaching within twelve months, by age, from a separate probit on college-graduate teachers pooled over 2015-2024, with age entered as a quadratic, other covariates at sample means and year effects. Left: leaving teaching by any route; centre: moving to another occupation; right: leaving the labour force. Exits to unemployment are the residual route and are not shown, so the two right panels do not sum exactly to the left one. Shaded bands are 95% confidence intervals.</w:t>
        </w:r>
      </w:ins>
    </w:p>
    <w:p>
      <w:pPr>
        <w:spacing w:after="130" w:line="200" w:lineRule="auto"/>
        <w:jc w:val="both"/>
        <w:rPr>
          <w:ins w:id="12104" w:author="Claude" w:date="2026-10-05T15:48:01Z"/>
        </w:rPr>
      </w:pPr>
      <w:ins w:id="12105" w:author="Claude" w:date="2026-10-05T15:48:01Z">
        <w:r>
          <w:rPr>
            <w:sz w:val="17"/>
            <w:szCs w:val="17"/>
          </w:rPr>
          <w:t xml:space="preserve">Source: </w:t>
        </w:r>
        <w:r>
          <w:rPr>
            <w:sz w:val="15"/>
            <w:szCs w:val="15"/>
          </w:rPr>
          <w:t xml:space="preserve">Authors' calculations from Current Population Survey March supplements.</w:t>
        </w:r>
      </w:ins>
    </w:p>
    <w:p w14:paraId="62D9E9C6" w14:textId="77777777" w:rsidR="00B3332B" w:rsidRDefault="00000000">
      <w:pPr>
        <w:spacing w:after="50" w:line="200" w:lineRule="auto"/>
        <w:jc w:val="both"/>
        <w:rPr>
          <w:del w:id="12110" w:author="Claude" w:date="2026-10-05T15:48:01Z"/>
        </w:rPr>
      </w:pPr>
      <w:del w:id="12108" w:author="Claude" w:date="2026-10-05T15:48:01Z">
        <w:r>
          <w:rPr>
            <w:sz w:val="17"/>
            <w:szCs w:val="17"/>
          </w:rPr>
          <w:delText xml:space="preserve">Note: </w:delText>
        </w:r>
      </w:del>
      <w:del w:id="12109" w:author="Claude" w:date="2026-10-05T15:48:01Z">
        <w:r>
          <w:rPr>
            <w:sz w:val="15"/>
            <w:szCs w:val="15"/>
          </w:rPr>
          <w:delText>Share of teachers who were no longer teaching twelve months later and did not return in any later interview, by age at the first interview, pooled within 2005-2014 and 2015-2024.</w:delText>
        </w:r>
      </w:del>
    </w:p>
    <w:p w14:paraId="5CEA4691" w14:textId="77777777" w:rsidR="00B3332B" w:rsidRDefault="00000000">
      <w:pPr>
        <w:spacing w:after="130" w:line="200" w:lineRule="auto"/>
        <w:jc w:val="both"/>
        <w:rPr>
          <w:del w:id="12113" w:author="Claude" w:date="2026-10-05T15:48:01Z"/>
        </w:rPr>
      </w:pPr>
      <w:del w:id="12111" w:author="Claude" w:date="2026-10-05T15:48:01Z">
        <w:r>
          <w:rPr>
            <w:sz w:val="17"/>
            <w:szCs w:val="17"/>
          </w:rPr>
          <w:delText xml:space="preserve">Source: </w:delText>
        </w:r>
      </w:del>
      <w:del w:id="12112" w:author="Claude" w:date="2026-10-05T15:48:01Z">
        <w:r>
          <w:rPr>
            <w:sz w:val="15"/>
            <w:szCs w:val="15"/>
          </w:rPr>
          <w:delText>Authors' calculations from linked Current Population Survey panels, 2005-2025.</w:delText>
        </w:r>
      </w:del>
    </w:p>
    <w:p w14:paraId="22A20943" w14:textId="77777777" w:rsidR="00B3332B" w:rsidRDefault="00000000">
      <w:pPr>
        <w:spacing w:after="130" w:line="242" w:lineRule="auto"/>
        <w:jc w:val="both"/>
        <w:rPr>
          <w:del w:id="12120" w:author="Claude" w:date="2026-10-05T15:48:01Z"/>
        </w:rPr>
      </w:pPr>
      <w:del w:id="12118" w:author="Claude" w:date="2026-10-05T15:48:01Z">
        <w:r>
          <w:lastRenderedPageBreak/>
          <w:delText xml:space="preserve">The teaching workforce is predominantly female, at around seven in ten lower secondary teachers across the OECD (OECD, 2025b), so the events of family life weigh on it with particular force.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(Department for Education, 2023). In the United States and Sweden the same event has long driven female exits (Stinebrickner, 2002). Family circumstances beyond childbirth point in the same direction. Personal </w:delText>
        </w:r>
      </w:del>
      <w:commentRangeStart w:id="51"/>
      <w:commentRangeStart w:id="78"/>
      <w:del w:id="12119" w:author="Claude" w:date="2026-10-05T15:48:01Z">
        <w:r>
          <w:delText>life reasons, covering health, childcare and the care of relatives, are the most important non-retirement motive among American voluntary leavers, at 15% (NCES, 2024), and the difficulty of combining work and family is named by 15% of Swedish leavers (Statistics Sweden, 2023).</w:delText>
        </w:r>
      </w:del>
      <w:commentRangeEnd w:id="78"/>
      <w:commentRangeEnd w:id="51"/>
      <w:r>
        <w:rPr>
          <w:rStyle w:val="CommentReference"/>
          <w:sz w:val="23"/>
          <w:szCs w:val="23"/>
        </w:rPr>
        <w:commentReference w:id="51"/>
      </w:r>
      <w:r>
        <w:rPr>
          <w:rStyle w:val="CommentReference"/>
        </w:rPr>
        <w:commentReference w:id="78"/>
      </w:r>
    </w:p>
    <w:p>
      <w:pPr>
        <w:spacing w:after="130" w:line="242" w:lineRule="auto"/>
        <w:jc w:val="both"/>
        <w:rPr>
          <w:ins w:id="12116" w:author="Claude" w:date="2026-10-05T15:48:01Z"/>
        </w:rPr>
      </w:pPr>
      <w:ins w:id="12117" w:author="Claude" w:date="2026-10-05T15:48:01Z">
        <w:r>
          <w:t xml:space="preserve">The teaching workforce is predominantly female, at around seven in ten lower secondary teachers across the OECD (OECD, 2025b), so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(Department for Education, 2023), while in the United States and Sweden the same event has long driven female exits (Stinebrickner, 2002). Childbirth is, however,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(NCES, 2024), and the difficulty of combining work and family is named by 15% of Swedish leavers (Statistics Sweden, 2023).</w:t>
        </w:r>
      </w:ins>
    </w:p>
    <w:p w14:paraId="3D4A07FC" w14:textId="77777777" w:rsidR="00B3332B" w:rsidRDefault="00000000">
      <w:pPr>
        <w:spacing w:after="130" w:line="242" w:lineRule="auto"/>
        <w:jc w:val="both"/>
        <w:rPr>
          <w:del w:id="12125" w:author="Claude" w:date="2026-10-05T15:48:01Z"/>
        </w:rPr>
      </w:pPr>
      <w:commentRangeStart w:id="52"/>
      <w:commentRangeStart w:id="79"/>
      <w:commentRangeStart w:id="53"/>
      <w:del w:id="12123" w:author="Claude" w:date="2026-10-05T15:48:01Z">
        <w:r>
          <w:delText xml:space="preserve">For re-entry policies, this area concerns leavers above all. </w:delText>
        </w:r>
      </w:del>
      <w:commentRangeEnd w:id="79"/>
      <w:commentRangeEnd w:id="52"/>
      <w:r>
        <w:rPr>
          <w:rStyle w:val="CommentReference"/>
          <w:sz w:val="23"/>
          <w:szCs w:val="23"/>
        </w:rPr>
        <w:commentReference w:id="52"/>
      </w:r>
      <w:r>
        <w:rPr>
          <w:rStyle w:val="CommentReference"/>
        </w:rPr>
        <w:commentReference w:id="79"/>
      </w:r>
      <w:commentRangeEnd w:id="53"/>
      <w:r>
        <w:rPr>
          <w:rStyle w:val="CommentReference"/>
          <w:sz w:val="23"/>
          <w:szCs w:val="23"/>
        </w:rPr>
        <w:commentReference w:id="53"/>
      </w:r>
      <w:del w:id="12124" w:author="Claude" w:date="2026-10-05T15:48:01Z">
        <w:r>
          <w:delText>Those who left over a birth, care or health did not leave over the conditions of the school, and the constraint behind the exit often eases with time. Yet their return no longer follows on its own. In the United States, re-entry after a period of childcare was once predicted by gender and child-rearing, but among teachers who left between 2000 and 2019 that association has disappeared and only about one in five returned (Grissom and Reininger, 2012; Moyer, 2022). This group responds to flexibility, through part-time and phased returns, predictable timetables and placements compatible with care responsibilities, and to being asked.</w:delText>
        </w:r>
      </w:del>
    </w:p>
    <w:p>
      <w:pPr>
        <w:spacing w:after="130" w:line="242" w:lineRule="auto"/>
        <w:jc w:val="both"/>
        <w:rPr>
          <w:ins w:id="12121" w:author="Claude" w:date="2026-10-05T15:48:01Z"/>
        </w:rPr>
      </w:pPr>
      <w:ins w:id="12122" w:author="Claude" w:date="2026-10-05T15:48:01Z">
        <w:r>
          <w:t xml:space="preserve">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no longer follows on its own: in the United States, re-entry after a period of childcare was once predicted by gender and child-rearing, but among teachers who left between 2000 and 2019 that association has disappeared and only about one in five returned (Grissom and Reininger, 2012;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ins>
    </w:p>
    <w:p w14:paraId="5C2134AC" w14:textId="77777777" w:rsidR="00B3332B" w:rsidRDefault="00000000">
      <w:pPr>
        <w:pStyle w:val="Heading3"/>
        <w:keepNext/>
      </w:pPr>
      <w:r>
        <w:t>Accountability and regulation</w:t>
      </w:r>
    </w:p>
    <w:p w14:paraId="00EE9A6E" w14:textId="77777777" w:rsidR="00B3332B" w:rsidRDefault="00000000">
      <w:pPr>
        <w:spacing w:after="130" w:line="242" w:lineRule="auto"/>
        <w:jc w:val="both"/>
        <w:rPr>
          <w:del w:id="12133" w:author="Claude" w:date="2026-10-05T15:48:01Z"/>
        </w:rPr>
      </w:pPr>
      <w:commentRangeStart w:id="54"/>
      <w:commentRangeStart w:id="80"/>
      <w:del w:id="12132" w:author="Claude" w:date="2026-10-05T15:48:01Z">
        <w:r>
          <w:delText>Accountability and regulation group the motives related to external evaluation and to licensing rules. Teacher evaluation can be internal, carried out by the school's own leadership, or external, carried out by a public body, usually an inspectorate. Internal evaluation is common: 64% of teachers across the OECD work in schools where the principal evaluates every teacher at least once a year, most often through classroom observation (OECD, 2020). What matters for leavers is the time these obligations take and the little they get in return. Nearly half report that evaluation in their school is carried out merely to fulfil administrative requirements, without feedback they can use, and 54% that mandatory training competes with their working schedule (OECD, 2020). External inspection weighs more where its consequences are high. In England, a lower inspection judgement raises departures from the school in the following year (Sims, 2016), and teachers name inspection among their reasons for leaving the profession (Perryman et al., 2025).</w:delText>
        </w:r>
      </w:del>
    </w:p>
    <w:p>
      <w:pPr>
        <w:spacing w:after="130" w:line="242" w:lineRule="auto"/>
        <w:jc w:val="both"/>
        <w:rPr>
          <w:ins w:id="12126" w:author="Claude" w:date="2026-10-05T15:48:01Z"/>
        </w:rPr>
      </w:pPr>
      <w:ins w:id="12127" w:author="Claude" w:date="2026-10-05T15:48:01Z">
        <w:r>
          <w:t xml:space="preserve">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(OECD, 2020). Additionally, 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(European Commission/EACEA/Eurydice, 2021), or of a minimum amount of teaching, such as 20 days a year in Australia or two years of classroom practice in New Zealand (Victorian Institute of Teaching, 2025; Teaching Council of Aotearoa New Zealand, 2016).</w:t>
        </w:r>
      </w:ins>
    </w:p>
    <w:p>
      <w:pPr>
        <w:spacing w:after="130" w:line="242" w:lineRule="auto"/>
        <w:jc w:val="both"/>
        <w:rPr>
          <w:ins w:id="12128" w:author="Claude" w:date="2026-10-05T15:48:01Z"/>
        </w:rPr>
      </w:pPr>
      <w:ins w:id="12129" w:author="Claude" w:date="2026-10-05T15:48:01Z">
        <w:r>
          <w:t xml:space="preserve">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(OECD, 2020). The importance of accountability and regulation motives is nonetheless minor compared to other determinants of leaving, since even if test-based accountability does elevate stress and turnover intentions (Ryan et al., 2017), it ranks below affective commitment, burnout and job satisfaction (Gundlach, Slemp and Hattie, 2024).</w:t>
        </w:r>
      </w:ins>
    </w:p>
    <w:p>
      <w:pPr>
        <w:spacing w:after="130" w:line="242" w:lineRule="auto"/>
        <w:jc w:val="both"/>
        <w:rPr>
          <w:ins w:id="12130" w:author="Claude" w:date="2026-10-05T15:48:01Z"/>
        </w:rPr>
      </w:pPr>
      <w:ins w:id="12131" w:author="Claude" w:date="2026-10-05T15:48:01Z">
        <w:r>
          <w:t xml:space="preserve">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(Redding and Smith, 2016),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ins>
    </w:p>
    <w:p w14:paraId="5CA72FAC" w14:textId="77777777" w:rsidR="00B3332B" w:rsidRDefault="00000000">
      <w:pPr>
        <w:spacing w:after="130" w:line="242" w:lineRule="auto"/>
        <w:jc w:val="both"/>
        <w:rPr>
          <w:del w:id="12135" w:author="Claude" w:date="2026-10-05T15:48:01Z"/>
        </w:rPr>
      </w:pPr>
      <w:del w:id="12134" w:author="Claude" w:date="2026-10-05T15:48:01Z">
        <w:r>
          <w:delText>Licensing requirements appear in this area for a different reason. Keeping a licence valid requires periodic training, from 8 hours a year in Luxembourg to 35 in Scotland (European Commission/EACEA/Eurydice, 2021), or a minimum amount of teaching, such as 20 days a year in Australia or two years of classroom practice in New Zealand (Victorian Institute of Teaching, 2025; Teaching Council of Aotearoa New Zealand, 2016). For fully qualified teachers these obligations rarely drive departures. They weigh on teachers who entered without full certification, who leave at higher rates (Redding and Smith, 2016), and above all on those who consider returning after their licence has lapsed.</w:delText>
        </w:r>
      </w:del>
      <w:commentRangeEnd w:id="80"/>
      <w:commentRangeEnd w:id="54"/>
      <w:r>
        <w:rPr>
          <w:rStyle w:val="CommentReference"/>
          <w:sz w:val="23"/>
          <w:szCs w:val="23"/>
        </w:rPr>
        <w:commentReference w:id="54"/>
      </w:r>
      <w:r>
        <w:rPr>
          <w:rStyle w:val="CommentReference"/>
        </w:rPr>
        <w:commentReference w:id="80"/>
      </w:r>
    </w:p>
    <w:p w14:paraId="14DCBECB" w14:textId="77777777" w:rsidR="00B3332B" w:rsidRDefault="00000000">
      <w:pPr>
        <w:spacing w:after="130" w:line="242" w:lineRule="auto"/>
        <w:jc w:val="both"/>
        <w:rPr>
          <w:del w:id="12137" w:author="Claude" w:date="2026-10-05T15:48:01Z"/>
        </w:rPr>
      </w:pPr>
      <w:del w:id="12136" w:author="Claude" w:date="2026-10-05T15:48:01Z">
        <w:r>
          <w:delText>Overall, this area ranks below the others as a determinant of leaving. Test-based accountability raises stress and intentions to leave (Ryan et al., 2017), but its weight is small next to commitment, burnout and job satisfaction (Gundlach, Slemp and Hattie, 2024). For re-entry policies its relevance is nonetheless direct and concerns all three profiles. A lapsed licence must be renewed, and the cost and complexity of doing so deter return and reduce retention once back. Re-certification should therefore be as light as its regulatory purpose allows.</w:delText>
        </w:r>
      </w:del>
    </w:p>
    <w:p w14:paraId="73902080" w14:textId="77777777" w:rsidR="00B3332B" w:rsidRDefault="00000000">
      <w:pPr>
        <w:spacing w:after="130" w:line="242" w:lineRule="auto"/>
        <w:jc w:val="both"/>
      </w:pPr>
      <w:r>
        <w:t xml:space="preserve">Not all these motives have been studied with the same intensity, and their relative importance cannot be compared perfectly across studies. The best basis for doing so comes from the two meta-analyses used throughout this section. Nguyen et al. (2020) pool 120 studies of observed turnover in the United States, while Gundlach, Slemp and Hattie (2024) pool 3 430 coefficients on close to 70 antecedents and estimate attrition, migration and retention separately, for intentions as well as for observed behaviour. Both count every departure from the school, so they combine teachers who leave the profession with teachers who move between schools. Taken together, they point to working conditions and the organisational features of the school as the most consistent determinants of leaving, above financial </w:t>
        <w:lastRenderedPageBreak/>
        <w:t>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3BB586" w14:textId="77777777" w:rsidR="00B3332B" w:rsidRDefault="00000000">
      <w:pPr>
        <w:spacing w:after="130" w:line="242" w:lineRule="auto"/>
        <w:jc w:val="both"/>
      </w:pPr>
      <w:r>
        <w:t>This distinction matters for policies that aim to re-attract former teachers. Bringing a teacher back without changing the conditions under which they left risks reproducing the same decision later on, since the school climate and leadership that predict the first departure predict the next one (Sims and Jerrim, 2020; Kraft, Marinell and Shen-Wei Yee, 2016). How much this applies depends on the role in which former teachers return. A retired teacher who comes back as a mentor or a tutor for a few hours a week is exposed to few of the conditions that drive departures, whereas a leaver who returns to a full classroom load in a hard-to-staff school is exposed to all of them.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Box 1 summarises what each area teaches for that purpose.</w:t>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commentRangeStart w:id="55"/>
            <w:commentRangeStart w:id="81"/>
            <w:r>
              <w:rPr>
                <w:b/>
                <w:bCs/>
                <w:color w:val="1F4D78"/>
                <w:sz w:val="24"/>
                <w:szCs w:val="24"/>
              </w:rPr>
              <w:t>Box 1. What the reasons for leaving teach us about re-attracting former teachers</w:t>
            </w:r>
            <w:commentRangeEnd w:id="81"/>
            <w:commentRangeEnd w:id="55"/>
            <w:r>
              <w:rPr>
                <w:rStyle w:val="CommentReference"/>
                <w:sz w:val="23"/>
                <w:szCs w:val="23"/>
              </w:rPr>
              <w:commentReference w:id="55"/>
            </w:r>
            <w:r>
              <w:rPr>
                <w:rStyle w:val="CommentReference"/>
              </w:rPr>
              <w:commentReference w:id="81"/>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5D13CEDF" w14:textId="77777777" w:rsidR="00B3332B" w:rsidRDefault="00000000">
            <w:pPr>
              <w:spacing w:after="60"/>
              <w:jc w:val="both"/>
              <w:rPr>
                <w:del w:id="12142" w:author="Claude" w:date="2026-10-05T15:48:01Z"/>
              </w:rPr>
            </w:pPr>
            <w:del w:id="12140" w:author="Claude" w:date="2026-10-05T15:48:01Z">
              <w:r>
                <w:rPr>
                  <w:b/>
                  <w:bCs/>
                  <w:sz w:val="21"/>
                  <w:szCs w:val="21"/>
                </w:rPr>
                <w:delText xml:space="preserve">Overall. </w:delText>
              </w:r>
            </w:del>
            <w:del w:id="12141" w:author="Claude" w:date="2026-10-05T15:48:01Z">
              <w:r>
                <w:rPr>
                  <w:sz w:val="21"/>
                  <w:szCs w:val="21"/>
                </w:rPr>
                <w:delText>Working conditions and the organisation of the school outweigh pay, regulation and personal characteristics as reasons for leaving. The lesson for re-entry is that the conditions a former teacher returns to matter as much as the incentive that brings them back, and that a policy driven only by shortages, which places returners in the hardest schools, risks reproducing the first departure.</w:delText>
              </w:r>
            </w:del>
          </w:p>
          <w:p>
            <w:pPr>
              <w:spacing w:before="0" w:after="60" w:line="240" w:lineRule="auto"/>
              <w:jc w:val="both"/>
              <w:rPr>
                <w:ins w:id="12138" w:author="Claude" w:date="2026-10-05T15:48:01Z"/>
              </w:rPr>
            </w:pPr>
            <w:ins w:id="12139" w:author="Claude" w:date="2026-10-05T15:48:01Z">
              <w:r>
                <w:rPr>
                  <w:b/>
                  <w:bCs/>
                  <w:sz w:val="21"/>
                  <w:szCs w:val="21"/>
                </w:rPr>
                <w:t xml:space="preserve">Overall. </w:t>
              </w:r>
              <w:r>
                <w:rPr>
                  <w:sz w:val="21"/>
                  <w:szCs w:val="21"/>
                </w:rPr>
                <w:t xml:space="preserve">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ins>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56" w:name="_Toc239235958"/>
      <w:r>
        <w:rPr>
          <w:b/>
          <w:bCs/>
          <w:color w:val="04629A"/>
          <w:sz w:val="30"/>
          <w:szCs w:val="30"/>
        </w:rPr>
        <w:lastRenderedPageBreak/>
        <w:t>3. The policies</w:t>
      </w:r>
      <w:bookmarkEnd w:id="56"/>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57" w:name="_Toc239235959"/>
      <w:r>
        <w:rPr>
          <w:b/>
          <w:bCs/>
          <w:color w:val="04629A"/>
          <w:sz w:val="30"/>
          <w:szCs w:val="30"/>
        </w:rPr>
        <w:lastRenderedPageBreak/>
        <w:t>4. Conclusions</w:t>
      </w:r>
      <w:bookmarkEnd w:id="57"/>
    </w:p>
    <w:p w14:paraId="111665AD" w14:textId="77777777" w:rsidR="00F40E91" w:rsidRDefault="00A42790">
      <w:pPr>
        <w:pStyle w:val="Heading2"/>
        <w:spacing w:before="200" w:after="120"/>
      </w:pPr>
      <w:bookmarkStart w:id="58" w:name="_Toc239235960"/>
      <w:r>
        <w:rPr>
          <w:b/>
          <w:bCs/>
          <w:color w:val="04629A"/>
          <w:sz w:val="25"/>
          <w:szCs w:val="25"/>
        </w:rPr>
        <w:t>References</w:t>
      </w:r>
      <w:bookmarkEnd w:id="58"/>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72291C9D" w14:textId="77777777" w:rsidR="00F40E91" w:rsidRDefault="00A42790">
      <w:pPr>
        <w:spacing w:after="70"/>
        <w:ind w:left="280" w:hanging="280"/>
      </w:pPr>
      <w:r>
        <w:rPr>
          <w:sz w:val="20"/>
          <w:szCs w:val="20"/>
        </w:rPr>
        <w:t>AE (2024), *Mange nye folkeskolelærere forlader folkeskolen på få år*, Arbejderbevægelsens Erhvervsråd, Copenhagen, https://www.ae.dk/analyse/2024-06-mange-nye-folkeskolelaerere-forlader-folkeskolen-paa-faa-aar.</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14:paraId="0835E43B" w14:textId="77777777" w:rsidR="00B3332B" w:rsidRDefault="00000000">
      <w:pPr>
        <w:spacing w:after="70"/>
        <w:ind w:left="280" w:hanging="280"/>
        <w:rPr>
          <w:ins w:id="59" w:author="Claude" w:date="2026-10-05T12:38:00Z"/>
          <w:del w:id="12018" w:author="Claude" w:date="2026-10-05T15:48:01Z"/>
        </w:rPr>
      </w:pPr>
      <w:ins w:id="60" w:author="Claude" w:date="2026-10-05T12:38:00Z">
        <w:del w:id="12015" w:author="Claude" w:date="2026-10-05T15:48:01Z">
          <w:r>
            <w:rPr>
              <w:sz w:val="20"/>
              <w:szCs w:val="20"/>
            </w:rPr>
            <w:delText xml:space="preserve">Béteille, T., D. Kalogrides and S. Loeb (2012), "Stepping stones: Principal career paths and school outcomes", </w:delText>
          </w:r>
        </w:del>
        <w:del w:id="12016" w:author="Claude" w:date="2026-10-05T15:48:01Z">
          <w:r>
            <w:rPr>
              <w:i/>
              <w:iCs/>
              <w:sz w:val="20"/>
              <w:szCs w:val="20"/>
            </w:rPr>
            <w:delText>Social Science Research</w:delText>
          </w:r>
        </w:del>
        <w:del w:id="12017" w:author="Claude" w:date="2026-10-05T15:48:01Z">
          <w:r>
            <w:rPr>
              <w:sz w:val="20"/>
              <w:szCs w:val="20"/>
            </w:rPr>
            <w:delText>, Vol. 41/4, pp. 904-919, https://doi.org/10.1016/j.ssresearch.2012.03.003.</w:delText>
          </w:r>
        </w:del>
      </w:ins>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46077A44" w14:textId="77777777" w:rsidR="00F40E91" w:rsidRPr="00F15A52" w:rsidRDefault="00A42790">
      <w:pPr>
        <w:spacing w:after="70"/>
        <w:ind w:left="280" w:hanging="280"/>
        <w:rPr>
          <w:lang w:val="es-CL"/>
        </w:rPr>
      </w:pPr>
      <w:r>
        <w:rPr>
          <w:sz w:val="20"/>
          <w:szCs w:val="20"/>
          <w:lang w:val="es-CL"/>
        </w:rPr>
        <w:t>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lastRenderedPageBreak/>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14:paraId="168156D2" w14:textId="77777777" w:rsidR="00B3332B" w:rsidRDefault="00000000">
      <w:pPr>
        <w:spacing w:after="70"/>
        <w:ind w:left="280" w:hanging="280"/>
        <w:rPr>
          <w:ins w:id="61" w:author="Claude" w:date="2026-10-05T12:38:00Z"/>
        </w:rPr>
      </w:pPr>
      <w:ins w:id="62" w:author="Claude" w:date="2026-10-05T12:38:00Z">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ins>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14:paraId="7AEC7048" w14:textId="77777777" w:rsidR="00B3332B" w:rsidRDefault="00000000">
      <w:pPr>
        <w:spacing w:after="70"/>
        <w:ind w:left="280" w:hanging="280"/>
        <w:rPr>
          <w:ins w:id="63" w:author="Claude" w:date="2026-10-05T12:38:00Z"/>
        </w:rPr>
      </w:pPr>
      <w:ins w:id="64" w:author="Claude" w:date="2026-10-05T12:38:00Z">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ins>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14:paraId="5B9C6A9F" w14:textId="77777777" w:rsidR="00B3332B" w:rsidRDefault="00000000">
      <w:pPr>
        <w:spacing w:after="70"/>
        <w:ind w:left="280" w:hanging="280"/>
        <w:rPr>
          <w:ins w:id="65" w:author="Claude" w:date="2026-10-05T12:38:00Z"/>
        </w:rPr>
      </w:pPr>
      <w:ins w:id="66" w:author="Claude" w:date="2026-10-05T12:38:00Z">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ins>
    </w:p>
    <w:p w14:paraId="1AB34854" w14:textId="77777777" w:rsidR="00B3332B" w:rsidRDefault="00000000">
      <w:pPr>
        <w:spacing w:after="70"/>
        <w:ind w:left="280" w:hanging="280"/>
        <w:rPr>
          <w:ins w:id="67" w:author="Claude" w:date="2026-10-05T12:38:00Z"/>
        </w:rPr>
      </w:pPr>
      <w:ins w:id="68" w:author="Claude" w:date="2026-10-05T12:38:00Z">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ins>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14:paraId="6AEA8DF0" w14:textId="77777777" w:rsidR="00B3332B" w:rsidRDefault="00000000">
      <w:pPr>
        <w:spacing w:after="70"/>
        <w:ind w:left="280" w:hanging="280"/>
        <w:rPr>
          <w:ins w:id="69" w:author="Claude" w:date="2026-10-05T12:38:00Z"/>
        </w:rPr>
      </w:pPr>
      <w:ins w:id="70" w:author="Claude" w:date="2026-10-05T12:38:00Z">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ins>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47031CD0" w14:textId="77777777" w:rsidR="00F40E91" w:rsidRDefault="00A42790">
      <w:pPr>
        <w:spacing w:after="70"/>
        <w:ind w:left="280" w:hanging="280"/>
      </w:pPr>
      <w:r>
        <w:rPr>
          <w:sz w:val="20"/>
          <w:szCs w:val="20"/>
        </w:rPr>
        <w:t>Kindsiko, E. (2023), analysis of teacher attrition in Estonia using EHIS register data 2005/06-2021/22, Arenguseire Keskus, Tallinn. [Full bibliographic details to be completed before publication.]</w:t>
      </w:r>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lastRenderedPageBreak/>
        <w:t>Kraft, M. A., W. H. Marinell and D. Shen-Wei Yee (2016), "School organizational contexts, teacher turnover, and student achievement: Evidence from panel data", *American Educational Research Journal*, Vol. 53/5, pp. 1411-1449, https://doi.org/10.3102/0002831216667478.</w:t>
      </w:r>
    </w:p>
    <w:p w14:paraId="43541EB5" w14:textId="77777777" w:rsidR="00B3332B" w:rsidRDefault="00000000">
      <w:pPr>
        <w:spacing w:after="70"/>
        <w:ind w:left="280" w:hanging="280"/>
        <w:rPr>
          <w:ins w:id="71" w:author="Claude" w:date="2026-10-05T12:38:00Z"/>
        </w:rPr>
      </w:pPr>
      <w:ins w:id="72" w:author="Claude" w:date="2026-10-05T12:38:00Z">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ins>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t>Madigan, D. J. and L. E. Kim (2021), "Towards an understanding of teacher attrition: A meta-analysis of burnout, job satisfaction, and teachers' intentions to quit", *Teaching and Teacher Education*, Vol. 105, 103425, https://doi.org/10.1016/j.tate.2021.103425.</w:t>
      </w:r>
    </w:p>
    <w:p w14:paraId="5E4367D6" w14:textId="77777777" w:rsidR="00F40E91" w:rsidRDefault="00A42790">
      <w:pPr>
        <w:spacing w:after="70"/>
        <w:ind w:left="280" w:hanging="280"/>
      </w:pPr>
      <w:r>
        <w:rPr>
          <w:sz w:val="20"/>
          <w:szCs w:val="20"/>
        </w:rPr>
        <w:t>Ministry of Education Korea (2023), statistics on mid-career teacher separations 2019-2023, Ministry of Education, Sejong. [Full bibliographic details to be completed before publication.]</w:t>
      </w:r>
    </w:p>
    <w:p w14:paraId="5AF35FB9" w14:textId="77777777" w:rsidR="00F40E91" w:rsidRDefault="00A42790">
      <w:pPr>
        <w:spacing w:after="70"/>
        <w:ind w:left="280" w:hanging="280"/>
      </w:pPr>
      <w:r>
        <w:rPr>
          <w:sz w:val="20"/>
          <w:szCs w:val="20"/>
        </w:rPr>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14:paraId="0D2ADC99" w14:textId="77777777" w:rsidR="00B3332B" w:rsidRDefault="00000000">
      <w:pPr>
        <w:spacing w:after="70"/>
        <w:ind w:left="280" w:hanging="280"/>
        <w:rPr>
          <w:ins w:id="73" w:author="Claude" w:date="2026-10-05T12:38:00Z"/>
        </w:rPr>
      </w:pPr>
      <w:ins w:id="74" w:author="Claude" w:date="2026-10-05T12:38:00Z">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ins>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7D545500" w14:textId="77777777" w:rsidR="00F40E91" w:rsidRDefault="00A42790">
      <w:pPr>
        <w:spacing w:after="70"/>
        <w:ind w:left="280" w:hanging="280"/>
      </w:pPr>
      <w:r>
        <w:rPr>
          <w:sz w:val="20"/>
          <w:szCs w:val="20"/>
        </w:rPr>
        <w:t>NŠA (2025), teacher demand and supply forecast, Nacionalinė švietimo agentūra, Vilnius. [Full bibliographic details to be completed before publication.]</w:t>
      </w:r>
    </w:p>
    <w:p>
      <w:pPr>
        <w:spacing w:after="70"/>
        <w:ind w:left="280" w:hanging="280"/>
        <w:rPr>
          <w:ins w:id="12013" w:author="Claude" w:date="2026-10-05T15:48:01Z"/>
        </w:rPr>
      </w:pPr>
      <w:ins w:id="12014" w:author="Claude" w:date="2026-10-05T15:48:01Z">
        <w:r>
          <w:rPr>
            <w:sz w:val="20"/>
            <w:szCs w:val="20"/>
          </w:rPr>
          <w:t xml:space="preserve">OECD (2020), </w:t>
        </w:r>
        <w:r>
          <w:rPr>
            <w:i/>
            <w:iCs/>
            <w:sz w:val="20"/>
            <w:szCs w:val="20"/>
          </w:rPr>
          <w:t xml:space="preserve">TALIS 2018 Results (Volume II): Teachers and School Leaders as Valued Professionals</w:t>
        </w:r>
        <w:r>
          <w:rPr>
            <w:sz w:val="20"/>
            <w:szCs w:val="20"/>
          </w:rPr>
          <w:t xml:space="preserve">, TALIS, OECD Publishing, Paris, https://doi.org/10.1787/19cf08df-en.</w:t>
        </w:r>
      </w:ins>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66599942" w14:textId="77777777" w:rsidR="00F40E91" w:rsidRDefault="00A42790">
      <w:pPr>
        <w:spacing w:after="70"/>
        <w:ind w:left="280" w:hanging="280"/>
      </w:pPr>
      <w:r>
        <w:rPr>
          <w:sz w:val="20"/>
          <w:szCs w:val="20"/>
        </w:rPr>
        <w:t>OECD (2025c), *Results from TALIS 2024, Country Notes: Japan, France and the Netherlands*, OECD Publishing, Paris, https://doi.org/10.1787/e127f9e2-en.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4D642B90" w14:textId="77777777" w:rsidR="00F40E91" w:rsidRDefault="00A42790">
      <w:pPr>
        <w:spacing w:after="70"/>
        <w:ind w:left="280" w:hanging="280"/>
      </w:pPr>
      <w:r>
        <w:rPr>
          <w:sz w:val="20"/>
          <w:szCs w:val="20"/>
        </w:rPr>
        <w:t>Perryman, J. et al. (2025), "'A tipping point' in teacher retention and accountability: The case of inspection", *British Journal of Educational Studies*, Vol. 73/2, pp. 181-200, https://doi.org/10.1080/00071005.2024.2439791.</w:t>
      </w:r>
    </w:p>
    <w:p w14:paraId="16E81C97" w14:textId="77777777" w:rsidR="00F40E91" w:rsidRDefault="00A42790">
      <w:pPr>
        <w:spacing w:after="70"/>
        <w:ind w:left="280" w:hanging="280"/>
      </w:pPr>
      <w:r>
        <w:rPr>
          <w:sz w:val="20"/>
          <w:szCs w:val="20"/>
        </w:rPr>
        <w:lastRenderedPageBreak/>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14:paraId="405DA110" w14:textId="77777777" w:rsidR="00B3332B" w:rsidRDefault="00000000">
      <w:pPr>
        <w:spacing w:after="70"/>
        <w:ind w:left="280" w:hanging="280"/>
        <w:rPr>
          <w:ins w:id="75" w:author="Claude" w:date="2026-10-05T12:38:00Z"/>
        </w:rPr>
      </w:pPr>
      <w:ins w:id="76" w:author="Claude" w:date="2026-10-05T12:38:00Z">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ins>
    </w:p>
    <w:p w14:paraId="65897F21" w14:textId="77777777" w:rsidR="00F40E91" w:rsidRDefault="00A42790">
      <w:pPr>
        <w:spacing w:after="70"/>
        <w:ind w:left="280" w:hanging="280"/>
      </w:pPr>
      <w:r>
        <w:rPr>
          <w:sz w:val="20"/>
          <w:szCs w:val="20"/>
        </w:rPr>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14:paraId="62F8C797" w14:textId="77777777" w:rsidR="00B3332B" w:rsidRDefault="00000000">
      <w:pPr>
        <w:spacing w:after="70"/>
        <w:ind w:left="280" w:hanging="280"/>
        <w:rPr>
          <w:ins w:id="77" w:author="Claude" w:date="2026-10-05T12:38:00Z"/>
        </w:rPr>
      </w:pPr>
      <w:ins w:id="78" w:author="Claude" w:date="2026-10-05T12:38:00Z">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ins>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14:paraId="7D0DD174" w14:textId="77777777" w:rsidR="00B3332B" w:rsidRDefault="00000000">
      <w:pPr>
        <w:spacing w:after="70"/>
        <w:ind w:left="280" w:hanging="280"/>
        <w:rPr>
          <w:ins w:id="79" w:author="Claude" w:date="2026-10-05T12:38:00Z"/>
        </w:rPr>
      </w:pPr>
      <w:ins w:id="80" w:author="Claude" w:date="2026-10-05T12:38:00Z">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ins>
    </w:p>
    <w:p w14:paraId="14A58B0C" w14:textId="77777777" w:rsidR="00F40E91" w:rsidRDefault="00A42790">
      <w:pPr>
        <w:spacing w:after="70"/>
        <w:ind w:left="280" w:hanging="280"/>
      </w:pPr>
      <w:r>
        <w:rPr>
          <w:sz w:val="20"/>
          <w:szCs w:val="20"/>
        </w:rPr>
        <w:t>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Pr="0023669F" w:rsidRDefault="00A42790">
      <w:pPr>
        <w:spacing w:after="70"/>
        <w:ind w:left="280" w:hanging="280"/>
        <w:rPr>
          <w:lang w:val="fr-FR"/>
          <w:rPrChange w:id="81" w:author="DURÁN ROA José Elías, EDU/IMEP" w:date="2026-10-05T16:01:00Z" w16du:dateUtc="2026-10-05T14:01:00Z">
            <w:rPr/>
          </w:rPrChange>
        </w:rPr>
      </w:pPr>
      <w:r>
        <w:rPr>
          <w:sz w:val="20"/>
          <w:szCs w:val="20"/>
        </w:rPr>
        <w:t xml:space="preserve">Somers, M. et al. (2024a), *Loont het om leraren financieel te prikkelen? </w:t>
      </w:r>
      <w:r>
        <w:rPr>
          <w:sz w:val="20"/>
          <w:szCs w:val="20"/>
          <w:lang w:val="fr-FR"/>
          <w:rPrChange w:id="82" w:author="DURÁN ROA José Elías, EDU/IMEP" w:date="2026-10-05T16:01:00Z" w16du:dateUtc="2026-10-05T14:01:00Z">
            <w:rPr>
              <w:sz w:val="20"/>
              <w:szCs w:val="20"/>
            </w:rPr>
          </w:rPrChange>
        </w:rPr>
        <w:t>De voltijdbonus onderzocht*, ROA, Maastricht University, Maastricht, https://roa.maastrichtuniversity.nl/.</w:t>
      </w:r>
    </w:p>
    <w:p w14:paraId="7847F30A" w14:textId="77777777" w:rsidR="00F40E91" w:rsidRDefault="00A42790">
      <w:pPr>
        <w:spacing w:after="70"/>
        <w:ind w:left="280" w:hanging="280"/>
      </w:pPr>
      <w:r>
        <w:rPr>
          <w:sz w:val="20"/>
          <w:szCs w:val="20"/>
          <w:lang w:val="fr-FR"/>
          <w:rPrChange w:id="83" w:author="DURÁN ROA José Elías, EDU/IMEP" w:date="2026-10-05T16:01:00Z" w16du:dateUtc="2026-10-05T14:01:00Z">
            <w:rPr>
              <w:sz w:val="20"/>
              <w:szCs w:val="20"/>
            </w:rPr>
          </w:rPrChange>
        </w:rPr>
        <w:t xml:space="preserve">Somers, M. et al. </w:t>
      </w:r>
      <w:r>
        <w:rPr>
          <w:sz w:val="20"/>
          <w:szCs w:val="20"/>
        </w:rPr>
        <w:t>(2024b), *De stille reserve aan leraren buiten het onderwijs*, ROA, Maastricht University, Maastricht, https://roa.maastrichtuniversity.nl/.</w:t>
      </w:r>
    </w:p>
    <w:p w14:paraId="16295B09" w14:textId="77777777" w:rsidR="00B3332B" w:rsidRDefault="00000000">
      <w:pPr>
        <w:spacing w:after="70"/>
        <w:ind w:left="280" w:hanging="280"/>
        <w:rPr>
          <w:ins w:id="84" w:author="Claude" w:date="2026-10-05T12:38:00Z"/>
        </w:rPr>
      </w:pPr>
      <w:ins w:id="85" w:author="Claude" w:date="2026-10-05T12:38:00Z">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ins>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lastRenderedPageBreak/>
        <w:t>Stinebrickner, T. R. (2002), "An analysis of occupational change and departure from the labor force: Evidence of the reasons that teachers leave", *Journal of Human Resources*, Vol. 37/1, pp. 192-216, https://doi.org/10.2307/3069608.</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TORRES José Manuel, EDU/IMEP" w:date="2026-09-18T09:25:00Z" w:initials="JT">
    <w:p w14:paraId="56AAA5F9" w14:textId="77777777" w:rsidR="00A552FF" w:rsidRDefault="00A552FF" w:rsidP="00A552FF">
      <w:pPr>
        <w:pStyle w:val="CommentText"/>
      </w:pPr>
      <w:r>
        <w:rPr>
          <w:rStyle w:val="CommentReference"/>
        </w:rPr>
        <w:annotationRef/>
      </w:r>
      <w:r>
        <w:rPr>
          <w:lang w:val="en-GB"/>
        </w:rPr>
        <w:t>This is useful and has a potential to be used afterwards, but mostly disappears in the following sections. Let’s see where to use them.</w:t>
      </w:r>
    </w:p>
  </w:comment>
  <w:comment w:id="9" w:author="Claude" w:date="2026-10-05T12:38:00Z" w:initials="C">
    <w:p w14:paraId="74D18C61" w14:textId="77777777" w:rsidR="00B3332B" w:rsidRDefault="00000000">
      <w:r>
        <w:rPr>
          <w:rStyle w:val="CommentReference"/>
        </w:rPr>
        <w:annotationRef/>
      </w:r>
      <w:r>
        <w:rPr>
          <w:color w:val="000000"/>
          <w:sz w:val="20"/>
          <w:szCs w:val="20"/>
        </w:rPr>
        <w:t>Done. The three profiles are announced here as the thread running through 2.2: each area closes with an implications paragraph that names the profile it mainly concerns, and Box 1 lists them.</w:t>
      </w:r>
    </w:p>
  </w:comment>
  <w:comment w:id="12" w:author="DURÁN ROA José Elías, EDU/IMEP" w:date="2026-10-05T16:05:00Z" w:initials="JD">
    <w:p w14:paraId="6F9A5241" w14:textId="77777777" w:rsidR="0023669F" w:rsidRDefault="0023669F" w:rsidP="0023669F">
      <w:pPr>
        <w:pStyle w:val="CommentText"/>
      </w:pPr>
      <w:r>
        <w:rPr>
          <w:rStyle w:val="CommentReference"/>
        </w:rPr>
        <w:annotationRef/>
      </w:r>
      <w:r>
        <w:rPr>
          <w:lang w:val="en-GB"/>
        </w:rPr>
        <w:t>Unreadable as it is… Needs to be (1) separated in two paragraphs, (2) Formulated as: Idea (clar at the beginning), desarrollo de la idea y ejemplificación/soporte empírico de la idea</w:t>
      </w:r>
    </w:p>
  </w:comment>
  <w:comment w:id="20" w:author="DURÁN ROA José Elías, EDU/IMEP" w:date="2026-10-05T16:18:00Z" w:initials="JD">
    <w:p w14:paraId="009439F1" w14:textId="77777777" w:rsidR="00CB0771" w:rsidRDefault="00CB0771" w:rsidP="00CB0771">
      <w:pPr>
        <w:pStyle w:val="CommentText"/>
      </w:pPr>
      <w:r>
        <w:rPr>
          <w:rStyle w:val="CommentReference"/>
        </w:rPr>
        <w:annotationRef/>
      </w:r>
      <w:r>
        <w:rPr>
          <w:lang w:val="en-GB"/>
        </w:rPr>
        <w:t xml:space="preserve">This is the paragraph that meant to be the transition to the next section. As it is rigth now… is not only not a smooth transition but also is the worst paragrph in th whole document. You must learn from this on what NOT to do.  The ideas are obscure, not upfront… the redaction is unclear. The tone is non academic. The pace is no human. </w:t>
      </w:r>
    </w:p>
  </w:comment>
  <w:comment w:id="23" w:author="DURÁN ROA José Elías, EDU/IMEP" w:date="2026-10-05T16:24:00Z" w:initials="JD">
    <w:p w14:paraId="7628D88A" w14:textId="77777777" w:rsidR="00CB0771" w:rsidRDefault="00CB0771" w:rsidP="00CB0771">
      <w:pPr>
        <w:pStyle w:val="CommentText"/>
      </w:pPr>
      <w:r>
        <w:rPr>
          <w:rStyle w:val="CommentReference"/>
        </w:rPr>
        <w:annotationRef/>
      </w:r>
      <w:r>
        <w:rPr>
          <w:lang w:val="en-GB"/>
        </w:rPr>
        <w:t>Inicio de frase demasiado corto y critptico… dejar clara cuál es la idea de este párrafo.</w:t>
      </w:r>
    </w:p>
  </w:comment>
  <w:comment w:id="24" w:author="DURÁN ROA José Elías, EDU/IMEP" w:date="2026-10-05T16:30:00Z" w:initials="JD">
    <w:p w14:paraId="41788064" w14:textId="77777777" w:rsidR="001B38EE" w:rsidRDefault="001B38EE" w:rsidP="001B38EE">
      <w:pPr>
        <w:pStyle w:val="CommentText"/>
      </w:pPr>
      <w:r>
        <w:rPr>
          <w:rStyle w:val="CommentReference"/>
        </w:rPr>
        <w:annotationRef/>
      </w:r>
      <w:r>
        <w:rPr>
          <w:lang w:val="en-GB"/>
        </w:rPr>
        <w:t>Darnos cuenta de aquí tenemos tres países, los tres los estamos presentando como ejemplos. En vez de ir uno por uno,deberíamos integrar aprendizaje, o al menos procurar que una vez la idea inicial quede bien redactada,.. Sea lógico el modo en que los ejemplos se presentan, de un modo smooth cuidando no simplemente bombardearlos luego de la idea inicial</w:t>
      </w:r>
    </w:p>
  </w:comment>
  <w:comment w:id="25" w:author="DURÁN ROA José Elías, EDU/IMEP" w:date="2026-10-05T16:31:00Z" w:initials="JD">
    <w:p w14:paraId="41B43263" w14:textId="77777777" w:rsidR="001B38EE" w:rsidRDefault="001B38EE" w:rsidP="001B38EE">
      <w:pPr>
        <w:pStyle w:val="CommentText"/>
      </w:pPr>
      <w:r>
        <w:rPr>
          <w:rStyle w:val="CommentReference"/>
        </w:rPr>
        <w:annotationRef/>
      </w:r>
      <w:r>
        <w:rPr>
          <w:lang w:val="en-GB"/>
        </w:rPr>
        <w:t xml:space="preserve">Esta no es la idea central del párrafo! La idea central es actually que lo que las hace pesadas es la intensidad y el out of school preparation and administrative work, no? </w:t>
      </w:r>
      <w:r>
        <w:t xml:space="preserve">the workload teachers declare goes beyond the number of hours of work stipulated by contract and mainly reflects the burden they perceive in the classroom. </w:t>
      </w:r>
    </w:p>
  </w:comment>
  <w:comment w:id="26" w:author="DURÁN ROA José Elías, EDU/IMEP" w:date="2026-10-05T16:31:00Z" w:initials="JD">
    <w:p w14:paraId="302D305C" w14:textId="2CF19F85" w:rsidR="001B38EE" w:rsidRDefault="001B38EE" w:rsidP="001B38EE">
      <w:pPr>
        <w:pStyle w:val="CommentText"/>
      </w:pPr>
      <w:r>
        <w:rPr>
          <w:rStyle w:val="CommentReference"/>
        </w:rPr>
        <w:annotationRef/>
      </w:r>
      <w:r>
        <w:rPr>
          <w:lang w:val="en-GB"/>
        </w:rPr>
        <w:t>great</w:t>
      </w:r>
    </w:p>
  </w:comment>
  <w:comment w:id="27" w:author="DURÁN ROA José Elías, EDU/IMEP" w:date="2026-10-05T16:37:00Z" w:initials="JD">
    <w:p w14:paraId="78E8A0E1" w14:textId="77777777" w:rsidR="00EE3D50" w:rsidRDefault="00EE3D50" w:rsidP="00EE3D50">
      <w:pPr>
        <w:pStyle w:val="CommentText"/>
      </w:pPr>
      <w:r>
        <w:rPr>
          <w:rStyle w:val="CommentReference"/>
        </w:rPr>
        <w:annotationRef/>
      </w:r>
      <w:r>
        <w:rPr>
          <w:lang w:val="en-GB"/>
        </w:rPr>
        <w:t xml:space="preserve">Este párrafo está pésimamente redactado, primero, la entrada es críptica… no informativa, mete un punto demasiado rápido. Pero más allá de la puntuación, el primer lesson se presenta como si fuese consecuencia del texto que los shortages se concentran en disadvantaged rural schools… ESO NO LO HEMOS DICHO, lo que queremos decir es en el orden inverso,.. Dado que los shortages se concentran en disadvantages (bueno, tend to concentrate)… ENTONCES CON LO QUE SABEMOS…  </w:t>
      </w:r>
      <w:r>
        <w:t xml:space="preserve">This is relevant for policies that aim to re-attract former teachers, because teacher shortages tend to concentrate in disadvantaged or rural schools where the classroom climate is worst </w:t>
      </w:r>
      <w:r>
        <w:rPr>
          <w:color w:val="0563C1"/>
        </w:rPr>
        <w:t>(</w:t>
      </w:r>
      <w:hyperlink r:id="rId1" w:history="1">
        <w:r w:rsidRPr="009973B4">
          <w:rPr>
            <w:rStyle w:val="Hyperlink"/>
          </w:rPr>
          <w:t>Simon and Johnson, 2015</w:t>
        </w:r>
      </w:hyperlink>
      <w:r>
        <w:rPr>
          <w:color w:val="0563C1"/>
        </w:rPr>
        <w:t xml:space="preserve">; </w:t>
      </w:r>
      <w:hyperlink r:id="rId2" w:history="1">
        <w:r w:rsidRPr="009973B4">
          <w:rPr>
            <w:rStyle w:val="Hyperlink"/>
          </w:rPr>
          <w:t>UNESCO, 2024</w:t>
        </w:r>
      </w:hyperlink>
      <w:r>
        <w:rPr>
          <w:color w:val="0563C1"/>
        </w:rPr>
        <w:t>)</w:t>
      </w:r>
      <w:r>
        <w:t xml:space="preserve">. It also points to what such policies should attend to, the discipline climate of the school where a returner is placed and the teaching load they are offered </w:t>
      </w:r>
      <w:r>
        <w:rPr>
          <w:color w:val="0563C1"/>
        </w:rPr>
        <w:t>(</w:t>
      </w:r>
      <w:hyperlink r:id="rId3" w:history="1">
        <w:r w:rsidRPr="009973B4">
          <w:rPr>
            <w:rStyle w:val="Hyperlink"/>
          </w:rPr>
          <w:t>Sims and Jerrim, 2020</w:t>
        </w:r>
      </w:hyperlink>
      <w:r>
        <w:rPr>
          <w:color w:val="0563C1"/>
        </w:rPr>
        <w:t xml:space="preserve">; </w:t>
      </w:r>
      <w:hyperlink r:id="rId4" w:history="1">
        <w:r w:rsidRPr="009973B4">
          <w:rPr>
            <w:rStyle w:val="Hyperlink"/>
          </w:rPr>
          <w:t>Van Casteren et al., 2023</w:t>
        </w:r>
      </w:hyperlink>
      <w:r>
        <w:rPr>
          <w:color w:val="0563C1"/>
        </w:rPr>
        <w:t>).</w:t>
      </w:r>
    </w:p>
  </w:comment>
  <w:comment w:id="28" w:author="DURÁN ROA José Elías, EDU/IMEP" w:date="2026-10-05T16:38:00Z" w:initials="JD">
    <w:p w14:paraId="3D2BB208" w14:textId="77777777" w:rsidR="00EE3D50" w:rsidRDefault="00EE3D50" w:rsidP="00EE3D50">
      <w:pPr>
        <w:pStyle w:val="CommentText"/>
      </w:pPr>
      <w:r>
        <w:rPr>
          <w:rStyle w:val="CommentReference"/>
        </w:rPr>
        <w:annotationRef/>
      </w:r>
      <w:r>
        <w:rPr>
          <w:lang w:val="en-GB"/>
        </w:rPr>
        <w:t>Vale, es cierto, ecnontraste evidencia para esto. Pero no es solida, no es de calidad, y es demasiado vieja… mejor dejar el problema de selection sin signo, sino decir lo que podria ocurrir que es contextt dependent</w:t>
      </w:r>
    </w:p>
  </w:comment>
  <w:comment w:id="32" w:author="DURÁN ROA José Elías, EDU/IMEP" w:date="2026-10-05T16:40:00Z" w:initials="JD">
    <w:p w14:paraId="2D4DA1F7" w14:textId="77777777" w:rsidR="00EE3D50" w:rsidRDefault="00EE3D50" w:rsidP="00EE3D50">
      <w:pPr>
        <w:pStyle w:val="CommentText"/>
      </w:pPr>
      <w:r>
        <w:rPr>
          <w:rStyle w:val="CommentReference"/>
        </w:rPr>
        <w:annotationRef/>
      </w:r>
      <w:r>
        <w:rPr>
          <w:lang w:val="en-GB"/>
        </w:rPr>
        <w:t xml:space="preserve">Parafrasea en la menor cantidad de palabras posibles de que trata este sorting, ok? Deja esto: </w:t>
      </w:r>
      <w:r>
        <w:t>Nonetheless, when studies account for these sorting dynamics, the direct effect of leadership remains substantial</w:t>
      </w:r>
    </w:p>
  </w:comment>
  <w:comment w:id="33" w:author="DURÁN ROA José Elías, EDU/IMEP" w:date="2026-10-05T16:41:00Z" w:initials="JD">
    <w:p w14:paraId="0937E120" w14:textId="77777777" w:rsidR="00EE3D50" w:rsidRDefault="00EE3D50" w:rsidP="00EE3D50">
      <w:pPr>
        <w:pStyle w:val="CommentText"/>
      </w:pPr>
      <w:r>
        <w:rPr>
          <w:rStyle w:val="CommentReference"/>
        </w:rPr>
        <w:annotationRef/>
      </w:r>
      <w:r>
        <w:rPr>
          <w:lang w:val="en-GB"/>
        </w:rPr>
        <w:t>Una sola frase, avoid inicios cortos</w:t>
      </w:r>
    </w:p>
  </w:comment>
  <w:comment w:id="34" w:author="DURÁN ROA José Elías, EDU/IMEP" w:date="2026-10-05T16:44:00Z" w:initials="JD">
    <w:p w14:paraId="1FAAFA30" w14:textId="77777777" w:rsidR="00EE3D50" w:rsidRDefault="00EE3D50" w:rsidP="00EE3D50">
      <w:pPr>
        <w:pStyle w:val="CommentText"/>
      </w:pPr>
      <w:r>
        <w:rPr>
          <w:rStyle w:val="CommentReference"/>
        </w:rPr>
        <w:annotationRef/>
      </w:r>
      <w:r>
        <w:rPr>
          <w:lang w:val="en-GB"/>
        </w:rPr>
        <w:t xml:space="preserve">No entrar directamente con el nombre (este es un buen ejemplo)… vamos de lo general a lo particular cuando ejemplificamos. Opción 1 (lo que estamos haciendo) decir la idea (en este caso: </w:t>
      </w:r>
      <w:r>
        <w:t>Novice teachers who receive induction support are less likely to leave ) y PUM poner el ejemplo directo con la cifra o nombre del programa (MAL, POCO CLARO) o por el contrario, opción 2: decir la idea (tal como en opción 1), VINCULAR con otra idea que sirva de sostén al ejemplo (en este caso sería algo como, prcisamente por esto, programas de mentoría tienden a ser existosos… obvio muchomejor redactada) y LUEGO aterrizar al ejemplo (COMO el caso del ENGLAND EARLY CAREER ….. Blablabla)</w:t>
      </w:r>
    </w:p>
  </w:comment>
  <w:comment w:id="35" w:author="DURÁN ROA José Elías, EDU/IMEP" w:date="2026-10-05T16:51:00Z" w:initials="JD">
    <w:p w14:paraId="33BFA9D7" w14:textId="77777777" w:rsidR="00C754A0" w:rsidRDefault="00C754A0" w:rsidP="00C754A0">
      <w:pPr>
        <w:pStyle w:val="CommentText"/>
      </w:pPr>
      <w:r>
        <w:rPr>
          <w:rStyle w:val="CommentReference"/>
        </w:rPr>
        <w:annotationRef/>
      </w:r>
      <w:r>
        <w:rPr>
          <w:lang w:val="en-GB"/>
        </w:rPr>
        <w:t>Sí esta bien esto, pero no puede haber frases tan cortas, en la era de la IA eso no queda bien.</w:t>
      </w:r>
    </w:p>
  </w:comment>
  <w:comment w:id="36" w:author="DURÁN ROA José Elías, EDU/IMEP" w:date="2026-10-05T16:52:00Z" w:initials="JD">
    <w:p w14:paraId="02401D8C" w14:textId="77777777" w:rsidR="00C754A0" w:rsidRDefault="00C754A0" w:rsidP="00C754A0">
      <w:pPr>
        <w:pStyle w:val="CommentText"/>
      </w:pPr>
      <w:r>
        <w:rPr>
          <w:rStyle w:val="CommentReference"/>
        </w:rPr>
        <w:annotationRef/>
      </w:r>
      <w:r>
        <w:rPr>
          <w:lang w:val="en-GB"/>
        </w:rPr>
        <w:t>Adicionalmente, que en el proceso de retorno puedan considerarse attachment or contact with the leader of the new schools, que sea parte del proceso...that helps.</w:t>
      </w:r>
    </w:p>
  </w:comment>
  <w:comment w:id="37" w:author="DURÁN ROA José Elías, EDU/IMEP" w:date="2026-10-05T16:53:00Z" w:initials="JD">
    <w:p w14:paraId="4189985D" w14:textId="77777777" w:rsidR="00C754A0" w:rsidRDefault="00C754A0" w:rsidP="00C754A0">
      <w:pPr>
        <w:pStyle w:val="CommentText"/>
      </w:pPr>
      <w:r>
        <w:rPr>
          <w:rStyle w:val="CommentReference"/>
        </w:rPr>
        <w:annotationRef/>
      </w:r>
      <w:r>
        <w:rPr>
          <w:lang w:val="en-GB"/>
        </w:rPr>
        <w:t>Again see preivous comments.</w:t>
      </w:r>
    </w:p>
  </w:comment>
  <w:comment w:id="38" w:author="DURÁN ROA José Elías, EDU/IMEP" w:date="2026-10-05T16:54:00Z" w:initials="JD">
    <w:p w14:paraId="68590AD5" w14:textId="77777777" w:rsidR="00C754A0" w:rsidRDefault="00C754A0" w:rsidP="00C754A0">
      <w:pPr>
        <w:pStyle w:val="CommentText"/>
      </w:pPr>
      <w:r>
        <w:rPr>
          <w:rStyle w:val="CommentReference"/>
        </w:rPr>
        <w:annotationRef/>
      </w:r>
      <w:r>
        <w:rPr>
          <w:lang w:val="en-GB"/>
        </w:rPr>
        <w:t>Buscar si en EAG 2026 hay algo más actual. Sí lo hay, reemplazar esta versión.</w:t>
      </w:r>
    </w:p>
  </w:comment>
  <w:comment w:id="39" w:author="DURÁN ROA José Elías, EDU/IMEP" w:date="2026-10-05T17:23:00Z" w:initials="JD">
    <w:p w14:paraId="3DC50068" w14:textId="77777777" w:rsidR="0011410E" w:rsidRDefault="0011410E" w:rsidP="0011410E">
      <w:pPr>
        <w:pStyle w:val="CommentText"/>
      </w:pPr>
      <w:r>
        <w:rPr>
          <w:rStyle w:val="CommentReference"/>
        </w:rPr>
        <w:annotationRef/>
      </w:r>
      <w:r>
        <w:rPr>
          <w:lang w:val="en-GB"/>
        </w:rPr>
        <w:t>Mal, ver comentarios sobre inicios crípticos</w:t>
      </w:r>
    </w:p>
  </w:comment>
  <w:comment w:id="40" w:author="DURÁN ROA José Elías, EDU/IMEP" w:date="2026-10-05T16:59:00Z" w:initials="JD">
    <w:p w14:paraId="527A3FFC" w14:textId="77777777" w:rsidR="00AD0872" w:rsidRDefault="00AD0872" w:rsidP="00AD0872">
      <w:pPr>
        <w:pStyle w:val="CommentText"/>
      </w:pPr>
      <w:r>
        <w:rPr>
          <w:rStyle w:val="CommentReference"/>
        </w:rPr>
        <w:annotationRef/>
      </w:r>
      <w:r>
        <w:rPr>
          <w:lang w:val="en-GB"/>
        </w:rPr>
        <w:t xml:space="preserve">De nuevo, que la idea del parrafo sea clara desde el inicio y no crptica: </w:t>
      </w:r>
      <w:r>
        <w:t xml:space="preserve">pension rules also affect the decision to leave, since they set the retirement age and, along the teaching career, create incentives for retention depending on the pension system’s rigidity. </w:t>
      </w:r>
    </w:p>
  </w:comment>
  <w:comment w:id="41" w:author="DURÁN ROA José Elías, EDU/IMEP" w:date="2026-10-05T17:00:00Z" w:initials="JD">
    <w:p w14:paraId="5FEBC0AC" w14:textId="77777777" w:rsidR="00AD0872" w:rsidRDefault="00AD0872" w:rsidP="00AD0872">
      <w:pPr>
        <w:pStyle w:val="CommentText"/>
      </w:pPr>
      <w:r>
        <w:rPr>
          <w:rStyle w:val="CommentReference"/>
        </w:rPr>
        <w:annotationRef/>
      </w:r>
      <w:r>
        <w:rPr>
          <w:lang w:val="en-GB"/>
        </w:rPr>
        <w:t>La nota al pie que ponía tenía mucha más riqueza que esto,.. No se limitaba a dar dos exepciones! Sino un overview general de la jubilación y sus edades.</w:t>
      </w:r>
    </w:p>
  </w:comment>
  <w:comment w:id="42" w:author="DURÁN ROA José Elías, EDU/IMEP" w:date="2026-10-05T17:22:00Z" w:initials="JD">
    <w:p w14:paraId="12749487" w14:textId="77777777" w:rsidR="0011410E" w:rsidRDefault="0011410E" w:rsidP="0011410E">
      <w:pPr>
        <w:pStyle w:val="CommentText"/>
      </w:pPr>
      <w:r>
        <w:rPr>
          <w:rStyle w:val="CommentReference"/>
        </w:rPr>
        <w:annotationRef/>
      </w:r>
      <w:r>
        <w:rPr>
          <w:lang w:val="en-GB"/>
        </w:rPr>
        <w:t>Una forma extrana de terminar un parrafo con muchas ideas… yo creo que este párrafo podria ser dos. Parrafo 1: importancia de las pensiones + detalle de las edades yc cada sistema (overviw general) + dejar claro que la pensión suele excluir in most cases el volver a ganar un salario!</w:t>
      </w:r>
    </w:p>
    <w:p w14:paraId="3E990C7C" w14:textId="77777777" w:rsidR="0011410E" w:rsidRDefault="0011410E" w:rsidP="0011410E">
      <w:pPr>
        <w:pStyle w:val="CommentText"/>
      </w:pPr>
      <w:r>
        <w:rPr>
          <w:lang w:val="en-GB"/>
        </w:rPr>
        <w:t>Párrafo 2: porque esto importa, decisiones económicas en torno a la pensión etc</w:t>
      </w:r>
    </w:p>
  </w:comment>
  <w:comment w:id="43" w:author="DURÁN ROA José Elías, EDU/IMEP" w:date="2026-10-05T17:24:00Z" w:initials="JD">
    <w:p w14:paraId="73832642" w14:textId="77777777" w:rsidR="0011410E" w:rsidRDefault="0011410E" w:rsidP="0011410E">
      <w:pPr>
        <w:pStyle w:val="CommentText"/>
      </w:pPr>
      <w:r>
        <w:rPr>
          <w:rStyle w:val="CommentReference"/>
        </w:rPr>
        <w:annotationRef/>
      </w:r>
      <w:r>
        <w:t xml:space="preserve">RECUERDO LA VERSION ANTERIOR: Moreover, pension rules also affect the decision to leave, since they set the retirement age and, along the teaching career, create incentives for retention depending on the pension system’s rigidity. In most schemes covering teachers, retiring before the age stipulated by law reduces the pension and retiring later marginally increases it, so retirement concentrates around that age. This phenomenon is closely related to the way pensions funds growth and accumulate. In defined-benefit schemes, most of the pension is earned in the final years before the full-pension age and little accrues after it, so one more year of work carries a substantial pension gain at 54 and almost nothing at 60 </w:t>
      </w:r>
      <w:r>
        <w:rPr>
          <w:color w:val="0563C1"/>
        </w:rPr>
        <w:t>(</w:t>
      </w:r>
      <w:hyperlink r:id="rId5" w:history="1">
        <w:r w:rsidRPr="008407A2">
          <w:rPr>
            <w:rStyle w:val="Hyperlink"/>
          </w:rPr>
          <w:t>Costrell and Podgursky, 2009</w:t>
        </w:r>
      </w:hyperlink>
      <w:r>
        <w:rPr>
          <w:color w:val="0563C1"/>
        </w:rPr>
        <w:t>)</w:t>
      </w:r>
      <w:r>
        <w:t xml:space="preserve">. This is mostly the case across the civil-service teacher schemes of Europe and North America, while defined-contribution systems, as in Sweden or Australia, are close to actuarially neutral and spread retirements accordingly </w:t>
      </w:r>
      <w:r>
        <w:rPr>
          <w:color w:val="0563C1"/>
        </w:rPr>
        <w:t>(</w:t>
      </w:r>
      <w:hyperlink r:id="rId6" w:history="1">
        <w:r w:rsidRPr="008407A2">
          <w:rPr>
            <w:rStyle w:val="Hyperlink"/>
          </w:rPr>
          <w:t>OECD, 2025e</w:t>
        </w:r>
      </w:hyperlink>
      <w:r>
        <w:rPr>
          <w:color w:val="0563C1"/>
        </w:rPr>
        <w:t>)</w:t>
      </w:r>
      <w:r>
        <w:t xml:space="preserve">. The available estimates of how much teachers value that deferred income present mixed results, with estimates running from about 20 cents per dollar of present value to near parity </w:t>
      </w:r>
      <w:r>
        <w:rPr>
          <w:color w:val="0563C1"/>
        </w:rPr>
        <w:t>(</w:t>
      </w:r>
      <w:hyperlink r:id="rId7" w:history="1">
        <w:r w:rsidRPr="008407A2">
          <w:rPr>
            <w:rStyle w:val="Hyperlink"/>
          </w:rPr>
          <w:t>Fitzpatrick, 2015</w:t>
        </w:r>
      </w:hyperlink>
      <w:r>
        <w:rPr>
          <w:color w:val="0563C1"/>
        </w:rPr>
        <w:t xml:space="preserve">; </w:t>
      </w:r>
      <w:hyperlink r:id="rId8" w:history="1">
        <w:r w:rsidRPr="008407A2">
          <w:rPr>
            <w:rStyle w:val="Hyperlink"/>
          </w:rPr>
          <w:t>Ni, Podgursky and Wang, 2022</w:t>
        </w:r>
      </w:hyperlink>
      <w:r>
        <w:rPr>
          <w:color w:val="0563C1"/>
        </w:rPr>
        <w:t>).</w:t>
      </w:r>
    </w:p>
    <w:p w14:paraId="2EA5165E" w14:textId="77777777" w:rsidR="0011410E" w:rsidRDefault="0011410E" w:rsidP="0011410E">
      <w:pPr>
        <w:pStyle w:val="CommentText"/>
      </w:pPr>
      <w:r>
        <w:t xml:space="preserve"> The retirement age generally falls between 62 and 67, averaging 64.7 for men and 63.9 for women across the OECD. It stands at 62 in Greece and Slovenia, at 67 in Australia, Denmark, Iceland, Israel, the Netherlands and Norway, and in between everywhere else </w:t>
      </w:r>
      <w:r>
        <w:rPr>
          <w:color w:val="0563C1"/>
        </w:rPr>
        <w:t>(</w:t>
      </w:r>
      <w:r>
        <w:rPr>
          <w:color w:val="FF0000"/>
        </w:rPr>
        <w:t>OECD, 2025f</w:t>
      </w:r>
      <w:r>
        <w:rPr>
          <w:color w:val="0563C1"/>
        </w:rPr>
        <w:t>).</w:t>
      </w:r>
      <w:r>
        <w:t xml:space="preserve"> The systems with the lowest ages for teachers are France and Spain, where retirement is possible from 59 for the former primary corps and from 60 for civil-servant teachers with thirty years of service </w:t>
      </w:r>
      <w:r>
        <w:rPr>
          <w:color w:val="0563C1"/>
        </w:rPr>
        <w:t>(</w:t>
      </w:r>
      <w:hyperlink r:id="rId9" w:history="1">
        <w:r w:rsidRPr="008407A2">
          <w:rPr>
            <w:rStyle w:val="Hyperlink"/>
          </w:rPr>
          <w:t>Ministère de l'Éducation nationale, 2023</w:t>
        </w:r>
      </w:hyperlink>
      <w:r>
        <w:rPr>
          <w:color w:val="0563C1"/>
        </w:rPr>
        <w:t xml:space="preserve">; </w:t>
      </w:r>
      <w:hyperlink r:id="rId10" w:history="1">
        <w:r w:rsidRPr="008407A2">
          <w:rPr>
            <w:rStyle w:val="Hyperlink"/>
          </w:rPr>
          <w:t>Government of Spain, 2015</w:t>
        </w:r>
      </w:hyperlink>
      <w:r>
        <w:rPr>
          <w:color w:val="0563C1"/>
        </w:rPr>
        <w:t>).</w:t>
      </w:r>
    </w:p>
  </w:comment>
  <w:comment w:id="44" w:author="DURÁN ROA José Elías, EDU/IMEP" w:date="2026-10-05T17:26:00Z" w:initials="JD">
    <w:p w14:paraId="7CB18749" w14:textId="77777777" w:rsidR="0011410E" w:rsidRDefault="0011410E" w:rsidP="0011410E">
      <w:pPr>
        <w:pStyle w:val="CommentText"/>
      </w:pPr>
      <w:r>
        <w:rPr>
          <w:rStyle w:val="CommentReference"/>
        </w:rPr>
        <w:annotationRef/>
      </w:r>
      <w:r>
        <w:rPr>
          <w:lang w:val="en-GB"/>
        </w:rPr>
        <w:t>Además de los issues de redacción, debe ser un poco más pensado esto. (1) Para los profesores reitrados mientras más felxibilidad para que vuelvan adar clases sin perder la pensión y con posibilidad de tener ingresos extra mas efectivo será el sistema en dar la ipción de re atraerlos. (2)as expected, mejores salarios aumentarán las incorporacione.. Sin olvidar que para que se retention… todo lo demas blablbal</w:t>
      </w:r>
    </w:p>
  </w:comment>
  <w:comment w:id="47" w:author="DURÁN ROA José Elías, EDU/IMEP" w:date="2026-10-05T17:27:00Z" w:initials="JD">
    <w:p w14:paraId="71F026F2" w14:textId="77777777" w:rsidR="0011410E" w:rsidRDefault="0011410E" w:rsidP="0011410E">
      <w:pPr>
        <w:pStyle w:val="CommentText"/>
      </w:pPr>
      <w:r>
        <w:rPr>
          <w:rStyle w:val="CommentReference"/>
        </w:rPr>
        <w:annotationRef/>
      </w:r>
      <w:r>
        <w:rPr>
          <w:lang w:val="en-GB"/>
        </w:rPr>
        <w:t>SI no hay ideas y solo bombardeo de ejemplos, el parrafo es completamente useless</w:t>
      </w:r>
    </w:p>
  </w:comment>
  <w:comment w:id="48" w:author="DURÁN ROA José Elías, EDU/IMEP" w:date="2026-10-05T17:28:00Z" w:initials="JD">
    <w:p w14:paraId="017D4337" w14:textId="77777777" w:rsidR="0011410E" w:rsidRDefault="0011410E" w:rsidP="0011410E">
      <w:pPr>
        <w:pStyle w:val="CommentText"/>
      </w:pPr>
      <w:r>
        <w:rPr>
          <w:rStyle w:val="CommentReference"/>
        </w:rPr>
        <w:annotationRef/>
      </w:r>
      <w:r>
        <w:rPr>
          <w:lang w:val="en-GB"/>
        </w:rPr>
        <w:t>Juntar como estaba en la versión anterior</w:t>
      </w:r>
    </w:p>
  </w:comment>
  <w:comment w:id="49" w:author="DURÁN ROA José Elías, EDU/IMEP" w:date="2026-10-05T17:31:00Z" w:initials="JD">
    <w:p w14:paraId="10386D18" w14:textId="77777777" w:rsidR="0011410E" w:rsidRDefault="0011410E" w:rsidP="0011410E">
      <w:pPr>
        <w:pStyle w:val="CommentText"/>
      </w:pPr>
      <w:r>
        <w:rPr>
          <w:rStyle w:val="CommentReference"/>
        </w:rPr>
        <w:annotationRef/>
      </w:r>
      <w:r>
        <w:rPr>
          <w:lang w:val="en-GB"/>
        </w:rPr>
        <w:t>Juntar estas dos ideas en una sola frase</w:t>
      </w:r>
    </w:p>
  </w:comment>
  <w:comment w:id="50" w:author="DURÁN ROA José Elías, EDU/IMEP" w:date="2026-10-05T17:30:00Z" w:initials="JD">
    <w:p w14:paraId="60D31F4A" w14:textId="77777777" w:rsidR="0011410E" w:rsidRDefault="0011410E" w:rsidP="0011410E">
      <w:pPr>
        <w:pStyle w:val="CommentText"/>
      </w:pPr>
      <w:r>
        <w:rPr>
          <w:rStyle w:val="CommentReference"/>
        </w:rPr>
        <w:annotationRef/>
      </w:r>
      <w:r>
        <w:rPr>
          <w:lang w:val="en-GB"/>
        </w:rPr>
        <w:t>Elimina este gráfico, no es al que se refería el comentario! Ver la figura que doy en el comentario</w:t>
      </w:r>
    </w:p>
  </w:comment>
  <w:comment w:id="51" w:author="DURÁN ROA José Elías, EDU/IMEP" w:date="2026-10-05T17:32:00Z" w:initials="JD">
    <w:p w14:paraId="0E73CB1E" w14:textId="77777777" w:rsidR="00D10E01" w:rsidRDefault="00D10E01" w:rsidP="00D10E01">
      <w:pPr>
        <w:pStyle w:val="CommentText"/>
      </w:pPr>
      <w:r>
        <w:rPr>
          <w:rStyle w:val="CommentReference"/>
        </w:rPr>
        <w:annotationRef/>
      </w:r>
      <w:r>
        <w:rPr>
          <w:lang w:val="en-GB"/>
        </w:rPr>
        <w:t>Aquí estás metiendo una idea nueva… por tanto tenemos que introudcilra… no puedes ANADIRLA al lado de la otra idea.. That’s not a smooth transition!</w:t>
      </w:r>
    </w:p>
  </w:comment>
  <w:comment w:id="52" w:author="DURÁN ROA José Elías, EDU/IMEP" w:date="2026-10-05T17:33:00Z" w:initials="JD">
    <w:p w14:paraId="05C0DBEA" w14:textId="77777777" w:rsidR="00D10E01" w:rsidRDefault="00D10E01" w:rsidP="00D10E01">
      <w:pPr>
        <w:pStyle w:val="CommentText"/>
      </w:pPr>
      <w:r>
        <w:rPr>
          <w:rStyle w:val="CommentReference"/>
        </w:rPr>
        <w:annotationRef/>
      </w:r>
      <w:r>
        <w:rPr>
          <w:lang w:val="en-GB"/>
        </w:rPr>
        <w:t>Non-acadmeic wirinting.. Se comments of criptic introducions!</w:t>
      </w:r>
    </w:p>
  </w:comment>
  <w:comment w:id="53" w:author="DURÁN ROA José Elías, EDU/IMEP" w:date="2026-10-05T17:35:00Z" w:initials="JD">
    <w:p w14:paraId="2770955B" w14:textId="77777777" w:rsidR="00D10E01" w:rsidRDefault="00D10E01" w:rsidP="00D10E01">
      <w:pPr>
        <w:pStyle w:val="CommentText"/>
      </w:pPr>
      <w:r>
        <w:rPr>
          <w:rStyle w:val="CommentReference"/>
        </w:rPr>
        <w:annotationRef/>
      </w:r>
      <w:r>
        <w:rPr>
          <w:lang w:val="en-GB"/>
        </w:rPr>
        <w:t>Se mas simple, flexibilizar siempre mejorar el re ingreso… y facilitat el retorno de quienes se van temporalmente, ok?</w:t>
      </w:r>
    </w:p>
  </w:comment>
  <w:comment w:id="54" w:author="DURÁN ROA José Elías, EDU/IMEP" w:date="2026-10-05T17:37:00Z" w:initials="JD">
    <w:p w14:paraId="14B99002" w14:textId="77777777" w:rsidR="00D10E01" w:rsidRDefault="00D10E01" w:rsidP="00D10E01">
      <w:pPr>
        <w:pStyle w:val="CommentText"/>
      </w:pPr>
      <w:r>
        <w:rPr>
          <w:rStyle w:val="CommentReference"/>
        </w:rPr>
        <w:annotationRef/>
      </w:r>
      <w:r>
        <w:t xml:space="preserve">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r>
        <w:rPr>
          <w:color w:val="0563C1"/>
        </w:rPr>
        <w:t>(OECD, 2020)</w:t>
      </w:r>
      <w:r>
        <w:t>. Additionally, beyond evaluation, maintaining a valid teaching license requires meeting specific regulatory obligations that vary by country, typically taking the form of mandatory periodic training or documented evidence of continued classroom practice.</w:t>
      </w:r>
    </w:p>
    <w:p w14:paraId="2DD65F90" w14:textId="77777777" w:rsidR="00D10E01" w:rsidRDefault="00D10E01" w:rsidP="00D10E01">
      <w:pPr>
        <w:pStyle w:val="CommentText"/>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w:t>
      </w:r>
      <w:r>
        <w:rPr>
          <w:color w:val="0563C1"/>
        </w:rPr>
        <w:t xml:space="preserve"> (OECD, 2020)</w:t>
      </w:r>
      <w:r>
        <w:t xml:space="preserve">. The importance of accountability and regulation motives is nonetheless minor compared to other determinants of leaving, since even if test-based accountability does elevate stress and turnover intentions </w:t>
      </w:r>
      <w:r>
        <w:rPr>
          <w:color w:val="0563C1"/>
        </w:rPr>
        <w:t>(Ryan et al., 2017)</w:t>
      </w:r>
      <w:r>
        <w:t xml:space="preserve"> ranks below affective commitment, burnout and job satisfaction </w:t>
      </w:r>
      <w:r>
        <w:rPr>
          <w:color w:val="0563C1"/>
        </w:rPr>
        <w:t>(Gundlach, Slemp and Hattie, 2024)</w:t>
      </w:r>
      <w:r>
        <w:t>. For policies aiming to re-attract teachers, this suggests that the cost of recertification is worth attention, as higher costs and the isolation teachers face in navigating the process affect the decision to leave, deter re-entry, and reduces retention once back, which argues for keeping such burdens as low as regulatory purposes allow.</w:t>
      </w:r>
    </w:p>
    <w:p w14:paraId="2499B625" w14:textId="77777777" w:rsidR="00D10E01" w:rsidRDefault="00D10E01" w:rsidP="00D10E01">
      <w:pPr>
        <w:pStyle w:val="CommentText"/>
      </w:pPr>
      <w:r>
        <w:rPr>
          <w:lang w:val="en-GB"/>
        </w:rPr>
        <w:t>DEJA ESO COMO ESTABA que tu nueva verisón es criptica y sin alma… sol anade el parrafo de los aprendizajes</w:t>
      </w:r>
    </w:p>
  </w:comment>
  <w:comment w:id="55" w:author="DURÁN ROA José Elías, EDU/IMEP" w:date="2026-10-05T17:34:00Z" w:initials="JD">
    <w:p w14:paraId="58DBD8C8" w14:textId="77777777" w:rsidR="00D10E01" w:rsidRDefault="00D10E01" w:rsidP="00D10E01">
      <w:pPr>
        <w:pStyle w:val="CommentText"/>
        <w:numPr>
          <w:ilvl w:val="0"/>
          <w:numId w:val="6"/>
        </w:numPr>
      </w:pPr>
      <w:r>
        <w:rPr>
          <w:rStyle w:val="CommentReference"/>
        </w:rPr>
        <w:annotationRef/>
      </w:r>
      <w:r>
        <w:rPr>
          <w:color w:val="1A1A1A"/>
        </w:rPr>
        <w:t>Re-entry policy is an opportunity to improve the match between teachers and schools: workload, leadership, collegial environment, classroom conditions and flexibility</w:t>
      </w:r>
    </w:p>
    <w:p w14:paraId="61B6220D" w14:textId="77777777" w:rsidR="00D10E01" w:rsidRDefault="00D10E01" w:rsidP="00D10E01">
      <w:pPr>
        <w:pStyle w:val="CommentText"/>
      </w:pPr>
      <w:r>
        <w:rPr>
          <w:color w:val="1A1A1A"/>
        </w:rPr>
        <w:t>Ten en cuenta tmb esta perspectiva de la narrativa… la de oportunity to… porque complementa y vuelve más bonito aún lo que ya tienes.</w:t>
      </w:r>
    </w:p>
  </w:comment>
  <w:comment w:id="56" w:author="Claude" w:date="2026-10-05T15:48:01Z" w:initials="C">
    <w:p w14:paraId="306604D5" w14:textId="77777777">
      <w:r>
        <w:rPr>
          <w:rStyle w:val="CommentReference"/>
        </w:rPr>
        <w:annotationRef/>
      </w:r>
      <w:r>
        <w:rPr>
          <w:color w:val="000000"/>
          <w:sz w:val="20"/>
          <w:szCs w:val="20"/>
        </w:rPr>
        <w:t xml:space="preserve">Done: split in two paragraphs, each opening with its idea (stability in the countries with long series; no series elsewhere, and what the short ones show), then development and examples.</w:t>
      </w:r>
    </w:p>
  </w:comment>
  <w:comment w:id="57" w:author="Claude" w:date="2026-10-05T15:48:01Z" w:initials="C">
    <w:p w14:paraId="424AAD31" w14:textId="77777777">
      <w:r>
        <w:rPr>
          <w:rStyle w:val="CommentReference"/>
        </w:rPr>
        <w:annotationRef/>
      </w:r>
      <w:r>
        <w:rPr>
          <w:color w:val="000000"/>
          <w:sz w:val="20"/>
          <w:szCs w:val="20"/>
        </w:rPr>
        <w:t xml:space="preserve">Rewritten as a proper transition: why a moderate and stable rate still makes the motives relevant (absolute numbers and uneven vacancies; the policies in Section 3 are addressed to these teachers), leading into the next section.</w:t>
      </w:r>
    </w:p>
  </w:comment>
  <w:comment w:id="58" w:author="Claude" w:date="2026-10-05T15:48:02Z" w:initials="C">
    <w:p w14:paraId="16BFEB75" w14:textId="77777777">
      <w:r>
        <w:rPr>
          <w:rStyle w:val="CommentReference"/>
        </w:rPr>
        <w:annotationRef/>
      </w:r>
      <w:r>
        <w:rPr>
          <w:color w:val="000000"/>
          <w:sz w:val="20"/>
          <w:szCs w:val="20"/>
        </w:rPr>
        <w:t xml:space="preserve">Rewritten: the paragraph now opens with its idea (leaver surveys point to the same factors, workload first) before the examples.</w:t>
      </w:r>
    </w:p>
  </w:comment>
  <w:comment w:id="59" w:author="Claude" w:date="2026-10-05T15:48:02Z" w:initials="C">
    <w:p w14:paraId="63F6FDCF" w14:textId="77777777">
      <w:r>
        <w:rPr>
          <w:rStyle w:val="CommentReference"/>
        </w:rPr>
        <w:annotationRef/>
      </w:r>
      <w:r>
        <w:rPr>
          <w:color w:val="000000"/>
          <w:sz w:val="20"/>
          <w:szCs w:val="20"/>
        </w:rPr>
        <w:t xml:space="preserve">Done: the three countries are introduced together as consistent evidence with varying weights, and then presented in a connected way rather than one after another.</w:t>
      </w:r>
    </w:p>
  </w:comment>
  <w:comment w:id="60" w:author="Claude" w:date="2026-10-05T15:48:02Z" w:initials="C">
    <w:p w14:paraId="45636307" w14:textId="77777777">
      <w:r>
        <w:rPr>
          <w:rStyle w:val="CommentReference"/>
        </w:rPr>
        <w:annotationRef/>
      </w:r>
      <w:r>
        <w:rPr>
          <w:color w:val="000000"/>
          <w:sz w:val="20"/>
          <w:szCs w:val="20"/>
        </w:rPr>
        <w:t xml:space="preserve">Done: the paragraph now opens with the idea that declared workload goes beyond contract hours and reflects intensity, out-of-school preparation and administrative work and the burden perceived in the classroom. The comparison with similarly qualified workers (your 'great') is kept as support.</w:t>
      </w:r>
    </w:p>
  </w:comment>
  <w:comment w:id="61" w:author="Claude" w:date="2026-10-05T15:48:02Z" w:initials="C">
    <w:p w14:paraId="2B1C3232" w14:textId="77777777">
      <w:r>
        <w:rPr>
          <w:rStyle w:val="CommentReference"/>
        </w:rPr>
        <w:annotationRef/>
      </w:r>
      <w:r>
        <w:rPr>
          <w:color w:val="000000"/>
          <w:sz w:val="20"/>
          <w:szCs w:val="20"/>
        </w:rPr>
        <w:t xml:space="preserve">Rewritten with your logic and wording: relevant because shortages tend to concentrate in disadvantaged or rural schools where the climate is worst, hence what policies should attend to (discipline climate of the receiving school and the teaching load offered).</w:t>
      </w:r>
    </w:p>
  </w:comment>
  <w:comment w:id="62" w:author="Claude" w:date="2026-10-05T15:48:02Z" w:initials="C">
    <w:p w14:paraId="596DE3EC" w14:textId="77777777">
      <w:r>
        <w:rPr>
          <w:rStyle w:val="CommentReference"/>
        </w:rPr>
        <w:annotationRef/>
      </w:r>
      <w:r>
        <w:rPr>
          <w:color w:val="000000"/>
          <w:sz w:val="20"/>
          <w:szCs w:val="20"/>
        </w:rPr>
        <w:t xml:space="preserve">Done: the selection problem is stated without a sign, as context-dependent correlation between leadership and school characteristics. Béteille et al. removed from text and references.</w:t>
      </w:r>
    </w:p>
  </w:comment>
  <w:comment w:id="63" w:author="Claude" w:date="2026-10-05T15:48:02Z" w:initials="C">
    <w:p w14:paraId="7AD65361" w14:textId="77777777">
      <w:r>
        <w:rPr>
          <w:rStyle w:val="CommentReference"/>
        </w:rPr>
        <w:annotationRef/>
      </w:r>
      <w:r>
        <w:rPr>
          <w:color w:val="000000"/>
          <w:sz w:val="20"/>
          <w:szCs w:val="20"/>
        </w:rPr>
        <w:t xml:space="preserve">Done: the paragraph now opens with your sentence ('Nonetheless, when studies account for these sorting dynamics, the direct effect of leadership remains substantial').</w:t>
      </w:r>
    </w:p>
  </w:comment>
  <w:comment w:id="64" w:author="Claude" w:date="2026-10-05T15:48:02Z" w:initials="C">
    <w:p w14:paraId="2EE21AFD" w14:textId="77777777">
      <w:r>
        <w:rPr>
          <w:rStyle w:val="CommentReference"/>
        </w:rPr>
        <w:annotationRef/>
      </w:r>
      <w:r>
        <w:rPr>
          <w:color w:val="000000"/>
          <w:sz w:val="20"/>
          <w:szCs w:val="20"/>
        </w:rPr>
        <w:t xml:space="preserve">Done: one sentence.</w:t>
      </w:r>
    </w:p>
  </w:comment>
  <w:comment w:id="65" w:author="Claude" w:date="2026-10-05T15:48:02Z" w:initials="C">
    <w:p w14:paraId="30CEBBFA" w14:textId="77777777">
      <w:r>
        <w:rPr>
          <w:rStyle w:val="CommentReference"/>
        </w:rPr>
        <w:annotationRef/>
      </w:r>
      <w:r>
        <w:rPr>
          <w:color w:val="000000"/>
          <w:sz w:val="20"/>
          <w:szCs w:val="20"/>
        </w:rPr>
        <w:t xml:space="preserve">Done, option 2: idea (induction support lowers leaving), link (that is why structured induction programmes have become common retention policies, with encouraging results where evaluated), then the example of England's Early Career Framework.</w:t>
      </w:r>
    </w:p>
  </w:comment>
  <w:comment w:id="66" w:author="Claude" w:date="2026-10-05T15:48:02Z" w:initials="C">
    <w:p w14:paraId="7FF95FDF" w14:textId="77777777">
      <w:r>
        <w:rPr>
          <w:rStyle w:val="CommentReference"/>
        </w:rPr>
        <w:annotationRef/>
      </w:r>
      <w:r>
        <w:rPr>
          <w:color w:val="000000"/>
          <w:sz w:val="20"/>
          <w:szCs w:val="20"/>
        </w:rPr>
        <w:t xml:space="preserve">Done: no short sentences, and the suggestion in your reply is included: the return process could include early contact between the returning teacher and the leadership of the receiving school, so the match is assessed before placement.</w:t>
      </w:r>
    </w:p>
  </w:comment>
  <w:comment w:id="67" w:author="Claude" w:date="2026-10-05T15:48:03Z" w:initials="C">
    <w:p w14:paraId="560D2975" w14:textId="77777777">
      <w:r>
        <w:rPr>
          <w:rStyle w:val="CommentReference"/>
        </w:rPr>
        <w:annotationRef/>
      </w:r>
      <w:r>
        <w:rPr>
          <w:color w:val="000000"/>
          <w:sz w:val="20"/>
          <w:szCs w:val="20"/>
        </w:rPr>
        <w:t xml:space="preserve">Done: integrated into one flowing paragraph with the previous point.</w:t>
      </w:r>
    </w:p>
  </w:comment>
  <w:comment w:id="68" w:author="Claude" w:date="2026-10-05T15:48:03Z" w:initials="C">
    <w:p w14:paraId="61CD3757" w14:textId="77777777">
      <w:r>
        <w:rPr>
          <w:rStyle w:val="CommentReference"/>
        </w:rPr>
        <w:annotationRef/>
      </w:r>
      <w:r>
        <w:rPr>
          <w:color w:val="000000"/>
          <w:sz w:val="20"/>
          <w:szCs w:val="20"/>
        </w:rPr>
        <w:t xml:space="preserve">Education at a Glance 2026 (September 2026) does include an updated Table D3.2 with 2025 data on teachers' actual salaries relative to tertiary-educated workers. I could not download the table from this environment (OECD domains are blocked here), so the figure still shows the 2025 edition; it should be regenerated from EAG 2026, Table D3.2, and the note and source updated to 2025 data.</w:t>
      </w:r>
    </w:p>
  </w:comment>
  <w:comment w:id="69" w:author="Claude" w:date="2026-10-05T15:48:03Z" w:initials="C">
    <w:p w14:paraId="355927DE" w14:textId="77777777">
      <w:r>
        <w:rPr>
          <w:rStyle w:val="CommentReference"/>
        </w:rPr>
        <w:annotationRef/>
      </w:r>
      <w:r>
        <w:rPr>
          <w:color w:val="000000"/>
          <w:sz w:val="20"/>
          <w:szCs w:val="20"/>
        </w:rPr>
        <w:t xml:space="preserve">Rewritten: the paragraph opens with the idea (causal evidence confirms pay retains, with qualifications) and then gives the estimates and the three conclusions.</w:t>
      </w:r>
    </w:p>
  </w:comment>
  <w:comment w:id="70" w:author="Claude" w:date="2026-10-05T15:48:03Z" w:initials="C">
    <w:p w14:paraId="76471D59" w14:textId="77777777">
      <w:r>
        <w:rPr>
          <w:rStyle w:val="CommentReference"/>
        </w:rPr>
        <w:annotationRef/>
      </w:r>
      <w:r>
        <w:rPr>
          <w:color w:val="000000"/>
          <w:sz w:val="20"/>
          <w:szCs w:val="20"/>
        </w:rPr>
        <w:t xml:space="preserve">Done: the paragraph now opens with your sentence.</w:t>
      </w:r>
    </w:p>
  </w:comment>
  <w:comment w:id="71" w:author="Claude" w:date="2026-10-05T15:48:03Z" w:initials="C">
    <w:p w14:paraId="458A2FDE" w14:textId="77777777">
      <w:r>
        <w:rPr>
          <w:rStyle w:val="CommentReference"/>
        </w:rPr>
        <w:annotationRef/>
      </w:r>
      <w:r>
        <w:rPr>
          <w:color w:val="000000"/>
          <w:sz w:val="20"/>
          <w:szCs w:val="20"/>
        </w:rPr>
        <w:t xml:space="preserve">Done: the full overview of retirement ages from the original footnote is restored (62 to 67, averages, Greece and Slovenia, the 67 group, then France and Spain). OECD (2025f) is cited as in the footnote; it still needs an entry in the reference list.</w:t>
      </w:r>
    </w:p>
  </w:comment>
  <w:comment w:id="72" w:author="Claude" w:date="2026-10-05T15:48:03Z" w:initials="C">
    <w:p w14:paraId="223BB9AD" w14:textId="77777777">
      <w:r>
        <w:rPr>
          <w:rStyle w:val="CommentReference"/>
        </w:rPr>
        <w:annotationRef/>
      </w:r>
      <w:r>
        <w:rPr>
          <w:color w:val="000000"/>
          <w:sz w:val="20"/>
          <w:szCs w:val="20"/>
        </w:rPr>
        <w:t xml:space="preserve">Done: now two paragraphs. The first covers the importance of pension rules, the overview of ages by system, and makes explicit that in many public-service schemes the pension is not compatible with a new salary. The second covers why this matters: the economic decisions around retirement, accrual in defined-benefit schemes and how teachers value deferred income.</w:t>
      </w:r>
    </w:p>
  </w:comment>
  <w:comment w:id="73" w:author="Claude" w:date="2026-10-05T15:48:03Z" w:initials="C">
    <w:p w14:paraId="00DEA3D0" w14:textId="77777777">
      <w:r>
        <w:rPr>
          <w:rStyle w:val="CommentReference"/>
        </w:rPr>
        <w:annotationRef/>
      </w:r>
      <w:r>
        <w:rPr>
          <w:color w:val="000000"/>
          <w:sz w:val="20"/>
          <w:szCs w:val="20"/>
        </w:rPr>
        <w:t xml:space="preserve">Rewritten with the two implications: (1) for retired teachers, the more flexibility to teach again without losing the pension and with extra income, the more effective the policy; (2) for switchers, better salaries raise returns, but retention depends on the working and organisational conditions, not on the incentive that brought them back.</w:t>
      </w:r>
    </w:p>
  </w:comment>
  <w:comment w:id="74" w:author="Claude" w:date="2026-10-05T15:48:04Z" w:initials="C">
    <w:p w14:paraId="4E5F55DD" w14:textId="77777777">
      <w:r>
        <w:rPr>
          <w:rStyle w:val="CommentReference"/>
        </w:rPr>
        <w:annotationRef/>
      </w:r>
      <w:r>
        <w:rPr>
          <w:color w:val="000000"/>
          <w:sz w:val="20"/>
          <w:szCs w:val="20"/>
        </w:rPr>
        <w:t xml:space="preserve">Rewritten: the paragraph now opens with its idea (these motives weigh heavily both among those intending to leave and among those who left) and the examples are presented in that order and connected.</w:t>
      </w:r>
    </w:p>
  </w:comment>
  <w:comment w:id="75" w:author="Claude" w:date="2026-10-05T15:48:04Z" w:initials="C">
    <w:p w14:paraId="3148E17A" w14:textId="77777777">
      <w:r>
        <w:rPr>
          <w:rStyle w:val="CommentReference"/>
        </w:rPr>
        <w:annotationRef/>
      </w:r>
      <w:r>
        <w:rPr>
          <w:color w:val="000000"/>
          <w:sz w:val="20"/>
          <w:szCs w:val="20"/>
        </w:rPr>
        <w:t xml:space="preserve">Done: joined as in the previous version, with the implications sentence closing the paragraph.</w:t>
      </w:r>
    </w:p>
  </w:comment>
  <w:comment w:id="76" w:author="Claude" w:date="2026-10-05T15:48:04Z" w:initials="C">
    <w:p w14:paraId="1BABD7B6" w14:textId="77777777">
      <w:r>
        <w:rPr>
          <w:rStyle w:val="CommentReference"/>
        </w:rPr>
        <w:annotationRef/>
      </w:r>
      <w:r>
        <w:rPr>
          <w:color w:val="000000"/>
          <w:sz w:val="20"/>
          <w:szCs w:val="20"/>
        </w:rPr>
        <w:t xml:space="preserve">Done: one sentence. The paragraph also describes the new figure by route (switchers drive the early peak, leavers the late one).</w:t>
      </w:r>
    </w:p>
  </w:comment>
  <w:comment w:id="77" w:author="Claude" w:date="2026-10-05T15:48:04Z" w:initials="C">
    <w:p w14:paraId="52C1383E" w14:textId="77777777">
      <w:r>
        <w:rPr>
          <w:rStyle w:val="CommentReference"/>
        </w:rPr>
        <w:annotationRef/>
      </w:r>
      <w:r>
        <w:rPr>
          <w:color w:val="000000"/>
          <w:sz w:val="20"/>
          <w:szCs w:val="20"/>
        </w:rPr>
        <w:t xml:space="preserve">Replaced with the figure you provided (three panels: leaving at all, switching, leaving the labour force), cropped to the panels, with caption, note and source taken from its notes.</w:t>
      </w:r>
    </w:p>
  </w:comment>
  <w:comment w:id="78" w:author="Claude" w:date="2026-10-05T15:48:04Z" w:initials="C">
    <w:p w14:paraId="048D5647" w14:textId="77777777">
      <w:r>
        <w:rPr>
          <w:rStyle w:val="CommentReference"/>
        </w:rPr>
        <w:annotationRef/>
      </w:r>
      <w:r>
        <w:rPr>
          <w:color w:val="000000"/>
          <w:sz w:val="20"/>
          <w:szCs w:val="20"/>
        </w:rPr>
        <w:t xml:space="preserve">Done: the idea is introduced with a transition (childbirth as the most visible of a broader set of family and health circumstances) before the figures.</w:t>
      </w:r>
    </w:p>
  </w:comment>
  <w:comment w:id="79" w:author="Claude" w:date="2026-10-05T15:48:04Z" w:initials="C">
    <w:p w14:paraId="045273FE" w14:textId="77777777">
      <w:r>
        <w:rPr>
          <w:rStyle w:val="CommentReference"/>
        </w:rPr>
        <w:annotationRef/>
      </w:r>
      <w:r>
        <w:rPr>
          <w:color w:val="000000"/>
          <w:sz w:val="20"/>
          <w:szCs w:val="20"/>
        </w:rPr>
        <w:t xml:space="preserve">Rewritten in an academic register and simplified as in your reply: flexibility improves re-entry in general and, above all, facilitates the return of those who leave temporarily.</w:t>
      </w:r>
    </w:p>
  </w:comment>
  <w:comment w:id="80" w:author="Claude" w:date="2026-10-05T15:48:04Z" w:initials="C">
    <w:p w14:paraId="2D46682E" w14:textId="77777777">
      <w:r>
        <w:rPr>
          <w:rStyle w:val="CommentReference"/>
        </w:rPr>
        <w:annotationRef/>
      </w:r>
      <w:r>
        <w:rPr>
          <w:color w:val="000000"/>
          <w:sz w:val="20"/>
          <w:szCs w:val="20"/>
        </w:rPr>
        <w:t xml:space="preserve">Restored as it was, in two paragraphs, with the footnote on licensing obligations folded into the first. A third paragraph adds the lessons for re-entry, keeping your closing sentence and the point that licensing is a barrier at the moment of return more than a cause of leaving.</w:t>
      </w:r>
    </w:p>
  </w:comment>
  <w:comment w:id="81" w:author="Claude" w:date="2026-10-05T15:48:05Z" w:initials="C">
    <w:p w14:paraId="52E6B9B4" w14:textId="77777777">
      <w:r>
        <w:rPr>
          <w:rStyle w:val="CommentReference"/>
        </w:rPr>
        <w:annotationRef/>
      </w:r>
      <w:r>
        <w:rPr>
          <w:color w:val="000000"/>
          <w:sz w:val="20"/>
          <w:szCs w:val="20"/>
        </w:rPr>
        <w:t xml:space="preserve">Added to the Overall entry of Box 1: re-entry policies as an opportunity to improve the match between teachers and schools, through workload, leadership, collegial environment, classroom conditions and flexibility.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AAA5F9" w15:done="0"/>
  <w15:commentEx w15:paraId="74D18C61" w15:paraIdParent="56AAA5F9" w15:done="0"/>
  <w15:commentEx w15:paraId="6F9A5241" w15:done="0"/>
  <w15:commentEx w15:paraId="009439F1" w15:done="0"/>
  <w15:commentEx w15:paraId="7628D88A" w15:done="0"/>
  <w15:commentEx w15:paraId="41788064" w15:done="0"/>
  <w15:commentEx w15:paraId="41B43263" w15:done="0"/>
  <w15:commentEx w15:paraId="302D305C" w15:done="0"/>
  <w15:commentEx w15:paraId="78E8A0E1" w15:done="0"/>
  <w15:commentEx w15:paraId="3D2BB208" w15:done="0"/>
  <w15:commentEx w15:paraId="2D4DA1F7" w15:done="0"/>
  <w15:commentEx w15:paraId="0937E120" w15:done="0"/>
  <w15:commentEx w15:paraId="1FAAFA30" w15:done="0"/>
  <w15:commentEx w15:paraId="33BFA9D7" w15:done="0"/>
  <w15:commentEx w15:paraId="02401D8C" w15:paraIdParent="33BFA9D7" w15:done="0"/>
  <w15:commentEx w15:paraId="4189985D" w15:done="0"/>
  <w15:commentEx w15:paraId="68590AD5" w15:done="0"/>
  <w15:commentEx w15:paraId="3DC50068" w15:done="0"/>
  <w15:commentEx w15:paraId="527A3FFC" w15:done="0"/>
  <w15:commentEx w15:paraId="5FEBC0AC" w15:done="0"/>
  <w15:commentEx w15:paraId="3E990C7C" w15:done="0"/>
  <w15:commentEx w15:paraId="2EA5165E" w15:paraIdParent="3E990C7C" w15:done="0"/>
  <w15:commentEx w15:paraId="7CB18749" w15:done="0"/>
  <w15:commentEx w15:paraId="71F026F2" w15:done="0"/>
  <w15:commentEx w15:paraId="017D4337" w15:done="0"/>
  <w15:commentEx w15:paraId="10386D18" w15:done="0"/>
  <w15:commentEx w15:paraId="60D31F4A" w15:done="0"/>
  <w15:commentEx w15:paraId="0E73CB1E" w15:done="0"/>
  <w15:commentEx w15:paraId="05C0DBEA" w15:done="0"/>
  <w15:commentEx w15:paraId="2770955B" w15:paraIdParent="05C0DBEA" w15:done="0"/>
  <w15:commentEx w15:paraId="2499B625" w15:done="0"/>
  <w15:commentEx w15:paraId="61B6220D" w15:done="0"/>
  <w15:commentEx w15:paraId="306604D5" w15:paraIdParent="6F9A5241" w15:done="0"/>
  <w15:commentEx w15:paraId="424AAD31" w15:paraIdParent="009439F1" w15:done="0"/>
  <w15:commentEx w15:paraId="16BFEB75" w15:paraIdParent="7628D88A" w15:done="0"/>
  <w15:commentEx w15:paraId="63F6FDCF" w15:paraIdParent="41788064" w15:done="0"/>
  <w15:commentEx w15:paraId="45636307" w15:paraIdParent="41B43263" w15:done="0"/>
  <w15:commentEx w15:paraId="2B1C3232" w15:paraIdParent="78E8A0E1" w15:done="0"/>
  <w15:commentEx w15:paraId="596DE3EC" w15:paraIdParent="3D2BB208" w15:done="0"/>
  <w15:commentEx w15:paraId="7AD65361" w15:paraIdParent="2D4DA1F7" w15:done="0"/>
  <w15:commentEx w15:paraId="2EE21AFD" w15:paraIdParent="0937E120" w15:done="0"/>
  <w15:commentEx w15:paraId="30CEBBFA" w15:paraIdParent="1FAAFA30" w15:done="0"/>
  <w15:commentEx w15:paraId="7FF95FDF" w15:paraIdParent="33BFA9D7" w15:done="0"/>
  <w15:commentEx w15:paraId="560D2975" w15:paraIdParent="4189985D" w15:done="0"/>
  <w15:commentEx w15:paraId="61CD3757" w15:paraIdParent="68590AD5" w15:done="0"/>
  <w15:commentEx w15:paraId="355927DE" w15:paraIdParent="3DC50068" w15:done="0"/>
  <w15:commentEx w15:paraId="76471D59" w15:paraIdParent="527A3FFC" w15:done="0"/>
  <w15:commentEx w15:paraId="458A2FDE" w15:paraIdParent="5FEBC0AC" w15:done="0"/>
  <w15:commentEx w15:paraId="223BB9AD" w15:paraIdParent="12749487" w15:done="0"/>
  <w15:commentEx w15:paraId="00DEA3D0" w15:paraIdParent="7CB18749" w15:done="0"/>
  <w15:commentEx w15:paraId="4E5F55DD" w15:paraIdParent="71F026F2" w15:done="0"/>
  <w15:commentEx w15:paraId="3148E17A" w15:paraIdParent="017D4337" w15:done="0"/>
  <w15:commentEx w15:paraId="1BABD7B6" w15:paraIdParent="10386D18" w15:done="0"/>
  <w15:commentEx w15:paraId="52C1383E" w15:paraIdParent="60D31F4A" w15:done="0"/>
  <w15:commentEx w15:paraId="048D5647" w15:paraIdParent="0E73CB1E" w15:done="0"/>
  <w15:commentEx w15:paraId="045273FE" w15:paraIdParent="05C0DBEA" w15:done="0"/>
  <w15:commentEx w15:paraId="2D46682E" w15:paraIdParent="14B99002" w15:done="0"/>
  <w15:commentEx w15:paraId="52E6B9B4" w15:paraIdParent="58DBD8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E7CA92" w16cex:dateUtc="2026-09-18T07:25:00Z"/>
  <w16cex:commentExtensible w16cex:durableId="3C11D485" w16cex:dateUtc="2026-10-05T12:38:00Z"/>
  <w16cex:commentExtensible w16cex:durableId="79479230" w16cex:dateUtc="2026-10-05T14:05:00Z"/>
  <w16cex:commentExtensible w16cex:durableId="1CCB3556" w16cex:dateUtc="2026-10-05T14:18:00Z"/>
  <w16cex:commentExtensible w16cex:durableId="4CE2FA41" w16cex:dateUtc="2026-10-05T14:24:00Z"/>
  <w16cex:commentExtensible w16cex:durableId="3072B6C1" w16cex:dateUtc="2026-10-05T14:30:00Z"/>
  <w16cex:commentExtensible w16cex:durableId="2708808D" w16cex:dateUtc="2026-10-05T14:31:00Z"/>
  <w16cex:commentExtensible w16cex:durableId="501A366D" w16cex:dateUtc="2026-10-05T14:31:00Z"/>
  <w16cex:commentExtensible w16cex:durableId="27527D40" w16cex:dateUtc="2026-10-05T14:37:00Z"/>
  <w16cex:commentExtensible w16cex:durableId="6850303F" w16cex:dateUtc="2026-10-05T14:38:00Z"/>
  <w16cex:commentExtensible w16cex:durableId="45286B0B" w16cex:dateUtc="2026-10-05T14:40:00Z"/>
  <w16cex:commentExtensible w16cex:durableId="3033B8E3" w16cex:dateUtc="2026-10-05T14:41:00Z"/>
  <w16cex:commentExtensible w16cex:durableId="3CBBD87E" w16cex:dateUtc="2026-10-05T14:44:00Z"/>
  <w16cex:commentExtensible w16cex:durableId="42843DA1" w16cex:dateUtc="2026-10-05T14:51:00Z"/>
  <w16cex:commentExtensible w16cex:durableId="578215FB" w16cex:dateUtc="2026-10-05T14:52:00Z"/>
  <w16cex:commentExtensible w16cex:durableId="3F74E060" w16cex:dateUtc="2026-10-05T14:53:00Z"/>
  <w16cex:commentExtensible w16cex:durableId="46A0AD7D" w16cex:dateUtc="2026-10-05T14:54:00Z"/>
  <w16cex:commentExtensible w16cex:durableId="373FF082" w16cex:dateUtc="2026-10-05T15:23:00Z"/>
  <w16cex:commentExtensible w16cex:durableId="522F691D" w16cex:dateUtc="2026-10-05T14:59:00Z"/>
  <w16cex:commentExtensible w16cex:durableId="3A3F5471" w16cex:dateUtc="2026-10-05T15:00:00Z"/>
  <w16cex:commentExtensible w16cex:durableId="524AF63C" w16cex:dateUtc="2026-10-05T15:22:00Z"/>
  <w16cex:commentExtensible w16cex:durableId="38544E97" w16cex:dateUtc="2026-10-05T15:24:00Z"/>
  <w16cex:commentExtensible w16cex:durableId="76A95D51" w16cex:dateUtc="2026-10-05T15:26:00Z"/>
  <w16cex:commentExtensible w16cex:durableId="39F35BE1" w16cex:dateUtc="2026-10-05T15:27:00Z"/>
  <w16cex:commentExtensible w16cex:durableId="46CDA278" w16cex:dateUtc="2026-10-05T15:28:00Z"/>
  <w16cex:commentExtensible w16cex:durableId="423BB18F" w16cex:dateUtc="2026-10-05T15:31:00Z"/>
  <w16cex:commentExtensible w16cex:durableId="4D61A695" w16cex:dateUtc="2026-10-05T15:30:00Z"/>
  <w16cex:commentExtensible w16cex:durableId="5EA22912" w16cex:dateUtc="2026-10-05T15:32:00Z"/>
  <w16cex:commentExtensible w16cex:durableId="52234257" w16cex:dateUtc="2026-10-05T15:33:00Z"/>
  <w16cex:commentExtensible w16cex:durableId="5C86E889" w16cex:dateUtc="2026-10-05T15:35:00Z"/>
  <w16cex:commentExtensible w16cex:durableId="15973A59" w16cex:dateUtc="2026-10-05T15:37:00Z"/>
  <w16cex:commentExtensible w16cex:durableId="345B529A" w16cex:dateUtc="2026-10-05T15:34:00Z"/>
  <w16cex:commentExtensible w16cex:durableId="4322BA24" w16cex:dateUtc="2026-10-05T15:48:01Z"/>
  <w16cex:commentExtensible w16cex:durableId="2E2573CE" w16cex:dateUtc="2026-10-05T15:48:01Z"/>
  <w16cex:commentExtensible w16cex:durableId="6B4EE2E8" w16cex:dateUtc="2026-10-05T15:48:02Z"/>
  <w16cex:commentExtensible w16cex:durableId="10BA4F3A" w16cex:dateUtc="2026-10-05T15:48:02Z"/>
  <w16cex:commentExtensible w16cex:durableId="19307F3F" w16cex:dateUtc="2026-10-05T15:48:02Z"/>
  <w16cex:commentExtensible w16cex:durableId="7B2C441C" w16cex:dateUtc="2026-10-05T15:48:02Z"/>
  <w16cex:commentExtensible w16cex:durableId="5117DD92" w16cex:dateUtc="2026-10-05T15:48:02Z"/>
  <w16cex:commentExtensible w16cex:durableId="7EF1870B" w16cex:dateUtc="2026-10-05T15:48:02Z"/>
  <w16cex:commentExtensible w16cex:durableId="758154A3" w16cex:dateUtc="2026-10-05T15:48:02Z"/>
  <w16cex:commentExtensible w16cex:durableId="449E81FD" w16cex:dateUtc="2026-10-05T15:48:02Z"/>
  <w16cex:commentExtensible w16cex:durableId="42E923BE" w16cex:dateUtc="2026-10-05T15:48:02Z"/>
  <w16cex:commentExtensible w16cex:durableId="486B5262" w16cex:dateUtc="2026-10-05T15:48:03Z"/>
  <w16cex:commentExtensible w16cex:durableId="076D6B83" w16cex:dateUtc="2026-10-05T15:48:03Z"/>
  <w16cex:commentExtensible w16cex:durableId="683F9137" w16cex:dateUtc="2026-10-05T15:48:03Z"/>
  <w16cex:commentExtensible w16cex:durableId="5EA5A73C" w16cex:dateUtc="2026-10-05T15:48:03Z"/>
  <w16cex:commentExtensible w16cex:durableId="03BDA215" w16cex:dateUtc="2026-10-05T15:48:03Z"/>
  <w16cex:commentExtensible w16cex:durableId="1BCA4558" w16cex:dateUtc="2026-10-05T15:48:03Z"/>
  <w16cex:commentExtensible w16cex:durableId="5CF7EF08" w16cex:dateUtc="2026-10-05T15:48:03Z"/>
  <w16cex:commentExtensible w16cex:durableId="463EC2F6" w16cex:dateUtc="2026-10-05T15:48:04Z"/>
  <w16cex:commentExtensible w16cex:durableId="162CD19C" w16cex:dateUtc="2026-10-05T15:48:04Z"/>
  <w16cex:commentExtensible w16cex:durableId="3AF13E14" w16cex:dateUtc="2026-10-05T15:48:04Z"/>
  <w16cex:commentExtensible w16cex:durableId="1FB4CF37" w16cex:dateUtc="2026-10-05T15:48:04Z"/>
  <w16cex:commentExtensible w16cex:durableId="0A583EE2" w16cex:dateUtc="2026-10-05T15:48:04Z"/>
  <w16cex:commentExtensible w16cex:durableId="12B478B5" w16cex:dateUtc="2026-10-05T15:48:04Z"/>
  <w16cex:commentExtensible w16cex:durableId="59155D0D" w16cex:dateUtc="2026-10-05T15:48:04Z"/>
  <w16cex:commentExtensible w16cex:durableId="7707EF4D" w16cex:dateUtc="2026-10-05T15:48:0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AAA5F9" w16cid:durableId="26E7CA92"/>
  <w16cid:commentId w16cid:paraId="74D18C61" w16cid:durableId="3C11D485"/>
  <w16cid:commentId w16cid:paraId="6F9A5241" w16cid:durableId="79479230"/>
  <w16cid:commentId w16cid:paraId="009439F1" w16cid:durableId="1CCB3556"/>
  <w16cid:commentId w16cid:paraId="7628D88A" w16cid:durableId="4CE2FA41"/>
  <w16cid:commentId w16cid:paraId="41788064" w16cid:durableId="3072B6C1"/>
  <w16cid:commentId w16cid:paraId="41B43263" w16cid:durableId="2708808D"/>
  <w16cid:commentId w16cid:paraId="302D305C" w16cid:durableId="501A366D"/>
  <w16cid:commentId w16cid:paraId="78E8A0E1" w16cid:durableId="27527D40"/>
  <w16cid:commentId w16cid:paraId="3D2BB208" w16cid:durableId="6850303F"/>
  <w16cid:commentId w16cid:paraId="2D4DA1F7" w16cid:durableId="45286B0B"/>
  <w16cid:commentId w16cid:paraId="0937E120" w16cid:durableId="3033B8E3"/>
  <w16cid:commentId w16cid:paraId="1FAAFA30" w16cid:durableId="3CBBD87E"/>
  <w16cid:commentId w16cid:paraId="33BFA9D7" w16cid:durableId="42843DA1"/>
  <w16cid:commentId w16cid:paraId="02401D8C" w16cid:durableId="578215FB"/>
  <w16cid:commentId w16cid:paraId="4189985D" w16cid:durableId="3F74E060"/>
  <w16cid:commentId w16cid:paraId="68590AD5" w16cid:durableId="46A0AD7D"/>
  <w16cid:commentId w16cid:paraId="3DC50068" w16cid:durableId="373FF082"/>
  <w16cid:commentId w16cid:paraId="527A3FFC" w16cid:durableId="522F691D"/>
  <w16cid:commentId w16cid:paraId="5FEBC0AC" w16cid:durableId="3A3F5471"/>
  <w16cid:commentId w16cid:paraId="3E990C7C" w16cid:durableId="524AF63C"/>
  <w16cid:commentId w16cid:paraId="2EA5165E" w16cid:durableId="38544E97"/>
  <w16cid:commentId w16cid:paraId="7CB18749" w16cid:durableId="76A95D51"/>
  <w16cid:commentId w16cid:paraId="71F026F2" w16cid:durableId="39F35BE1"/>
  <w16cid:commentId w16cid:paraId="017D4337" w16cid:durableId="46CDA278"/>
  <w16cid:commentId w16cid:paraId="10386D18" w16cid:durableId="423BB18F"/>
  <w16cid:commentId w16cid:paraId="60D31F4A" w16cid:durableId="4D61A695"/>
  <w16cid:commentId w16cid:paraId="0E73CB1E" w16cid:durableId="5EA22912"/>
  <w16cid:commentId w16cid:paraId="05C0DBEA" w16cid:durableId="52234257"/>
  <w16cid:commentId w16cid:paraId="2770955B" w16cid:durableId="5C86E889"/>
  <w16cid:commentId w16cid:paraId="2499B625" w16cid:durableId="15973A59"/>
  <w16cid:commentId w16cid:paraId="61B6220D" w16cid:durableId="345B529A"/>
  <w16cid:commentId w16cid:paraId="306604D5" w16cid:durableId="4322BA24"/>
  <w16cid:commentId w16cid:paraId="424AAD31" w16cid:durableId="2E2573CE"/>
  <w16cid:commentId w16cid:paraId="16BFEB75" w16cid:durableId="6B4EE2E8"/>
  <w16cid:commentId w16cid:paraId="63F6FDCF" w16cid:durableId="10BA4F3A"/>
  <w16cid:commentId w16cid:paraId="45636307" w16cid:durableId="19307F3F"/>
  <w16cid:commentId w16cid:paraId="2B1C3232" w16cid:durableId="7B2C441C"/>
  <w16cid:commentId w16cid:paraId="596DE3EC" w16cid:durableId="5117DD92"/>
  <w16cid:commentId w16cid:paraId="7AD65361" w16cid:durableId="7EF1870B"/>
  <w16cid:commentId w16cid:paraId="2EE21AFD" w16cid:durableId="758154A3"/>
  <w16cid:commentId w16cid:paraId="30CEBBFA" w16cid:durableId="449E81FD"/>
  <w16cid:commentId w16cid:paraId="7FF95FDF" w16cid:durableId="42E923BE"/>
  <w16cid:commentId w16cid:paraId="560D2975" w16cid:durableId="486B5262"/>
  <w16cid:commentId w16cid:paraId="61CD3757" w16cid:durableId="076D6B83"/>
  <w16cid:commentId w16cid:paraId="355927DE" w16cid:durableId="683F9137"/>
  <w16cid:commentId w16cid:paraId="76471D59" w16cid:durableId="5EA5A73C"/>
  <w16cid:commentId w16cid:paraId="458A2FDE" w16cid:durableId="03BDA215"/>
  <w16cid:commentId w16cid:paraId="223BB9AD" w16cid:durableId="1BCA4558"/>
  <w16cid:commentId w16cid:paraId="00DEA3D0" w16cid:durableId="5CF7EF08"/>
  <w16cid:commentId w16cid:paraId="4E5F55DD" w16cid:durableId="463EC2F6"/>
  <w16cid:commentId w16cid:paraId="3148E17A" w16cid:durableId="162CD19C"/>
  <w16cid:commentId w16cid:paraId="1BABD7B6" w16cid:durableId="3AF13E14"/>
  <w16cid:commentId w16cid:paraId="52C1383E" w16cid:durableId="1FB4CF37"/>
  <w16cid:commentId w16cid:paraId="048D5647" w16cid:durableId="0A583EE2"/>
  <w16cid:commentId w16cid:paraId="045273FE" w16cid:durableId="12B478B5"/>
  <w16cid:commentId w16cid:paraId="2D46682E" w16cid:durableId="59155D0D"/>
  <w16cid:commentId w16cid:paraId="52E6B9B4" w16cid:durableId="7707EF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317B1" w14:textId="77777777" w:rsidR="00951E35" w:rsidRDefault="00951E35">
      <w:r>
        <w:separator/>
      </w:r>
    </w:p>
  </w:endnote>
  <w:endnote w:type="continuationSeparator" w:id="0">
    <w:p w14:paraId="417BB7EA" w14:textId="77777777" w:rsidR="00951E35" w:rsidRDefault="00951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ABAEC" w14:textId="77777777" w:rsidR="00951E35" w:rsidRDefault="00951E35">
      <w:r>
        <w:separator/>
      </w:r>
    </w:p>
  </w:footnote>
  <w:footnote w:type="continuationSeparator" w:id="0">
    <w:p w14:paraId="66550FCA" w14:textId="77777777" w:rsidR="00951E35" w:rsidRDefault="00951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RRES José Manuel, EDU/IMEP">
    <w15:presenceInfo w15:providerId="AD" w15:userId="S::JoseManuel.TORRES@oecd.org::d7fd3618-e390-4724-95be-a346805e458e"/>
  </w15:person>
  <w15:person w15:author="DURÁN ROA José Elías, EDU/IMEP">
    <w15:presenceInfo w15:providerId="AD" w15:userId="S::JoseElias.DURANROA@oecd.org::143a056d-beac-4d27-9201-e13b90a5b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3647"/>
    <w:rsid w:val="005370F6"/>
    <w:rsid w:val="00537141"/>
    <w:rsid w:val="005433B4"/>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45B05"/>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A2B"/>
    <w:rsid w:val="00946AD2"/>
    <w:rsid w:val="00951E35"/>
    <w:rsid w:val="0096522D"/>
    <w:rsid w:val="00965EE1"/>
    <w:rsid w:val="00972F8E"/>
    <w:rsid w:val="00975B11"/>
    <w:rsid w:val="00975F46"/>
    <w:rsid w:val="00977870"/>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91343"/>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8" Type="http://schemas.openxmlformats.org/officeDocument/2006/relationships/hyperlink" Target="%20\l%20" TargetMode="External"/><Relationship Id="rId3" Type="http://schemas.openxmlformats.org/officeDocument/2006/relationships/hyperlink" Target="%20\l%20" TargetMode="External"/><Relationship Id="rId7" Type="http://schemas.openxmlformats.org/officeDocument/2006/relationships/hyperlink" Target="%20\l%20" TargetMode="External"/><Relationship Id="rId2" Type="http://schemas.openxmlformats.org/officeDocument/2006/relationships/hyperlink" Target="%20\l%20" TargetMode="External"/><Relationship Id="rId1" Type="http://schemas.openxmlformats.org/officeDocument/2006/relationships/hyperlink" Target="%20\l%20" TargetMode="External"/><Relationship Id="rId6" Type="http://schemas.openxmlformats.org/officeDocument/2006/relationships/hyperlink" Target="%20\l%20" TargetMode="External"/><Relationship Id="rId5" Type="http://schemas.openxmlformats.org/officeDocument/2006/relationships/hyperlink" Target="%20\l%20" TargetMode="External"/><Relationship Id="rId10" Type="http://schemas.openxmlformats.org/officeDocument/2006/relationships/hyperlink" Target="%20\l%20" TargetMode="External"/><Relationship Id="rId4" Type="http://schemas.openxmlformats.org/officeDocument/2006/relationships/hyperlink" Target="%20\l%20" TargetMode="External"/><Relationship Id="rId9" Type="http://schemas.openxmlformats.org/officeDocument/2006/relationships/hyperlink" Target="%20\l%20"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 Id="rId2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A6BC3A-5CCA-436A-AB8F-4C08D414D76E}">
  <ds:schemaRefs>
    <ds:schemaRef ds:uri="http://schemas.microsoft.com/sharepoint/v3/contenttype/forms"/>
  </ds:schemaRefs>
</ds:datastoreItem>
</file>

<file path=customXml/itemProps2.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3.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4.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19</Pages>
  <Words>7573</Words>
  <Characters>47635</Characters>
  <Application>Microsoft Office Word</Application>
  <DocSecurity>0</DocSecurity>
  <Lines>652</Lines>
  <Paragraphs>228</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5</cp:revision>
  <dcterms:created xsi:type="dcterms:W3CDTF">2026-10-05T12:05:00Z</dcterms:created>
  <dcterms:modified xsi:type="dcterms:W3CDTF">2026-10-05T15:37:00Z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