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A proposal to measure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4"/>
          <w:sz w:val="21"/>
          <w:szCs w:val="21"/>
        </w:rPr>
        <w:t xml:space="preserve">Why this matters</w:t>
      </w:r>
    </w:p>
    <w:p>
      <w:pPr>
        <w:spacing w:after="70" w:line="300" w:lineRule="auto"/>
        <w:jc w:val="both"/>
      </w:pPr>
      <w:r>
        <w:rPr>
          <w:rFonts w:ascii="Garamond" w:cs="Garamond" w:eastAsia="Garamond" w:hAnsi="Garamond"/>
          <w:color w:val="1A2430"/>
          <w:sz w:val="22"/>
          <w:szCs w:val="22"/>
        </w:rPr>
        <w:t xml:space="preserve">Every few years, in almost every rich country, the public debate rediscovers that teachers are quitting. The numbers behind the alarm are usually weak. Some count teachers who merely changed schools. Some count intentions rather than behavior. Some count exits from the public system while the private sector absorbs the same people. To know how many teachers actually leave the classroom, and who they are, you need to follow the same person over time. Very few statistics do that, and almost none do it in a way that can be compared across countries.</w:t>
      </w:r>
    </w:p>
    <w:p>
      <w:pPr>
        <w:spacing w:after="90" w:before="240"/>
      </w:pPr>
      <w:r>
        <w:rPr>
          <w:rFonts w:ascii="Garamond" w:cs="Garamond" w:eastAsia="Garamond" w:hAnsi="Garamond"/>
          <w:smallCaps/>
          <w:color w:val="2A5DB0"/>
          <w:spacing w:val="24"/>
          <w:sz w:val="21"/>
          <w:szCs w:val="21"/>
        </w:rPr>
        <w:t xml:space="preserve">What one country taught us</w:t>
      </w:r>
    </w:p>
    <w:p>
      <w:pPr>
        <w:spacing w:after="70" w:line="300" w:lineRule="auto"/>
        <w:jc w:val="both"/>
      </w:pPr>
      <w:r>
        <w:rPr>
          <w:rFonts w:ascii="Garamond" w:cs="Garamond" w:eastAsia="Garamond" w:hAnsi="Garamond"/>
          <w:color w:val="1A2430"/>
          <w:sz w:val="22"/>
          <w:szCs w:val="22"/>
        </w:rPr>
        <w:t xml:space="preserve">In recent work on the United States I built the longest measurement of teacher attrition available from a single instrument. A public household survey asks every March what a person's longest job was last year and what their job is this week. Whoever taught last year and no longer teaches has left the profession. Read across twenty-eight years, the answer is that the share of American teachers leaving has no trend. It averages 8.6 percent per year, most of it retirements and family spells, and the exodus of the headlines does not appear in the data. Two short papers had used the instrument before, mainly to compare teachers with other professions </w:t>
      </w:r>
      <w:r>
        <w:rPr>
          <w:rFonts w:ascii="Garamond" w:cs="Garamond" w:eastAsia="Garamond" w:hAnsi="Garamond"/>
          <w:color w:val="2A5DB0"/>
          <w:sz w:val="22"/>
          <w:szCs w:val="22"/>
        </w:rPr>
        <w:t xml:space="preserve">(Harris and Adams 2007; Aldeman and Yi 2025)</w:t>
      </w:r>
      <w:r>
        <w:rPr>
          <w:rFonts w:ascii="Garamond" w:cs="Garamond" w:eastAsia="Garamond" w:hAnsi="Garamond"/>
          <w:color w:val="1A2430"/>
          <w:sz w:val="22"/>
          <w:szCs w:val="22"/>
        </w:rPr>
        <w:t xml:space="preserve">. Looking deeper turned a number into an anatomy, with exit routes, profiles, earnings changes and policy margins. This proposal applies the same philosophy to seven countries at once.</w:t>
      </w:r>
    </w:p>
    <w:p>
      <w:pPr>
        <w:spacing w:after="90" w:before="240"/>
      </w:pPr>
      <w:r>
        <w:rPr>
          <w:rFonts w:ascii="Garamond" w:cs="Garamond" w:eastAsia="Garamond" w:hAnsi="Garamond"/>
          <w:smallCaps/>
          <w:color w:val="2A5DB0"/>
          <w:spacing w:val="24"/>
          <w:sz w:val="21"/>
          <w:szCs w:val="21"/>
        </w:rPr>
        <w:t xml:space="preserve">The opportunity</w:t>
      </w:r>
    </w:p>
    <w:p>
      <w:pPr>
        <w:spacing w:after="70" w:line="300" w:lineRule="auto"/>
        <w:jc w:val="both"/>
      </w:pPr>
      <w:r>
        <w:rPr>
          <w:rFonts w:ascii="Garamond" w:cs="Garamond" w:eastAsia="Garamond" w:hAnsi="Garamond"/>
          <w:color w:val="1A2430"/>
          <w:sz w:val="22"/>
          <w:szCs w:val="22"/>
        </w:rPr>
        <w:t xml:space="preserve">The United States, the United Kingdom, Germany, Australia, South Korea, Russia and Switzerland all run a study of the same rare kind. A few thousand households are interviewed every year, in the American case since 1968, and asked about their jobs, incomes, partners, children and health. Because the same people answer year after year, these studies watch careers unfold in a way no snapshot can. They are called household panels. Each has its own name, its own questionnaire and its own coding, which is why they have rarely been used together. A recent academic project, the Comparative Panel File, has harmonized the seven into one open structure with identical variables for employment, income, family and wellbeing </w:t>
      </w:r>
      <w:r>
        <w:rPr>
          <w:rFonts w:ascii="Garamond" w:cs="Garamond" w:eastAsia="Garamond" w:hAnsi="Garamond"/>
          <w:color w:val="2A5DB0"/>
          <w:sz w:val="22"/>
          <w:szCs w:val="22"/>
        </w:rPr>
        <w:t xml:space="preserve">(Turek, Kalmijn and Leopold 2021)</w:t>
      </w:r>
      <w:r>
        <w:rPr>
          <w:rFonts w:ascii="Garamond" w:cs="Garamond" w:eastAsia="Garamond" w:hAnsi="Garamond"/>
          <w:color w:val="1A2430"/>
          <w:sz w:val="22"/>
          <w:szCs w:val="22"/>
        </w:rPr>
        <w:t xml:space="preserve">. It has been used to study retirement, divorce and unemployment across countries. It has never been used for teachers.</w:t>
      </w:r>
    </w:p>
    <w:p>
      <w:pPr>
        <w:spacing w:after="90" w:before="240"/>
      </w:pPr>
      <w:r>
        <w:rPr>
          <w:rFonts w:ascii="Garamond" w:cs="Garamond" w:eastAsia="Garamond" w:hAnsi="Garamond"/>
          <w:smallCaps/>
          <w:color w:val="2A5DB0"/>
          <w:spacing w:val="24"/>
          <w:sz w:val="21"/>
          <w:szCs w:val="21"/>
        </w:rPr>
        <w:t xml:space="preserve">What panel data make possible</w:t>
      </w: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the job satisfaction that deteriorate beforehand, the wage in the next job, and the return to the classroom three years later. The administrative registers most countries use to count teachers see none of this. They stop at the school door, record no destinations and no returns, and carry little beyond age and sex. Follow-up surveys such as the American one are richer, but they run only every four or five years, their microdata are restricted, and no two countries field the same one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panels are small, and the proposal is honest about what that allows. Pooled over twenty to thirty years they hold between roughly three thousand and twenty-five thousand teacher-year observations per country. That is enough to estimate a leaving rate with a precision of about half a percentage point, enough for profiles by age, sex and family situation, and not enough for year-by-year series in the smaller countries.</w:t>
      </w:r>
    </w:p>
    <w:p>
      <w:pPr>
        <w:spacing w:after="90" w:before="240"/>
      </w:pPr>
      <w:r>
        <w:rPr>
          <w:rFonts w:ascii="Garamond" w:cs="Garamond" w:eastAsia="Garamond" w:hAnsi="Garamond"/>
          <w:smallCaps/>
          <w:color w:val="2A5DB0"/>
          <w:spacing w:val="24"/>
          <w:sz w:val="21"/>
          <w:szCs w:val="21"/>
        </w:rPr>
        <w:t xml:space="preserve">The contribution</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leaving and returning rates measured with one common definition in seven countries. My compilation of some twenty-five national statistics shows why this is needed. Annual attrition runs from about two percent in South Korea to about nine percent in England, but every country publishes a different object, so the published numbers cannot be compared. The second is the profile. Who leaves, and who comes back, described with the same socioeconomic variables everywhere. Whether a system is losing young mothers, mid-career men, teachers in poor health or its best paid staff is precisely what a ministry needs to know before choosing among pensions, childcare, pay and workload as the lever. The third is the institutional comparison. Attrition falls as civil-service protection rises across these countries. Profiles measured on a common footing would show what that protection buys, whom it retains, and at what cost.</w:t>
      </w:r>
    </w:p>
    <w:p>
      <w:pPr>
        <w:spacing w:after="90" w:before="240"/>
      </w:pPr>
      <w:r>
        <w:rPr>
          <w:rFonts w:ascii="Garamond" w:cs="Garamond" w:eastAsia="Garamond" w:hAnsi="Garamond"/>
          <w:smallCaps/>
          <w:color w:val="2A5DB0"/>
          <w:spacing w:val="24"/>
          <w:sz w:val="21"/>
          <w:szCs w:val="21"/>
        </w:rPr>
        <w:t xml:space="preserve">Getting the measurement right</w:t>
      </w:r>
    </w:p>
    <w:p>
      <w:pPr>
        <w:spacing w:after="70" w:line="300" w:lineRule="auto"/>
        <w:jc w:val="both"/>
      </w:pPr>
      <w:r>
        <w:rPr>
          <w:rFonts w:ascii="Garamond" w:cs="Garamond" w:eastAsia="Garamond" w:hAnsi="Garamond"/>
          <w:color w:val="1A2430"/>
          <w:sz w:val="22"/>
          <w:szCs w:val="22"/>
        </w:rPr>
        <w:t xml:space="preserve">Panel surveys measure occupations with error,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design confronts this directly. An exit requires a change of employer, not only of occupational code. Two of the panels flag answers carried over from the previous interview, which removes most spurious changes. Returns are netted out rather than ignored, since they are themselves part of the story. And every national estimate is validated against the administrative benchmarks compiled for this proposal, the same discipline that anchored the American work to the official statistics.</w:t>
      </w:r>
    </w:p>
    <w:p>
      <w:pPr>
        <w:spacing w:after="90" w:before="240"/>
      </w:pPr>
      <w:r>
        <w:rPr>
          <w:rFonts w:ascii="Garamond" w:cs="Garamond" w:eastAsia="Garamond" w:hAnsi="Garamond"/>
          <w:smallCaps/>
          <w:color w:val="2A5DB0"/>
          <w:spacing w:val="24"/>
          <w:sz w:val="21"/>
          <w:szCs w:val="21"/>
        </w:rPr>
        <w:t xml:space="preserve">Access and deliverables</w:t>
      </w:r>
    </w:p>
    <w:p>
      <w:pPr>
        <w:spacing w:after="70" w:line="300" w:lineRule="auto"/>
        <w:jc w:val="both"/>
      </w:pPr>
      <w:r>
        <w:rPr>
          <w:rFonts w:ascii="Garamond" w:cs="Garamond" w:eastAsia="Garamond" w:hAnsi="Garamond"/>
          <w:color w:val="1A2430"/>
          <w:sz w:val="22"/>
          <w:szCs w:val="22"/>
        </w:rPr>
        <w:t xml:space="preserve">All seven studies are open to researchers at no or nominal cost through standard applications, and the harmonization code is public. Nothing in the project requires restricted licenses or special agreements, so every result can be replicated by anyone. The deliverables are a comparative report with the rates, the routes and the profiles, a public replication package that extends the Comparative Panel File, and short country notes for the systems where the findings speak to live debates on pay, pensions and family leave.</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Aldeman, C., and S. Yi (2025). “Are Teachers Abandoning Their Profession in Large Numbers?” Education Next.</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Harris, D., and S. Adams (2007). “Understanding the Level and Causes of Teacher Turnover: A Comparison with Other Professions.” Economics of Education Review 26(3), 325–337.</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2026-07-21T14:23:36.821Z</dcterms:created>
  <dcterms:modified xsi:type="dcterms:W3CDTF">2026-07-21T14:23:36.821Z</dcterms:modified>
</cp:coreProperties>
</file>

<file path=docProps/custom.xml><?xml version="1.0" encoding="utf-8"?>
<Properties xmlns="http://schemas.openxmlformats.org/officeDocument/2006/custom-properties" xmlns:vt="http://schemas.openxmlformats.org/officeDocument/2006/docPropsVTypes"/>
</file>