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19F78" w14:textId="608640DA" w:rsidR="00F40E91" w:rsidRDefault="00F40E91">
      <w:pPr>
        <w:pBdr>
          <w:bottom w:val="single" w:sz="8" w:space="0" w:color="04629A"/>
        </w:pBdr>
        <w:spacing w:after="60"/>
      </w:pPr>
    </w:p>
    <w:p w14:paraId="4CBF88D9" w14:textId="77777777" w:rsidR="00F40E91" w:rsidRDefault="00A42790">
      <w:pPr>
        <w:spacing w:before="2200" w:after="200"/>
      </w:pPr>
      <w:r>
        <w:rPr>
          <w:b/>
          <w:bCs/>
          <w:color w:val="04629A"/>
          <w:sz w:val="52"/>
          <w:szCs w:val="52"/>
        </w:rPr>
        <w:t>Former Teachers: Barriers, Incentives and Policy Lessons for Re-entry</w:t>
      </w:r>
    </w:p>
    <w:p w14:paraId="6AF1C6E5" w14:textId="0733418A" w:rsidR="00F40E91" w:rsidRDefault="00A42790">
      <w:pPr>
        <w:spacing w:after="1200"/>
      </w:pPr>
      <w:r>
        <w:rPr>
          <w:color w:val="404040"/>
          <w:sz w:val="26"/>
          <w:szCs w:val="26"/>
        </w:rPr>
        <w:t>Directorate for Education and Skills</w:t>
      </w:r>
    </w:p>
    <w:p w14:paraId="586825C4" w14:textId="08C4F68D" w:rsidR="00F40E91" w:rsidRDefault="00A42790">
      <w:pPr>
        <w:spacing w:after="120"/>
      </w:pPr>
      <w:r>
        <w:rPr>
          <w:color w:val="595959"/>
          <w:sz w:val="24"/>
          <w:szCs w:val="24"/>
        </w:rPr>
        <w:t xml:space="preserve">WORKING DRAFT </w:t>
      </w:r>
    </w:p>
    <w:p w14:paraId="59B42803" w14:textId="075CA8D0" w:rsidR="00F40E91" w:rsidRDefault="00F40E91" w:rsidP="008D1818">
      <w:pPr>
        <w:spacing w:after="200"/>
      </w:pPr>
    </w:p>
    <w:p w14:paraId="6F6FF2E6" w14:textId="77777777" w:rsidR="00F40E91" w:rsidRDefault="00A42790">
      <w:pPr>
        <w:pStyle w:val="Heading1"/>
        <w:pageBreakBefore/>
        <w:spacing w:after="220"/>
      </w:pPr>
      <w:bookmarkStart w:id="0" w:name="_Toc239235948"/>
      <w:r>
        <w:rPr>
          <w:b/>
          <w:bCs/>
          <w:color w:val="04629A"/>
          <w:sz w:val="30"/>
          <w:szCs w:val="30"/>
        </w:rPr>
        <w:lastRenderedPageBreak/>
        <w:t>Abstract</w:t>
      </w:r>
      <w:bookmarkEnd w:id="0"/>
    </w:p>
    <w:p w14:paraId="366DE628" w14:textId="77777777" w:rsidR="00F40E91" w:rsidRDefault="00A42790">
      <w:pPr>
        <w:pStyle w:val="Heading1"/>
        <w:spacing w:before="340" w:after="220"/>
      </w:pPr>
      <w:bookmarkStart w:id="1" w:name="_Toc239235949"/>
      <w:r>
        <w:rPr>
          <w:b/>
          <w:bCs/>
          <w:color w:val="04629A"/>
          <w:sz w:val="30"/>
          <w:szCs w:val="30"/>
        </w:rPr>
        <w:t>Résumé</w:t>
      </w:r>
      <w:bookmarkEnd w:id="1"/>
    </w:p>
    <w:p w14:paraId="35EA3E62" w14:textId="77777777" w:rsidR="00F40E91" w:rsidRDefault="00A42790">
      <w:pPr>
        <w:pStyle w:val="Heading1"/>
        <w:pageBreakBefore/>
        <w:spacing w:after="220"/>
      </w:pPr>
      <w:bookmarkStart w:id="2" w:name="_Toc239235950"/>
      <w:r>
        <w:rPr>
          <w:b/>
          <w:bCs/>
          <w:color w:val="04629A"/>
          <w:sz w:val="30"/>
          <w:szCs w:val="30"/>
        </w:rPr>
        <w:lastRenderedPageBreak/>
        <w:t>Acknowledgements</w:t>
      </w:r>
      <w:bookmarkEnd w:id="2"/>
    </w:p>
    <w:p w14:paraId="76680852" w14:textId="667868C4" w:rsidR="00F40E91" w:rsidRDefault="00F40E91">
      <w:pPr>
        <w:spacing w:after="200"/>
      </w:pPr>
    </w:p>
    <w:p w14:paraId="10142003" w14:textId="77777777" w:rsidR="00F40E91" w:rsidRDefault="00A42790">
      <w:pPr>
        <w:pStyle w:val="Heading1"/>
        <w:pageBreakBefore/>
        <w:spacing w:after="220"/>
      </w:pPr>
      <w:bookmarkStart w:id="3" w:name="_Toc239235951"/>
      <w:r>
        <w:rPr>
          <w:b/>
          <w:bCs/>
          <w:color w:val="04629A"/>
          <w:sz w:val="30"/>
          <w:szCs w:val="30"/>
        </w:rPr>
        <w:lastRenderedPageBreak/>
        <w:t>Table of contents</w:t>
      </w:r>
      <w:bookmarkEnd w:id="3"/>
    </w:p>
    <w:sdt>
      <w:sdtPr>
        <w:alias w:val="Table of contents"/>
        <w:id w:val="621819051"/>
      </w:sdtPr>
      <w:sdtContent>
        <w:p w14:paraId="6F1CCE0E" w14:textId="77777777" w:rsidR="00F15A52" w:rsidRDefault="00A42790">
          <w:pPr>
            <w:pStyle w:val="TOC1"/>
            <w:tabs>
              <w:tab w:val="right" w:leader="dot" w:pos="9062"/>
            </w:tabs>
            <w:rPr>
              <w:noProof/>
            </w:rPr>
          </w:pPr>
          <w:r>
            <w:fldChar w:fldCharType="begin"/>
            <w:instrText>TOC \h \o "1-2"</w:instrText>
            <w:fldChar w:fldCharType="separate"/>
          </w:r>
          <w:hyperlink w:anchor="_Toc239235948" w:history="1">
            <w:r>
              <w:rPr>
                <w:rStyle w:val="Hyperlink"/>
                <w:b/>
                <w:bCs/>
                <w:noProof/>
              </w:rPr>
              <w:t>Abstract</w:t>
            </w:r>
            <w:r>
              <w:rPr>
                <w:noProof/>
              </w:rPr>
              <w:tab/>
              <w:fldChar w:fldCharType="begin"/>
              <w:instrText xml:space="preserve"> PAGEREF _Toc239235948 \h </w:instrText>
              <w:fldChar w:fldCharType="separate"/>
              <w:t>1</w:t>
              <w:fldChar w:fldCharType="end"/>
            </w:r>
          </w:hyperlink>
        </w:p>
        <w:p w14:paraId="3F19ED6A" w14:textId="77777777" w:rsidR="00F15A52" w:rsidRDefault="00F15A52">
          <w:pPr>
            <w:pStyle w:val="TOC1"/>
            <w:tabs>
              <w:tab w:val="right" w:leader="dot" w:pos="9062"/>
            </w:tabs>
            <w:rPr>
              <w:noProof/>
            </w:rPr>
          </w:pPr>
          <w:hyperlink w:anchor="_Toc239235949" w:history="1">
            <w:r>
              <w:rPr>
                <w:rStyle w:val="Hyperlink"/>
                <w:b/>
                <w:bCs/>
                <w:noProof/>
              </w:rPr>
              <w:t>Résumé</w:t>
            </w:r>
            <w:r>
              <w:rPr>
                <w:noProof/>
              </w:rPr>
              <w:tab/>
              <w:fldChar w:fldCharType="begin"/>
              <w:instrText xml:space="preserve"> PAGEREF _Toc239235949 \h </w:instrText>
              <w:fldChar w:fldCharType="separate"/>
              <w:t>1</w:t>
              <w:fldChar w:fldCharType="end"/>
            </w:r>
          </w:hyperlink>
        </w:p>
        <w:p w14:paraId="60B5DEF0" w14:textId="77777777" w:rsidR="00F15A52" w:rsidRDefault="00F15A52">
          <w:pPr>
            <w:pStyle w:val="TOC1"/>
            <w:tabs>
              <w:tab w:val="right" w:leader="dot" w:pos="9062"/>
            </w:tabs>
            <w:rPr>
              <w:noProof/>
            </w:rPr>
          </w:pPr>
          <w:hyperlink w:anchor="_Toc239235950" w:history="1">
            <w:r>
              <w:rPr>
                <w:rStyle w:val="Hyperlink"/>
                <w:b/>
                <w:bCs/>
                <w:noProof/>
              </w:rPr>
              <w:t>Acknowledgements</w:t>
            </w:r>
            <w:r>
              <w:rPr>
                <w:noProof/>
              </w:rPr>
              <w:tab/>
              <w:fldChar w:fldCharType="begin"/>
              <w:instrText xml:space="preserve"> PAGEREF _Toc239235950 \h </w:instrText>
              <w:fldChar w:fldCharType="separate"/>
              <w:t>1</w:t>
              <w:fldChar w:fldCharType="end"/>
            </w:r>
          </w:hyperlink>
        </w:p>
        <w:p w14:paraId="3C367873" w14:textId="77777777" w:rsidR="00F15A52" w:rsidRDefault="00F15A52">
          <w:pPr>
            <w:pStyle w:val="TOC1"/>
            <w:tabs>
              <w:tab w:val="right" w:leader="dot" w:pos="9062"/>
            </w:tabs>
            <w:rPr>
              <w:noProof/>
            </w:rPr>
          </w:pPr>
          <w:hyperlink w:anchor="_Toc239235951" w:history="1">
            <w:r>
              <w:rPr>
                <w:rStyle w:val="Hyperlink"/>
                <w:b/>
                <w:bCs/>
                <w:noProof/>
              </w:rPr>
              <w:t>Table of contents</w:t>
            </w:r>
            <w:r>
              <w:rPr>
                <w:noProof/>
              </w:rPr>
              <w:tab/>
              <w:fldChar w:fldCharType="begin"/>
              <w:instrText xml:space="preserve"> PAGEREF _Toc239235951 \h </w:instrText>
              <w:fldChar w:fldCharType="separate"/>
              <w:t>1</w:t>
              <w:fldChar w:fldCharType="end"/>
            </w:r>
          </w:hyperlink>
        </w:p>
        <w:p w14:paraId="10B7B6C3" w14:textId="77777777" w:rsidR="00F15A52" w:rsidRDefault="00F15A52">
          <w:pPr>
            <w:pStyle w:val="TOC1"/>
            <w:tabs>
              <w:tab w:val="right" w:leader="dot" w:pos="9062"/>
            </w:tabs>
            <w:rPr>
              <w:noProof/>
            </w:rPr>
          </w:pPr>
          <w:hyperlink w:anchor="_Toc239235952" w:history="1">
            <w:r>
              <w:rPr>
                <w:rStyle w:val="Hyperlink"/>
                <w:b/>
                <w:bCs/>
                <w:noProof/>
              </w:rPr>
              <w:t>1. Introduction</w:t>
            </w:r>
            <w:r>
              <w:rPr>
                <w:noProof/>
              </w:rPr>
              <w:tab/>
              <w:fldChar w:fldCharType="begin"/>
              <w:instrText xml:space="preserve"> PAGEREF _Toc239235952 \h </w:instrText>
              <w:fldChar w:fldCharType="separate"/>
              <w:t>1</w:t>
              <w:fldChar w:fldCharType="end"/>
            </w:r>
          </w:hyperlink>
        </w:p>
        <w:p w14:paraId="72EB084A" w14:textId="77777777" w:rsidR="00F15A52" w:rsidRDefault="00F15A52">
          <w:pPr>
            <w:pStyle w:val="TOC1"/>
            <w:tabs>
              <w:tab w:val="right" w:leader="dot" w:pos="9062"/>
            </w:tabs>
            <w:rPr>
              <w:noProof/>
            </w:rPr>
          </w:pPr>
          <w:hyperlink w:anchor="_Toc239235953" w:history="1">
            <w:r>
              <w:rPr>
                <w:rStyle w:val="Hyperlink"/>
                <w:b/>
                <w:bCs/>
                <w:noProof/>
              </w:rPr>
              <w:t>2. Teacher leaving: patterns, determinants and destinations</w:t>
            </w:r>
            <w:r>
              <w:rPr>
                <w:noProof/>
              </w:rPr>
              <w:tab/>
              <w:fldChar w:fldCharType="begin"/>
              <w:instrText xml:space="preserve"> PAGEREF _Toc239235953 \h </w:instrText>
              <w:fldChar w:fldCharType="separate"/>
              <w:t>1</w:t>
              <w:fldChar w:fldCharType="end"/>
            </w:r>
          </w:hyperlink>
        </w:p>
        <w:p w14:paraId="3DA9FA97" w14:textId="77777777" w:rsidR="00F15A52" w:rsidRDefault="00F15A52">
          <w:pPr>
            <w:pStyle w:val="TOC2"/>
            <w:tabs>
              <w:tab w:val="right" w:leader="dot" w:pos="9062"/>
            </w:tabs>
            <w:rPr>
              <w:noProof/>
            </w:rPr>
          </w:pPr>
          <w:hyperlink w:anchor="_Toc239235954" w:history="1">
            <w:r>
              <w:rPr>
                <w:rStyle w:val="Hyperlink"/>
                <w:b/>
                <w:bCs/>
                <w:noProof/>
              </w:rPr>
              <w:t>2.1 The teacher leaving rate and its evolution</w:t>
            </w:r>
            <w:r>
              <w:rPr>
                <w:noProof/>
              </w:rPr>
              <w:tab/>
              <w:fldChar w:fldCharType="begin"/>
              <w:instrText xml:space="preserve"> PAGEREF _Toc239235954 \h </w:instrText>
              <w:fldChar w:fldCharType="separate"/>
              <w:t>1</w:t>
              <w:fldChar w:fldCharType="end"/>
            </w:r>
          </w:hyperlink>
        </w:p>
        <w:p w14:paraId="3CFF4880" w14:textId="77777777" w:rsidR="00F15A52" w:rsidRDefault="00F15A52">
          <w:pPr>
            <w:pStyle w:val="TOC2"/>
            <w:tabs>
              <w:tab w:val="right" w:leader="dot" w:pos="9062"/>
            </w:tabs>
            <w:rPr>
              <w:noProof/>
            </w:rPr>
          </w:pPr>
          <w:hyperlink w:anchor="_Toc239235955" w:history="1">
            <w:r>
              <w:rPr>
                <w:rStyle w:val="Hyperlink"/>
                <w:b/>
                <w:bCs/>
                <w:noProof/>
              </w:rPr>
              <w:t>2.2 Determinants of teachers leaving</w:t>
            </w:r>
            <w:r>
              <w:rPr>
                <w:noProof/>
              </w:rPr>
              <w:tab/>
              <w:fldChar w:fldCharType="begin"/>
              <w:instrText xml:space="preserve"> PAGEREF _Toc239235955 \h </w:instrText>
              <w:fldChar w:fldCharType="separate"/>
              <w:t>1</w:t>
              <w:fldChar w:fldCharType="end"/>
            </w:r>
          </w:hyperlink>
        </w:p>
        <w:p w14:paraId="288D2194" w14:textId="77777777" w:rsidR="00F15A52" w:rsidRDefault="00F15A52">
          <w:pPr>
            <w:pStyle w:val="TOC2"/>
            <w:tabs>
              <w:tab w:val="right" w:leader="dot" w:pos="9062"/>
            </w:tabs>
            <w:rPr>
              <w:noProof/>
            </w:rPr>
          </w:pPr>
          <w:hyperlink w:anchor="_Toc239235956" w:history="1">
            <w:r>
              <w:rPr>
                <w:rStyle w:val="Hyperlink"/>
                <w:b/>
                <w:bCs/>
                <w:noProof/>
              </w:rPr>
              <w:t>2.3 Stated and revealed preferences</w:t>
            </w:r>
            <w:r>
              <w:rPr>
                <w:noProof/>
              </w:rPr>
              <w:tab/>
              <w:fldChar w:fldCharType="begin"/>
              <w:instrText xml:space="preserve"> PAGEREF _Toc239235956 \h </w:instrText>
              <w:fldChar w:fldCharType="separate"/>
              <w:t>1</w:t>
              <w:fldChar w:fldCharType="end"/>
            </w:r>
          </w:hyperlink>
        </w:p>
        <w:p w14:paraId="494E04C1" w14:textId="77777777" w:rsidR="00F15A52" w:rsidRDefault="00F15A52">
          <w:pPr>
            <w:pStyle w:val="TOC2"/>
            <w:tabs>
              <w:tab w:val="right" w:leader="dot" w:pos="9062"/>
            </w:tabs>
            <w:rPr>
              <w:noProof/>
            </w:rPr>
          </w:pPr>
          <w:hyperlink w:anchor="_Toc239235957" w:history="1">
            <w:r>
              <w:rPr>
                <w:rStyle w:val="Hyperlink"/>
                <w:b/>
                <w:bCs/>
                <w:noProof/>
              </w:rPr>
              <w:t>2.4 Destinations after leaving</w:t>
            </w:r>
            <w:r>
              <w:rPr>
                <w:noProof/>
              </w:rPr>
              <w:tab/>
              <w:fldChar w:fldCharType="begin"/>
              <w:instrText xml:space="preserve"> PAGEREF _Toc239235957 \h </w:instrText>
              <w:fldChar w:fldCharType="separate"/>
              <w:t>1</w:t>
              <w:fldChar w:fldCharType="end"/>
            </w:r>
          </w:hyperlink>
        </w:p>
        <w:p w14:paraId="51193FB9" w14:textId="77777777" w:rsidR="00F15A52" w:rsidRDefault="00F15A52">
          <w:pPr>
            <w:pStyle w:val="TOC1"/>
            <w:tabs>
              <w:tab w:val="right" w:leader="dot" w:pos="9062"/>
            </w:tabs>
            <w:rPr>
              <w:noProof/>
            </w:rPr>
          </w:pPr>
          <w:hyperlink w:anchor="_Toc239235958" w:history="1">
            <w:r>
              <w:rPr>
                <w:rStyle w:val="Hyperlink"/>
                <w:b/>
                <w:bCs/>
                <w:noProof/>
              </w:rPr>
              <w:t>3. The policies</w:t>
            </w:r>
            <w:r>
              <w:rPr>
                <w:noProof/>
              </w:rPr>
              <w:tab/>
              <w:fldChar w:fldCharType="begin"/>
              <w:instrText xml:space="preserve"> PAGEREF _Toc239235958 \h </w:instrText>
              <w:fldChar w:fldCharType="separate"/>
              <w:t>1</w:t>
              <w:fldChar w:fldCharType="end"/>
            </w:r>
          </w:hyperlink>
        </w:p>
        <w:p w14:paraId="50AE6D5B" w14:textId="77777777" w:rsidR="00F15A52" w:rsidRDefault="00F15A52">
          <w:pPr>
            <w:pStyle w:val="TOC1"/>
            <w:tabs>
              <w:tab w:val="right" w:leader="dot" w:pos="9062"/>
            </w:tabs>
            <w:rPr>
              <w:noProof/>
            </w:rPr>
          </w:pPr>
          <w:hyperlink w:anchor="_Toc239235959" w:history="1">
            <w:r>
              <w:rPr>
                <w:rStyle w:val="Hyperlink"/>
                <w:b/>
                <w:bCs/>
                <w:noProof/>
              </w:rPr>
              <w:t>4. Conclusions</w:t>
            </w:r>
            <w:r>
              <w:rPr>
                <w:noProof/>
              </w:rPr>
              <w:tab/>
              <w:fldChar w:fldCharType="begin"/>
              <w:instrText xml:space="preserve"> PAGEREF _Toc239235959 \h </w:instrText>
              <w:fldChar w:fldCharType="separate"/>
              <w:t>1</w:t>
              <w:fldChar w:fldCharType="end"/>
            </w:r>
          </w:hyperlink>
        </w:p>
        <w:p w14:paraId="4EA60B08" w14:textId="77777777" w:rsidR="00F15A52" w:rsidRDefault="00F15A52">
          <w:pPr>
            <w:pStyle w:val="TOC2"/>
            <w:tabs>
              <w:tab w:val="right" w:leader="dot" w:pos="9062"/>
            </w:tabs>
            <w:rPr>
              <w:noProof/>
            </w:rPr>
          </w:pPr>
          <w:hyperlink w:anchor="_Toc239235960" w:history="1">
            <w:r>
              <w:rPr>
                <w:rStyle w:val="Hyperlink"/>
                <w:b/>
                <w:bCs/>
                <w:noProof/>
              </w:rPr>
              <w:t>References</w:t>
            </w:r>
            <w:r>
              <w:rPr>
                <w:noProof/>
              </w:rPr>
              <w:tab/>
              <w:fldChar w:fldCharType="begin"/>
              <w:instrText xml:space="preserve"> PAGEREF _Toc239235960 \h </w:instrText>
              <w:fldChar w:fldCharType="separate"/>
              <w:t>1</w:t>
              <w:fldChar w:fldCharType="end"/>
            </w:r>
          </w:hyperlink>
        </w:p>
        <w:p w14:paraId="53021CFA" w14:textId="77777777" w:rsidR="00F40E91" w:rsidRDefault="00A42790">
          <w:r>
            <w:fldChar w:fldCharType="end"/>
          </w:r>
        </w:p>
      </w:sdtContent>
    </w:sdt>
    <w:p w14:paraId="131E9251" w14:textId="77777777" w:rsidR="00F40E91" w:rsidRPr="00F15A52" w:rsidRDefault="00A42790">
      <w:pPr>
        <w:pStyle w:val="Heading1"/>
        <w:pageBreakBefore/>
        <w:spacing w:after="220"/>
        <w:rPr>
          <w:lang w:val="es-CL"/>
        </w:rPr>
      </w:pPr>
      <w:bookmarkStart w:id="4" w:name="_Toc239235952"/>
      <w:r>
        <w:rPr>
          <w:b/>
          <w:bCs/>
          <w:color w:val="04629A"/>
          <w:sz w:val="30"/>
          <w:szCs w:val="30"/>
          <w:lang w:val="es-CL"/>
        </w:rPr>
        <w:lastRenderedPageBreak/>
        <w:t>1. Introduction</w:t>
      </w:r>
      <w:bookmarkEnd w:id="4"/>
    </w:p>
    <w:p w14:paraId="16DFEBB2" w14:textId="2AA31D0F" w:rsidR="00F40E91" w:rsidRPr="007877F0" w:rsidRDefault="00A42790" w:rsidP="00D156D2">
      <w:pPr>
        <w:spacing w:after="200"/>
        <w:jc w:val="both"/>
        <w:rPr>
          <w:color w:val="FF0000"/>
          <w:lang w:val="es-CL"/>
        </w:rPr>
      </w:pPr>
      <w:r>
        <w:rPr>
          <w:color w:val="FF0000"/>
          <w:lang w:val="es-CL"/>
        </w:rPr>
        <w:t xml:space="preserve">Pendiente de escribir (al final de todo). Yo creo que aquí es clave resaltar los aprendizajes y que alguien que lea esto se quede con todo lo importante. Si alguien quiere detalles de research, que pueda pasar a la sección 2, y si quieren solo policy que pasen a 3. </w:t>
      </w:r>
    </w:p>
    <w:p>
      <w:pPr>
        <w:spacing w:after="130" w:line="242" w:lineRule="auto"/>
        <w:jc w:val="both"/>
        <w:rPr>
          <w:ins w:id="9001" w:author="Claude" w:date="2026-10-05T13:25:41Z"/>
        </w:rPr>
      </w:pPr>
      <w:ins w:id="9002" w:author="Claude" w:date="2026-10-05T13:25:41Z">
        <w:r>
          <w:t xml:space="preserve">Re-attracting former teachers has become one of the policy margins through which governments try to alleviate teacher shortages. Its appeal is that it works in the short run. It cannot close the gap on its own, but it can fill vacancies quickly, especially in the disadvantaged and rural schools where shortages concentrate (UNESCO, 2024; Carver-Thomas and Darling-Hammond, 2019; Nguyen, Lam and Bruno, 2024). Its limit is the size of the pool. Where low leaving rates are almost entirely explained by retirement, as in France, Greece, Ireland or Israel, there are few former teachers to recover (OECD, 2025a). Its value goes beyond filling vacancies. Returners and retired teachers bring experience that spills over to colleagues, mentoring for beginning teachers and tutoring that has experimental backing (Papay et al., 2020; DeCesare et al., 2017; Nickow, Oreopoulos and Quan, 2024).</w:t>
        </w:r>
      </w:ins>
    </w:p>
    <w:p w14:paraId="2761BCF8" w14:textId="012AEE38" w:rsidR="00F40E91" w:rsidRPr="006E21ED" w:rsidRDefault="00A42790">
      <w:pPr>
        <w:pStyle w:val="Heading1"/>
        <w:pageBreakBefore/>
        <w:spacing w:after="220"/>
        <w:rPr>
          <w:b/>
          <w:bCs/>
          <w:color w:val="04629A"/>
          <w:sz w:val="25"/>
          <w:szCs w:val="25"/>
        </w:rPr>
      </w:pPr>
      <w:bookmarkStart w:id="5" w:name="_Toc239235953"/>
      <w:r>
        <w:rPr>
          <w:b/>
          <w:bCs/>
          <w:color w:val="04629A"/>
          <w:sz w:val="25"/>
          <w:szCs w:val="25"/>
        </w:rPr>
        <w:lastRenderedPageBreak/>
        <w:t xml:space="preserve">2. Teacher leaving: </w:t>
      </w:r>
      <w:bookmarkEnd w:id="5"/>
      <w:r>
        <w:rPr>
          <w:b/>
          <w:bCs/>
          <w:color w:val="04629A"/>
          <w:sz w:val="25"/>
          <w:szCs w:val="25"/>
        </w:rPr>
        <w:t>rates, determinants and implications for re-</w:t>
      </w:r>
      <w:commentRangeStart w:id="6"/>
      <w:commentRangeStart w:id="60"/>
      <w:r>
        <w:rPr>
          <w:b/>
          <w:bCs/>
          <w:color w:val="04629A"/>
          <w:sz w:val="25"/>
          <w:szCs w:val="25"/>
        </w:rPr>
        <w:t xml:space="preserve">entry </w:t>
      </w:r>
      <w:commentRangeEnd w:id="60"/>
      <w:commentRangeEnd w:id="6"/>
      <w:r>
        <w:rPr>
          <w:rStyle w:val="CommentReference"/>
          <w:b/>
          <w:bCs/>
          <w:color w:val="04629A"/>
          <w:sz w:val="25"/>
          <w:szCs w:val="25"/>
        </w:rPr>
        <w:commentReference w:id="6"/>
      </w:r>
      <w:r>
        <w:rPr>
          <w:rStyle w:val="CommentReference"/>
        </w:rPr>
        <w:commentReference w:id="60"/>
      </w:r>
    </w:p>
    <w:p w14:paraId="6B9B3D80" w14:textId="77777777" w:rsidR="00F40E91" w:rsidRDefault="00A42790">
      <w:pPr>
        <w:spacing w:after="130" w:line="242" w:lineRule="auto"/>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(OECD, 2025a; UNESCO, 2024; Madigan and Kim, 2021; OECD, 2025b)</w:t>
      </w:r>
      <w:r>
        <w:t>. This section therefore reviews what is known about why teachers leave, before the paper turns to the policies that have tried to bring them back.</w:t>
      </w:r>
    </w:p>
    <w:p w14:paraId="3D933550" w14:textId="77777777" w:rsidR="00F40E91" w:rsidRDefault="00A42790">
      <w:pPr>
        <w:spacing w:after="130" w:line="242" w:lineRule="auto"/>
        <w:jc w:val="both"/>
      </w:pPr>
      <w:r>
        <w:t xml:space="preserve">First, we distinguish three main profiles of former teachers: </w:t>
      </w:r>
      <w:commentRangeStart w:id="7"/>
      <w:commentRangeStart w:id="61"/>
      <w:r>
        <w:t>(1) switchers, those who resign from teaching to take up other part-time or full-time employment, (2) leavers, those who withdraw from the labour market, and (3) retired teachers who have reached the end of their working lives</w:t>
      </w:r>
      <w:commentRangeEnd w:id="61"/>
      <w:commentRangeEnd w:id="7"/>
      <w:r>
        <w:rPr>
          <w:rStyle w:val="CommentReference"/>
          <w:sz w:val="23"/>
          <w:szCs w:val="23"/>
        </w:rPr>
        <w:commentReference w:id="7"/>
      </w:r>
      <w:r>
        <w:rPr>
          <w:rStyle w:val="CommentReference"/>
        </w:rPr>
        <w:commentReference w:id="61"/>
      </w:r>
      <w:r>
        <w:t xml:space="preserve">. </w:t>
      </w:r>
      <w:r>
        <w:rPr>
          <w:highlight w:val="yellow"/>
        </w:rPr>
        <w:t>The determinants of leaving and the opportunity cost that each group faces when considering whether to re-enter vary significantly across these profiles. In general terms, for switchers, salary, job satisfaction and working conditions appear to be the central margins; for leavers, household arrangements and flexibility; while for retired teachers, pension rules and re-employment possibilities.</w:t>
      </w:r>
      <w:r>
        <w:t xml:space="preserve"> However, these institutional factors are highly country-dependent, and a comprehensive description would require a paper of its own. Here we instead develop a general framework that classifies the most common motives for leaving and illustrates them with selected country examples.</w:t>
      </w:r>
      <w:ins w:id="9003" w:author="Claude" w:date="2026-10-05T13:25:41Z">
        <w:r>
          <w:t xml:space="preserve"> These three profiles are used throughout the next section. Each area of reasons closes with its implications for re-entry and with the profile it mainly concerns, and Box 1 at the end of the section brings them together.</w:t>
        </w:r>
      </w:ins>
    </w:p>
    <w:p w14:paraId="5371016C" w14:textId="77777777" w:rsidR="00F40E91" w:rsidRDefault="00A42790">
      <w:pPr>
        <w:pStyle w:val="Heading2"/>
        <w:spacing w:before="200" w:after="120"/>
      </w:pPr>
      <w:bookmarkStart w:id="8" w:name="_Toc239235954"/>
      <w:r>
        <w:rPr>
          <w:b/>
          <w:bCs/>
          <w:color w:val="04629A"/>
          <w:sz w:val="25"/>
          <w:szCs w:val="25"/>
        </w:rPr>
        <w:t>2.1 The teacher leaving rate and its evolution</w:t>
      </w:r>
      <w:bookmarkEnd w:id="8"/>
    </w:p>
    <w:p w14:paraId="4855CEA5" w14:textId="4ECCB773" w:rsidR="00843159" w:rsidRDefault="00A42790" w:rsidP="00843159">
      <w:pPr>
        <w:spacing w:after="130" w:line="242" w:lineRule="auto"/>
        <w:jc w:val="both"/>
        <w:rPr>
          <w:del w:id="9009" w:author="Claude" w:date="2026-10-05T13:25:41Z"/>
        </w:rPr>
      </w:pPr>
      <w:del w:id="9006" w:author="Claude" w:date="2026-10-05T13:25:41Z">
        <w:r>
          <w:delText xml:space="preserve">The average teachers leaving rate among the OECD countries was 6.5% in 2023 </w:delText>
        </w:r>
      </w:del>
      <w:del w:id="9007" w:author="Claude" w:date="2026-10-05T13:25:41Z">
        <w:r>
          <w:rPr>
            <w:color w:val="0563C1"/>
          </w:rPr>
          <w:delText>(OECD, 2025a)</w:delText>
        </w:r>
      </w:del>
      <w:del w:id="9008" w:author="Claude" w:date="2026-10-05T13:25:41Z">
        <w:r>
          <w:delText xml:space="preserve">, with considerable heterogeneities among countries with data availability (see Figure 1). In countries with a low leaving rate, close to 2%, such as Israel, Ireland, France and Greece the workforce renews itself through retirement alone, while other countries with a higher proportion of leavers like Lithuania, Denmark or Estonia signal educational systems with a higher number of leavers and swtichers, raising potential issues with working conditions and teacher retention that forces the system to replace a substantial share of its stock every year. </w:delText>
        </w:r>
      </w:del>
    </w:p>
    <w:p>
      <w:pPr>
        <w:spacing w:after="130" w:line="242" w:lineRule="auto"/>
        <w:jc w:val="both"/>
        <w:rPr>
          <w:ins w:id="9004" w:author="Claude" w:date="2026-10-05T13:25:41Z"/>
        </w:rPr>
      </w:pPr>
      <w:ins w:id="9005" w:author="Claude" w:date="2026-10-05T13:25:41Z">
        <w:r>
          <w:t xml:space="preserve">Teacher leaving rates differ widely across countries. The OECD average was 6.5% in 2023, but the countries with data range from close to 2% to several times that figure (OECD, 2025a; see Figure 1). At the low end, in Israel, Ireland, France and Greece, the workforce renews itself through retirement alone. At the high end, in Lithuania, Denmark or Estonia, a large share of departures corresponds to leavers and switchers, and the system must replace a substantial part of its stock every year. It is in these systems that working conditions and retention become a concern.</w:t>
        </w:r>
      </w:ins>
    </w:p>
    <w:p w14:paraId="7662D36C" w14:textId="0283B347" w:rsidR="00843159" w:rsidRDefault="00843159">
      <w:pPr>
        <w:spacing w:after="130" w:line="242" w:lineRule="auto"/>
        <w:jc w:val="both"/>
        <w:rPr>
          <w:del w:id="9024" w:author="Claude" w:date="2026-10-05T13:25:41Z"/>
        </w:rPr>
      </w:pPr>
      <w:del w:id="9012" w:author="Claude" w:date="2026-10-05T13:25:41Z">
        <w:r>
          <w:delText xml:space="preserve">The evolution of the leaving rate across time tends to be stable in most of the observed countries. The OECD average leaving rate moved from 6.9% in 2015 to 6.5% in 2023 and most systems present in both years moved by less than a percentage point </w:delText>
        </w:r>
      </w:del>
      <w:del w:id="9013" w:author="Claude" w:date="2026-10-05T13:25:41Z">
        <w:r>
          <w:rPr>
            <w:color w:val="0563C1"/>
          </w:rPr>
          <w:delText>(OECD, 2025a)</w:delText>
        </w:r>
      </w:del>
      <w:del w:id="9014" w:author="Claude" w:date="2026-10-05T13:25:41Z">
        <w:r>
          <w:delText>.</w:delText>
        </w:r>
      </w:del>
      <w:del w:id="9015" w:author="Claude" w:date="2026-10-05T13:25:41Z">
        <w:r>
          <w:rPr>
            <w:rStyle w:val="FootnoteReference"/>
          </w:rPr>
          <w:footnoteReference w:id="1"/>
        </w:r>
      </w:del>
      <w:del w:id="9016" w:author="Claude" w:date="2026-10-05T13:25:41Z">
        <w:r>
          <w:delText xml:space="preserve">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w:delText>
        </w:r>
      </w:del>
      <w:del w:id="9017" w:author="Claude" w:date="2026-10-05T13:25:41Z">
        <w:r>
          <w:rPr>
            <w:color w:val="0563C1"/>
          </w:rPr>
          <w:delText>(NCES, 2024)</w:delText>
        </w:r>
      </w:del>
      <w:del w:id="9018" w:author="Claude" w:date="2026-10-05T13:25:41Z">
        <w:r>
          <w:delText>,</w:delText>
        </w:r>
      </w:del>
      <w:del w:id="9019" w:author="Claude" w:date="2026-10-05T13:25:41Z">
        <w:r>
          <w:rPr>
            <w:rStyle w:val="FootnoteReference"/>
          </w:rPr>
          <w:footnoteReference w:id="2"/>
        </w:r>
      </w:del>
      <w:del w:id="9020" w:author="Claude" w:date="2026-10-05T13:25:41Z">
        <w:r>
          <w:delText xml:space="preserve"> and similar patterns hold in England, New Zealand, Sweden, Israel, Iceland, Norway and Flanders </w:delText>
        </w:r>
      </w:del>
      <w:del w:id="9021" w:author="Claude" w:date="2026-10-05T13:25:41Z">
        <w:r>
          <w:rPr>
            <w:color w:val="0563C1"/>
          </w:rPr>
          <w:delText>(Department for Education, 2024a; Education Counts, 2025; Adermon and Laun, 2018; CBS Israel, 2023; Björnsdóttir and Hansen, 2024; Statistics Norway, 2025; Vansteenkiste, 2025)</w:delText>
        </w:r>
      </w:del>
      <w:del w:id="9022" w:author="Claude" w:date="2026-10-05T13:25:41Z">
        <w:r>
          <w:delText>.</w:delText>
        </w:r>
      </w:del>
      <w:del w:id="9023" w:author="Claude" w:date="2026-10-05T13:25:41Z">
        <w:r>
          <w:rPr>
            <w:rStyle w:val="FootnoteReference"/>
          </w:rPr>
          <w:footnoteReference w:id="3"/>
        </w:r>
      </w:del>
    </w:p>
    <w:p>
      <w:pPr>
        <w:spacing w:after="130" w:line="242" w:lineRule="auto"/>
        <w:jc w:val="both"/>
        <w:rPr>
          <w:ins w:id="9010" w:author="Claude" w:date="2026-10-05T13:25:41Z"/>
        </w:rPr>
      </w:pPr>
      <w:ins w:id="9011" w:author="Claude" w:date="2026-10-05T13:25:41Z">
        <w:r>
          <w:t xml:space="preserve">The leaving rate has barely changed over time. The OECD average moved from 6.9% in 2015 to 6.5% in 2023, and most systems present in both years moved by less than one percentage point; only Austria and Estonia saw their rate nearly double (OECD, 2025a). The longest series tell the same story. In the United States, where the Teacher Follow-up Survey has measured departures under one definition since 1988, the rate has oscillated between 5% and 8.5% over three and a half decades, has stayed near 8% for the last twenty years and shows no lasting mark of the pandemic (NCES, 2024). A continuous annual measure built from the Current Population Survey agrees (Harris and Adams, 2007; Aldeman and Yi, 2025), and so do the series of England, New Zealand, Sweden, Israel, Iceland, Norway and Flanders (Department for Education, 2024a; Education Counts, 2025; Adermon and Laun, 2018; CBS Israel, 2023; Björnsdóttir and Hansen, 2024; Statistics Norway, 2025; Vansteenkiste, 2025). Elsewhere no historical series exist, since they require longitudinally linked teacher registers, and the shorter series available move in both directions, upwards in Denmark, Estonia, Lithuania and Korea and downwards in Australia and Chile (AE, 2024; Kindsiko, 2023; NŠA, 2025; Ministry of Education Korea, 2023; Buckley and Griselda, 2025; CIAE, 2025).</w:t>
        </w:r>
      </w:ins>
    </w:p>
    <w:p w14:paraId="3818DAFD" w14:textId="77777777" w:rsidR="00AF1913" w:rsidRDefault="00AF1913">
      <w:pPr>
        <w:spacing w:after="130" w:line="242" w:lineRule="auto"/>
        <w:jc w:val="both"/>
      </w:pPr>
    </w:p>
    <w:p w14:paraId="761AC50B" w14:textId="77777777" w:rsidR="00F40E91" w:rsidRDefault="00A42790">
      <w:pPr>
        <w:spacing w:after="130" w:line="242" w:lineRule="auto"/>
        <w:jc w:val="both"/>
      </w:pPr>
      <w:r>
        <w:rPr>
          <w:b/>
          <w:bCs/>
        </w:rPr>
        <w:t>Figure 1. The teacher leaving rate and its composition, 2022/23</w:t>
      </w:r>
    </w:p>
    <w:p w14:paraId="7C062E47" w14:textId="77777777" w:rsidR="00F40E91" w:rsidRDefault="00A42790">
      <w:pPr>
        <w:spacing w:before="80" w:after="80"/>
        <w:jc w:val="center"/>
      </w:pPr>
      <w:r>
        <w:rPr>
          <w:noProof/>
        </w:rPr>
        <w:lastRenderedPageBreak/>
        <w:drawing>
          <wp:inline distT="0" distB="0" distL="0" distR="0" wp14:anchorId="21DD6A4E" wp14:editId="3B81786C">
            <wp:extent cx="4661535" cy="3119919"/>
            <wp:effectExtent l="0" t="0" r="571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72516" cy="3127268"/>
                    </a:xfrm>
                    <a:prstGeom prst="rect">
                      <a:avLst/>
                    </a:prstGeom>
                  </pic:spPr>
                </pic:pic>
              </a:graphicData>
            </a:graphic>
          </wp:inline>
        </w:drawing>
      </w:r>
    </w:p>
    <w:p w14:paraId="142A6098" w14:textId="78FADFBF" w:rsidR="00F40E91" w:rsidRDefault="00A42790" w:rsidP="00762601">
      <w:pPr>
        <w:spacing w:after="50" w:line="200" w:lineRule="auto"/>
        <w:jc w:val="both"/>
      </w:pPr>
      <w:r>
        <w:rPr>
          <w:sz w:val="17"/>
          <w:szCs w:val="17"/>
        </w:rPr>
        <w:t xml:space="preserve">Note: </w:t>
      </w:r>
      <w:r>
        <w:rPr>
          <w:sz w:val="15"/>
          <w:szCs w:val="15"/>
        </w:rPr>
        <w:t xml:space="preserve">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Pr>
          <w:color w:val="0563C1"/>
          <w:sz w:val="15"/>
          <w:szCs w:val="15"/>
        </w:rPr>
        <w:t>(2021/22)</w:t>
      </w:r>
      <w:r>
        <w:rPr>
          <w:sz w:val="15"/>
          <w:szCs w:val="15"/>
        </w:rPr>
        <w:t>.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pPr>
        <w:spacing w:after="70"/>
        <w:ind w:left="280" w:hanging="280"/>
        <w:rPr>
          <w:ins w:id="9350" w:author="Claude" w:date="2026-10-05T13:25:41Z"/>
        </w:rPr>
      </w:pPr>
      <w:ins w:id="9351" w:author="Claude" w:date="2026-10-05T13:25:41Z">
        <w:r>
          <w:rPr>
            <w:sz w:val="20"/>
            <w:szCs w:val="20"/>
          </w:rPr>
          <w:t xml:space="preserve">OECD (2020), </w:t>
        </w:r>
        <w:r>
          <w:rPr>
            <w:i/>
            <w:iCs/>
            <w:sz w:val="20"/>
            <w:szCs w:val="20"/>
          </w:rPr>
          <w:t xml:space="preserve">TALIS 2018 Results (Volume II): Teachers and School Leaders as Valued Professionals</w:t>
        </w:r>
        <w:r>
          <w:rPr>
            <w:sz w:val="20"/>
            <w:szCs w:val="20"/>
          </w:rPr>
          <w:t xml:space="preserve">, TALIS, OECD Publishing, Paris, https://doi.org/10.1787/19cf08df-en.</w:t>
        </w:r>
      </w:ins>
    </w:p>
    <w:p w14:paraId="38C85201" w14:textId="77777777" w:rsidR="00F40E91" w:rsidRDefault="00A42790">
      <w:pPr>
        <w:spacing w:after="60" w:line="242" w:lineRule="auto"/>
        <w:jc w:val="both"/>
      </w:pPr>
      <w:r>
        <w:rPr>
          <w:sz w:val="17"/>
          <w:szCs w:val="17"/>
        </w:rPr>
        <w:t xml:space="preserve">Source: </w:t>
      </w:r>
      <w:r>
        <w:rPr>
          <w:color w:val="0563C1"/>
          <w:sz w:val="17"/>
          <w:szCs w:val="17"/>
        </w:rPr>
        <w:t>OECD (2025a)</w:t>
      </w:r>
      <w:r>
        <w:rPr>
          <w:sz w:val="17"/>
          <w:szCs w:val="17"/>
        </w:rPr>
        <w:t>, Education at a Glance 2025, Table D8.4.</w:t>
      </w:r>
    </w:p>
    <w:p w14:paraId="392497A5" w14:textId="77777777" w:rsidR="00AC7FFD" w:rsidRDefault="00AC7FFD">
      <w:pPr>
        <w:spacing w:after="130" w:line="242" w:lineRule="auto"/>
        <w:jc w:val="both"/>
        <w:rPr>
          <w:ins w:id="9" w:author="TORRES José Manuel, EDU/IMEP" w:date="2026-09-17T16:48:00Z" w16du:dateUtc="2026-09-17T14:48:00Z"/>
        </w:rPr>
      </w:pPr>
    </w:p>
    <w:p w14:paraId="1313B9A2" w14:textId="634A6C2B" w:rsidR="00F40E91" w:rsidRDefault="00A42790">
      <w:pPr>
        <w:spacing w:after="130" w:line="242" w:lineRule="auto"/>
        <w:jc w:val="both"/>
        <w:rPr>
          <w:del w:id="9036" w:author="Claude" w:date="2026-10-05T13:25:41Z"/>
        </w:rPr>
      </w:pPr>
      <w:del w:id="9027" w:author="Claude" w:date="2026-10-05T13:25:41Z">
        <w:r>
          <w:delText xml:space="preserve">It is worth noticing that the phenomenon of leaving is not worrying in itself, as a continuous outflow is a common feature of any profession in a dynamic labour market. In fact, even though no comparable benchmark has been published for most OECD countries, the leaving rate of teachers tends to be lower than, or comparable to, that of similar professions where it has been studied. For example, in USA, in the last twenty years the leaving rate for teachers was about the rate at which nurses leave nursing, close to that of accountants and below that of social workers </w:delText>
        </w:r>
      </w:del>
      <w:del w:id="9028" w:author="Claude" w:date="2026-10-05T13:25:41Z">
        <w:r>
          <w:rPr>
            <w:color w:val="0563C1"/>
          </w:rPr>
          <w:delText>(Aldeman and Yi, 2025)</w:delText>
        </w:r>
      </w:del>
      <w:del w:id="9029" w:author="Claude" w:date="2026-10-05T13:25:41Z">
        <w:r>
          <w:delText xml:space="preserve">, an ordering already visible in the 1990s </w:delText>
        </w:r>
      </w:del>
      <w:del w:id="9030" w:author="Claude" w:date="2026-10-05T13:25:41Z">
        <w:r>
          <w:rPr>
            <w:color w:val="0563C1"/>
          </w:rPr>
          <w:delText>(Harris and Adams, 2007)</w:delText>
        </w:r>
      </w:del>
      <w:del w:id="9031" w:author="Claude" w:date="2026-10-05T13:25:41Z">
        <w:r>
          <w:delText xml:space="preserve">; in Australia, a study using administrative records finds that the teacher leaving rate was the lowest among 97 occupation groups </w:delText>
        </w:r>
      </w:del>
      <w:del w:id="9032" w:author="Claude" w:date="2026-10-05T13:25:41Z">
        <w:r>
          <w:rPr>
            <w:color w:val="0563C1"/>
          </w:rPr>
          <w:delText>(Buckley and Griselda, 2025)</w:delText>
        </w:r>
      </w:del>
      <w:del w:id="9033" w:author="Claude" w:date="2026-10-05T13:25:41Z">
        <w:r>
          <w:delText xml:space="preserve"> and in Sweden, register data show that annual exits among teachers, preschool teachers, nurses and police are alike </w:delText>
        </w:r>
      </w:del>
      <w:del w:id="9034" w:author="Claude" w:date="2026-10-05T13:25:41Z">
        <w:r>
          <w:rPr>
            <w:color w:val="0563C1"/>
          </w:rPr>
          <w:delText>(Adermon and Laun, 2018)</w:delText>
        </w:r>
      </w:del>
      <w:del w:id="9035" w:author="Claude" w:date="2026-10-05T13:25:41Z">
        <w:r>
          <w:delText>.</w:delText>
        </w:r>
      </w:del>
    </w:p>
    <w:p>
      <w:pPr>
        <w:spacing w:after="130" w:line="242" w:lineRule="auto"/>
        <w:jc w:val="both"/>
        <w:rPr>
          <w:ins w:id="9025" w:author="Claude" w:date="2026-10-05T13:25:41Z"/>
        </w:rPr>
      </w:pPr>
      <w:ins w:id="9026" w:author="Claude" w:date="2026-10-05T13:25:41Z">
        <w:r>
          <w:t xml:space="preserve">Nor do teachers leave their profession more than other professionals do. A continuous outflow is a feature of any profession in a dynamic labour market, and where a benchmark exists the leaving rate of teachers is lower than, or comparable to, that of similar professions. In the United States, over the last twenty years teachers left teaching at about the rate at which nurses leave nursing, close to that of accountants and below that of social workers (Aldeman and Yi, 2025), an ordering already visible in the 1990s (Harris and Adams, 2007). In Australia, administrative records place the teacher leaving rate lowest among 97 occupation groups (Buckley and Griselda, 2025), and in Sweden annual exits among teachers, preschool teachers, nurses and police are alike (Adermon and Laun, 2018).</w:t>
        </w:r>
      </w:ins>
    </w:p>
    <w:p w14:paraId="76C54116" w14:textId="4194AC45" w:rsidR="00F40E91" w:rsidRDefault="00A42790">
      <w:pPr>
        <w:spacing w:after="130" w:line="242" w:lineRule="auto"/>
        <w:jc w:val="both"/>
        <w:rPr>
          <w:del w:id="9046" w:author="Claude" w:date="2026-10-05T13:25:41Z"/>
        </w:rPr>
      </w:pPr>
      <w:commentRangeStart w:id="10"/>
      <w:commentRangeStart w:id="62"/>
      <w:commentRangeStart w:id="11"/>
      <w:del w:id="9039" w:author="Claude" w:date="2026-10-05T13:25:41Z">
        <w:r>
          <w:delText xml:space="preserve">Nevertheless, 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delText>
        </w:r>
      </w:del>
      <w:del w:id="9040" w:author="Claude" w:date="2026-10-05T13:25:41Z">
        <w:r>
          <w:rPr>
            <w:color w:val="0563C1"/>
          </w:rPr>
          <w:delText>(UNESCO, 2024; Carver-Thomas and Darling-Hammond, 2019; Nguyen, Lam and Bruno, 2024)</w:delText>
        </w:r>
      </w:del>
      <w:del w:id="9041" w:author="Claude" w:date="2026-10-05T13:25:41Z">
        <w:r>
          <w:delText xml:space="preserve">. The magnitude of this policy margin depends on the baseline leaving and retirement rates, since in countries such as France, Greece, Ireland or Israel, whose low leaving rates are almost solely explained by retirement, its potential is scarce </w:delText>
        </w:r>
      </w:del>
      <w:del w:id="9042" w:author="Claude" w:date="2026-10-05T13:25:41Z">
        <w:r>
          <w:rPr>
            <w:color w:val="0563C1"/>
          </w:rPr>
          <w:delText>(OECD, 2025a)</w:delText>
        </w:r>
      </w:del>
      <w:del w:id="9043" w:author="Claude" w:date="2026-10-05T13:25:41Z">
        <w:r>
          <w:delText xml:space="preserve">. Beyond short-run relief to shortages, returners and retired teachers can bring benefits of their own, such as positive experience spillovers to colleagues, mentorship for beginning teachers and tutoring roles with experimental backing </w:delText>
        </w:r>
      </w:del>
      <w:del w:id="9044" w:author="Claude" w:date="2026-10-05T13:25:41Z">
        <w:r>
          <w:rPr>
            <w:color w:val="0563C1"/>
          </w:rPr>
          <w:delText>(Papay et al., 2020; DeCesare et al., 2017; Nickow, Oreopoulos and Quan, 2024)</w:delText>
        </w:r>
      </w:del>
      <w:del w:id="9045" w:author="Claude" w:date="2026-10-05T13:25:41Z">
        <w:r>
          <w:delText>.</w:delText>
        </w:r>
      </w:del>
      <w:commentRangeEnd w:id="62"/>
      <w:commentRangeEnd w:id="10"/>
      <w:r>
        <w:rPr>
          <w:rStyle w:val="CommentReference"/>
          <w:sz w:val="23"/>
          <w:szCs w:val="23"/>
        </w:rPr>
        <w:commentReference w:id="10"/>
      </w:r>
      <w:r>
        <w:rPr>
          <w:rStyle w:val="CommentReference"/>
        </w:rPr>
        <w:commentReference w:id="62"/>
      </w:r>
      <w:commentRangeEnd w:id="11"/>
      <w:r>
        <w:rPr>
          <w:rStyle w:val="CommentReference"/>
          <w:sz w:val="23"/>
          <w:szCs w:val="23"/>
        </w:rPr>
        <w:commentReference w:id="11"/>
      </w:r>
    </w:p>
    <w:p>
      <w:pPr>
        <w:spacing w:after="130" w:line="242" w:lineRule="auto"/>
        <w:jc w:val="both"/>
        <w:rPr>
          <w:ins w:id="9037" w:author="Claude" w:date="2026-10-05T13:25:41Z"/>
        </w:rPr>
      </w:pPr>
      <w:ins w:id="9038" w:author="Claude" w:date="2026-10-05T13:25:41Z">
        <w:r>
          <w:t xml:space="preserve">Why teachers leave matters more than how many do. Even a moderate leaving rate produces vacancies every year, and they open in the schools and subjects where they are hardest to fill. More importantly for this paper, the policies examined in Section 3 are addressed to the teachers behind these rates, and whether those policies work depends on why those teachers left and on what would bring them back. The next section therefore turns to the determinants of leaving.</w:t>
        </w:r>
      </w:ins>
    </w:p>
    <w:p w14:paraId="085ED38B" w14:textId="77777777" w:rsidR="00F40E91" w:rsidRDefault="00A42790">
      <w:pPr>
        <w:pStyle w:val="Heading2"/>
        <w:spacing w:before="200" w:after="120"/>
      </w:pPr>
      <w:bookmarkStart w:id="12" w:name="_Toc239235955"/>
      <w:r>
        <w:rPr>
          <w:b/>
          <w:bCs/>
          <w:color w:val="04629A"/>
          <w:sz w:val="25"/>
          <w:szCs w:val="25"/>
        </w:rPr>
        <w:t>2.2 Determinants of teachers leaving</w:t>
      </w:r>
      <w:bookmarkEnd w:id="12"/>
    </w:p>
    <w:p w14:paraId="38E63A5D" w14:textId="30FBA683" w:rsidR="00F40E91" w:rsidRDefault="00A42790">
      <w:pPr>
        <w:spacing w:after="130" w:line="242" w:lineRule="auto"/>
        <w:jc w:val="both"/>
        <w:rPr>
          <w:del w:id="9054" w:author="Claude" w:date="2026-10-05T13:25:41Z"/>
        </w:rPr>
      </w:pPr>
      <w:del w:id="9049" w:author="Claude" w:date="2026-10-05T13:25:41Z">
        <w:r>
          <w:delText xml:space="preserve">The reasons why teachers leave the profession have been extensively studied, through self-reported surveys, interviews and, more recently, through administrative records of observed departures. Despite this abundance of evidence, ranking the identified reasons remains difficult, since studies differ in the populations they follow, in the outcomes they measure, in their external validity and in the way motives </w:delText>
          <w:lastRenderedPageBreak/>
          <w:delText xml:space="preserve">are grouped. Building on a comprehensive review of this literature and on recent meta-analyses </w:delText>
        </w:r>
      </w:del>
      <w:del w:id="9050" w:author="Claude" w:date="2026-10-05T13:25:41Z">
        <w:r>
          <w:rPr>
            <w:color w:val="0563C1"/>
          </w:rPr>
          <w:delText>(Nguyen et al., 2020; Gundlach, Slemp and Hattie, 2024)</w:delText>
        </w:r>
      </w:del>
      <w:del w:id="9051" w:author="Claude" w:date="2026-10-05T13:25:41Z">
        <w:r>
          <w:delText>, this paper classifies the reasons into six areas</w:delText>
        </w:r>
      </w:del>
      <w:del w:id="9052" w:author="Claude" w:date="2026-10-05T13:25:41Z">
        <w:r>
          <w:rPr>
            <w:rStyle w:val="FootnoteReference"/>
          </w:rPr>
          <w:footnoteReference w:id="4"/>
        </w:r>
      </w:del>
      <w:del w:id="9053" w:author="Claude" w:date="2026-10-05T13:25:41Z">
        <w:r>
          <w:delText xml:space="preserve"> (see Table 1).</w:delText>
        </w:r>
      </w:del>
    </w:p>
    <w:p>
      <w:pPr>
        <w:spacing w:after="130" w:line="242" w:lineRule="auto"/>
        <w:jc w:val="both"/>
        <w:rPr>
          <w:ins w:id="9047" w:author="Claude" w:date="2026-10-05T13:25:41Z"/>
        </w:rPr>
      </w:pPr>
      <w:ins w:id="9048" w:author="Claude" w:date="2026-10-05T13:25:41Z">
        <w:r>
          <w:t xml:space="preserve">Why teachers leave is well documented but hard to rank. The reasons have been studied through surveys and interviews and, more recently, through administrative records of observed departures. Yet studies differ in the populations they follow, in the outcomes they measure and in the way motives are grouped, so no single ordering emerges. Building on a comprehensive review of this literature and on the two most recent meta-analyses (Nguyen et al., 2020; Gundlach, Slemp and Hattie, 2024), this paper classifies the reasons into six areas: working conditions, organisational factors, financial factors, professional factors, personal and life-course factors, and accountability and regulation. They are presented starting with those that the evidence identifies as most important and ending with the least studied. Each area closes with its implications for policies that seek to re-attract former teachers, and Box 1 at the end of the section summarises them.</w:t>
        </w:r>
      </w:ins>
    </w:p>
    <w:p w14:paraId="7359C478" w14:textId="77777777" w:rsidR="00F40E91" w:rsidRDefault="00A42790">
      <w:pPr>
        <w:spacing w:after="130" w:line="242" w:lineRule="auto"/>
        <w:jc w:val="both"/>
        <w:rPr>
          <w:del w:id="9091" w:author="Claude" w:date="2026-10-05T13:25:41Z"/>
        </w:rPr>
      </w:pPr>
      <w:commentRangeStart w:id="13"/>
      <w:commentRangeStart w:id="63"/>
      <w:commentRangeStart w:id="14"/>
      <w:del w:id="9090" w:author="Claude" w:date="2026-10-05T13:25:41Z">
        <w:r>
          <w:rPr>
            <w:b/>
            <w:bCs/>
          </w:rPr>
          <w:delText>Table 1. Reasons for leaving teaching, by area</w:delText>
        </w:r>
      </w:del>
      <w:commentRangeEnd w:id="63"/>
      <w:commentRangeEnd w:id="13"/>
      <w:r>
        <w:rPr>
          <w:rStyle w:val="CommentReference"/>
          <w:sz w:val="23"/>
          <w:szCs w:val="23"/>
        </w:rPr>
        <w:commentReference w:id="13"/>
      </w:r>
      <w:r>
        <w:rPr>
          <w:rStyle w:val="CommentReference"/>
        </w:rPr>
        <w:commentReference w:id="63"/>
      </w:r>
      <w:commentRangeEnd w:id="14"/>
      <w:r>
        <w:rPr>
          <w:rStyle w:val="CommentReference"/>
          <w:sz w:val="23"/>
          <w:szCs w:val="23"/>
        </w:rPr>
        <w:commentReference w:id="14"/>
      </w:r>
    </w:p>
    <w:tbl>
      <w:tblPr>
        <w:tblW w:w="4893" w:type="pct"/>
        <w:tblBorders>
          <w:top w:val="single" w:sz="6" w:space="0" w:color="888888"/>
          <w:bottom w:val="single" w:sz="6" w:space="0" w:color="888888"/>
          <w:insideH w:val="single" w:sz="2" w:space="0" w:color="CCCCCC"/>
        </w:tblBorders>
        <w:tblCellMar>
          <w:left w:w="10" w:type="dxa"/>
          <w:right w:w="10" w:type="dxa"/>
        </w:tblCellMar>
        <w:tblLook w:val="0000" w:firstRow="0" w:lastRow="0" w:firstColumn="0" w:lastColumn="0" w:noHBand="0" w:noVBand="0"/>
      </w:tblPr>
      <w:tblGrid>
        <w:gridCol w:w="1652"/>
        <w:gridCol w:w="7226"/>
      </w:tblGrid>
      <w:tr w:rsidR="00F40E91" w:rsidRPr="001E0C13" w14:paraId="544996F1" w14:textId="77777777" w:rsidTr="00B0592A">
        <w:trPr>
          <w:trHeight w:val="233"/>
          <w:del w:id="9059" w:author="Claude" w:date="2026-10-05T13:25:41Z"/>
        </w:trPr>
        <w:tc>
          <w:tcPr>
            <w:tcW w:w="0" w:type="auto"/>
            <w:tcBorders>
              <w:bottom w:val="single" w:sz="4" w:space="0" w:color="auto"/>
            </w:tcBorders>
            <w:shd w:val="clear" w:color="auto" w:fill="E8EEF4"/>
            <w:tcMar>
              <w:top w:w="60" w:type="dxa"/>
              <w:left w:w="80" w:type="dxa"/>
              <w:bottom w:w="60" w:type="dxa"/>
              <w:right w:w="80" w:type="dxa"/>
            </w:tcMar>
          </w:tcPr>
          <w:p w14:paraId="55D322C2" w14:textId="77777777" w:rsidR="00F40E91" w:rsidRPr="001E0C13" w:rsidRDefault="00A42790">
            <w:pPr>
              <w:spacing w:after="40"/>
              <w:rPr>
                <w:del w:id="9056" w:author="Claude" w:date="2026-10-05T13:25:41Z"/>
                <w:sz w:val="20"/>
                <w:szCs w:val="20"/>
                <w:rPrChange w:id="15" w:author="TORRES José Manuel, EDU/IMEP" w:date="2026-09-17T17:02:00Z" w16du:dateUtc="2026-09-17T15:02:00Z">
                  <w:rPr/>
                </w:rPrChange>
              </w:rPr>
            </w:pPr>
            <w:del w:id="9055" w:author="Claude" w:date="2026-10-05T13:25:41Z">
              <w:r>
                <w:rPr>
                  <w:b/>
                  <w:bCs/>
                  <w:sz w:val="20"/>
                  <w:szCs w:val="20"/>
                  <w:rPrChange w:id="16" w:author="TORRES José Manuel, EDU/IMEP" w:date="2026-09-17T17:02:00Z" w16du:dateUtc="2026-09-17T15:02:00Z">
                    <w:rPr>
                      <w:b/>
                      <w:bCs/>
                      <w:sz w:val="17"/>
                      <w:szCs w:val="17"/>
                    </w:rPr>
                  </w:rPrChange>
                </w:rPr>
                <w:delText>Area</w:delText>
              </w:r>
            </w:del>
          </w:p>
        </w:tc>
        <w:tc>
          <w:tcPr>
            <w:tcW w:w="0" w:type="auto"/>
            <w:tcBorders>
              <w:bottom w:val="single" w:sz="4" w:space="0" w:color="auto"/>
            </w:tcBorders>
            <w:shd w:val="clear" w:color="auto" w:fill="E8EEF4"/>
            <w:tcMar>
              <w:top w:w="60" w:type="dxa"/>
              <w:left w:w="80" w:type="dxa"/>
              <w:bottom w:w="60" w:type="dxa"/>
              <w:right w:w="80" w:type="dxa"/>
            </w:tcMar>
          </w:tcPr>
          <w:p w14:paraId="1FE94D5C" w14:textId="77777777" w:rsidR="00F40E91" w:rsidRPr="001E0C13" w:rsidRDefault="00A42790">
            <w:pPr>
              <w:spacing w:after="40"/>
              <w:rPr>
                <w:del w:id="9058" w:author="Claude" w:date="2026-10-05T13:25:41Z"/>
                <w:sz w:val="20"/>
                <w:szCs w:val="20"/>
                <w:rPrChange w:id="17" w:author="TORRES José Manuel, EDU/IMEP" w:date="2026-09-17T17:02:00Z" w16du:dateUtc="2026-09-17T15:02:00Z">
                  <w:rPr/>
                </w:rPrChange>
              </w:rPr>
            </w:pPr>
            <w:del w:id="9057" w:author="Claude" w:date="2026-10-05T13:25:41Z">
              <w:r>
                <w:rPr>
                  <w:b/>
                  <w:bCs/>
                  <w:sz w:val="20"/>
                  <w:szCs w:val="20"/>
                  <w:rPrChange w:id="18" w:author="TORRES José Manuel, EDU/IMEP" w:date="2026-09-17T17:02:00Z" w16du:dateUtc="2026-09-17T15:02:00Z">
                    <w:rPr>
                      <w:b/>
                      <w:bCs/>
                      <w:sz w:val="17"/>
                      <w:szCs w:val="17"/>
                    </w:rPr>
                  </w:rPrChange>
                </w:rPr>
                <w:delText>Reasons</w:delText>
              </w:r>
            </w:del>
          </w:p>
        </w:tc>
      </w:tr>
      <w:tr w:rsidR="00F40E91" w:rsidRPr="001E0C13" w14:paraId="02C06284" w14:textId="77777777" w:rsidTr="00B0592A">
        <w:trPr>
          <w:trHeight w:val="424"/>
          <w:del w:id="9064" w:author="Claude" w:date="2026-10-05T13:25:41Z"/>
        </w:trPr>
        <w:tc>
          <w:tcPr>
            <w:tcW w:w="0" w:type="auto"/>
            <w:tcBorders>
              <w:top w:val="single" w:sz="4" w:space="0" w:color="auto"/>
              <w:bottom w:val="single" w:sz="4" w:space="0" w:color="auto"/>
            </w:tcBorders>
            <w:tcMar>
              <w:top w:w="60" w:type="dxa"/>
              <w:left w:w="80" w:type="dxa"/>
              <w:bottom w:w="60" w:type="dxa"/>
              <w:right w:w="80" w:type="dxa"/>
            </w:tcMar>
          </w:tcPr>
          <w:p w14:paraId="26307132" w14:textId="77777777" w:rsidR="00F40E91" w:rsidRPr="001E0C13" w:rsidRDefault="00A42790">
            <w:pPr>
              <w:spacing w:after="40"/>
              <w:rPr>
                <w:del w:id="9061" w:author="Claude" w:date="2026-10-05T13:25:41Z"/>
                <w:i/>
                <w:iCs/>
                <w:sz w:val="20"/>
                <w:szCs w:val="20"/>
                <w:rPrChange w:id="19" w:author="TORRES José Manuel, EDU/IMEP" w:date="2026-09-17T17:02:00Z" w16du:dateUtc="2026-09-17T15:02:00Z">
                  <w:rPr/>
                </w:rPrChange>
              </w:rPr>
            </w:pPr>
            <w:del w:id="9060" w:author="Claude" w:date="2026-10-05T13:25:41Z">
              <w:r>
                <w:rPr>
                  <w:i/>
                  <w:iCs/>
                  <w:sz w:val="20"/>
                  <w:szCs w:val="20"/>
                  <w:rPrChange w:id="20" w:author="TORRES José Manuel, EDU/IMEP" w:date="2026-09-17T17:02:00Z" w16du:dateUtc="2026-09-17T15:02:00Z">
                    <w:rPr>
                      <w:sz w:val="17"/>
                      <w:szCs w:val="17"/>
                    </w:rPr>
                  </w:rPrChange>
                </w:rPr>
                <w:delText>Professional factors</w:delText>
              </w:r>
            </w:del>
          </w:p>
        </w:tc>
        <w:tc>
          <w:tcPr>
            <w:tcW w:w="0" w:type="auto"/>
            <w:tcBorders>
              <w:top w:val="single" w:sz="4" w:space="0" w:color="auto"/>
              <w:bottom w:val="single" w:sz="4" w:space="0" w:color="auto"/>
            </w:tcBorders>
            <w:tcMar>
              <w:top w:w="60" w:type="dxa"/>
              <w:left w:w="80" w:type="dxa"/>
              <w:bottom w:w="60" w:type="dxa"/>
              <w:right w:w="80" w:type="dxa"/>
            </w:tcMar>
          </w:tcPr>
          <w:p w14:paraId="2B73563E" w14:textId="77777777" w:rsidR="00F40E91" w:rsidRPr="001E0C13" w:rsidRDefault="00A42790">
            <w:pPr>
              <w:spacing w:after="40"/>
              <w:rPr>
                <w:del w:id="9063" w:author="Claude" w:date="2026-10-05T13:25:41Z"/>
                <w:sz w:val="20"/>
                <w:szCs w:val="20"/>
                <w:rPrChange w:id="21" w:author="TORRES José Manuel, EDU/IMEP" w:date="2026-09-17T17:02:00Z" w16du:dateUtc="2026-09-17T15:02:00Z">
                  <w:rPr/>
                </w:rPrChange>
              </w:rPr>
            </w:pPr>
            <w:del w:id="9062" w:author="Claude" w:date="2026-10-05T13:25:41Z">
              <w:r>
                <w:rPr>
                  <w:sz w:val="20"/>
                  <w:szCs w:val="20"/>
                  <w:rPrChange w:id="22" w:author="TORRES José Manuel, EDU/IMEP" w:date="2026-09-17T17:02:00Z" w16du:dateUtc="2026-09-17T15:02:00Z">
                    <w:rPr>
                      <w:sz w:val="17"/>
                      <w:szCs w:val="17"/>
                    </w:rPr>
                  </w:rPrChange>
                </w:rPr>
                <w:delText>Loss of professional purpose; limited autonomy over the work; professional standing; exposure to parental complaint and legal risk</w:delText>
              </w:r>
            </w:del>
          </w:p>
        </w:tc>
      </w:tr>
      <w:tr w:rsidR="00F40E91" w:rsidRPr="001E0C13" w14:paraId="260786D4" w14:textId="77777777" w:rsidTr="00B0592A">
        <w:trPr>
          <w:trHeight w:val="429"/>
          <w:del w:id="9069" w:author="Claude" w:date="2026-10-05T13:25:41Z"/>
        </w:trPr>
        <w:tc>
          <w:tcPr>
            <w:tcW w:w="0" w:type="auto"/>
            <w:tcBorders>
              <w:top w:val="single" w:sz="4" w:space="0" w:color="auto"/>
              <w:bottom w:val="single" w:sz="4" w:space="0" w:color="auto"/>
            </w:tcBorders>
            <w:tcMar>
              <w:top w:w="60" w:type="dxa"/>
              <w:left w:w="80" w:type="dxa"/>
              <w:bottom w:w="60" w:type="dxa"/>
              <w:right w:w="80" w:type="dxa"/>
            </w:tcMar>
          </w:tcPr>
          <w:p w14:paraId="29901B33" w14:textId="77777777" w:rsidR="00F40E91" w:rsidRPr="001E0C13" w:rsidRDefault="00A42790">
            <w:pPr>
              <w:spacing w:after="40"/>
              <w:rPr>
                <w:del w:id="9066" w:author="Claude" w:date="2026-10-05T13:25:41Z"/>
                <w:i/>
                <w:iCs/>
                <w:sz w:val="20"/>
                <w:szCs w:val="20"/>
                <w:rPrChange w:id="23" w:author="TORRES José Manuel, EDU/IMEP" w:date="2026-09-17T17:02:00Z" w16du:dateUtc="2026-09-17T15:02:00Z">
                  <w:rPr/>
                </w:rPrChange>
              </w:rPr>
            </w:pPr>
            <w:del w:id="9065" w:author="Claude" w:date="2026-10-05T13:25:41Z">
              <w:r>
                <w:rPr>
                  <w:i/>
                  <w:iCs/>
                  <w:sz w:val="20"/>
                  <w:szCs w:val="20"/>
                  <w:rPrChange w:id="24" w:author="TORRES José Manuel, EDU/IMEP" w:date="2026-09-17T17:02:00Z" w16du:dateUtc="2026-09-17T15:02:00Z">
                    <w:rPr>
                      <w:sz w:val="17"/>
                      <w:szCs w:val="17"/>
                    </w:rPr>
                  </w:rPrChange>
                </w:rPr>
                <w:delText>Working conditions</w:delText>
              </w:r>
            </w:del>
          </w:p>
        </w:tc>
        <w:tc>
          <w:tcPr>
            <w:tcW w:w="0" w:type="auto"/>
            <w:tcBorders>
              <w:top w:val="single" w:sz="4" w:space="0" w:color="auto"/>
              <w:bottom w:val="single" w:sz="4" w:space="0" w:color="auto"/>
            </w:tcBorders>
            <w:tcMar>
              <w:top w:w="60" w:type="dxa"/>
              <w:left w:w="80" w:type="dxa"/>
              <w:bottom w:w="60" w:type="dxa"/>
              <w:right w:w="80" w:type="dxa"/>
            </w:tcMar>
          </w:tcPr>
          <w:p w14:paraId="187044AE" w14:textId="77777777" w:rsidR="00F40E91" w:rsidRPr="001E0C13" w:rsidRDefault="00A42790">
            <w:pPr>
              <w:spacing w:after="40"/>
              <w:rPr>
                <w:del w:id="9068" w:author="Claude" w:date="2026-10-05T13:25:41Z"/>
                <w:sz w:val="20"/>
                <w:szCs w:val="20"/>
                <w:rPrChange w:id="25" w:author="TORRES José Manuel, EDU/IMEP" w:date="2026-09-17T17:02:00Z" w16du:dateUtc="2026-09-17T15:02:00Z">
                  <w:rPr/>
                </w:rPrChange>
              </w:rPr>
            </w:pPr>
            <w:del w:id="9067" w:author="Claude" w:date="2026-10-05T13:25:41Z">
              <w:r>
                <w:rPr>
                  <w:sz w:val="20"/>
                  <w:szCs w:val="20"/>
                  <w:rPrChange w:id="26" w:author="TORRES José Manuel, EDU/IMEP" w:date="2026-09-17T17:02:00Z" w16du:dateUtc="2026-09-17T15:02:00Z">
                    <w:rPr>
                      <w:sz w:val="17"/>
                      <w:szCs w:val="17"/>
                    </w:rPr>
                  </w:rPrChange>
                </w:rPr>
                <w:delText>Hours and total workload; pupil behaviour and classroom discipline; administrative and documentation demands; limited access to reduced hours; burnout and exhaustion</w:delText>
              </w:r>
            </w:del>
          </w:p>
        </w:tc>
      </w:tr>
      <w:tr w:rsidR="00F40E91" w:rsidRPr="001E0C13" w14:paraId="6186E1E2" w14:textId="77777777" w:rsidTr="00B0592A">
        <w:trPr>
          <w:trHeight w:val="233"/>
          <w:del w:id="9074" w:author="Claude" w:date="2026-10-05T13:25:41Z"/>
        </w:trPr>
        <w:tc>
          <w:tcPr>
            <w:tcW w:w="0" w:type="auto"/>
            <w:tcBorders>
              <w:top w:val="single" w:sz="4" w:space="0" w:color="auto"/>
              <w:bottom w:val="single" w:sz="4" w:space="0" w:color="auto"/>
            </w:tcBorders>
            <w:tcMar>
              <w:top w:w="60" w:type="dxa"/>
              <w:left w:w="80" w:type="dxa"/>
              <w:bottom w:w="60" w:type="dxa"/>
              <w:right w:w="80" w:type="dxa"/>
            </w:tcMar>
          </w:tcPr>
          <w:p w14:paraId="09CC2EAA" w14:textId="77777777" w:rsidR="00F40E91" w:rsidRPr="001E0C13" w:rsidRDefault="00A42790">
            <w:pPr>
              <w:spacing w:after="40"/>
              <w:rPr>
                <w:del w:id="9071" w:author="Claude" w:date="2026-10-05T13:25:41Z"/>
                <w:i/>
                <w:iCs/>
                <w:sz w:val="20"/>
                <w:szCs w:val="20"/>
                <w:rPrChange w:id="27" w:author="TORRES José Manuel, EDU/IMEP" w:date="2026-09-17T17:02:00Z" w16du:dateUtc="2026-09-17T15:02:00Z">
                  <w:rPr/>
                </w:rPrChange>
              </w:rPr>
            </w:pPr>
            <w:del w:id="9070" w:author="Claude" w:date="2026-10-05T13:25:41Z">
              <w:r>
                <w:rPr>
                  <w:i/>
                  <w:iCs/>
                  <w:sz w:val="20"/>
                  <w:szCs w:val="20"/>
                  <w:rPrChange w:id="28" w:author="TORRES José Manuel, EDU/IMEP" w:date="2026-09-17T17:02:00Z" w16du:dateUtc="2026-09-17T15:02:00Z">
                    <w:rPr>
                      <w:sz w:val="17"/>
                      <w:szCs w:val="17"/>
                    </w:rPr>
                  </w:rPrChange>
                </w:rPr>
                <w:delText>Organisational factors</w:delText>
              </w:r>
            </w:del>
          </w:p>
        </w:tc>
        <w:tc>
          <w:tcPr>
            <w:tcW w:w="0" w:type="auto"/>
            <w:tcBorders>
              <w:top w:val="single" w:sz="4" w:space="0" w:color="auto"/>
              <w:bottom w:val="single" w:sz="4" w:space="0" w:color="auto"/>
            </w:tcBorders>
            <w:tcMar>
              <w:top w:w="60" w:type="dxa"/>
              <w:left w:w="80" w:type="dxa"/>
              <w:bottom w:w="60" w:type="dxa"/>
              <w:right w:w="80" w:type="dxa"/>
            </w:tcMar>
          </w:tcPr>
          <w:p w14:paraId="7926D358" w14:textId="77777777" w:rsidR="00F40E91" w:rsidRPr="001E0C13" w:rsidRDefault="00A42790">
            <w:pPr>
              <w:spacing w:after="40"/>
              <w:rPr>
                <w:del w:id="9073" w:author="Claude" w:date="2026-10-05T13:25:41Z"/>
                <w:sz w:val="20"/>
                <w:szCs w:val="20"/>
                <w:rPrChange w:id="29" w:author="TORRES José Manuel, EDU/IMEP" w:date="2026-09-17T17:02:00Z" w16du:dateUtc="2026-09-17T15:02:00Z">
                  <w:rPr/>
                </w:rPrChange>
              </w:rPr>
            </w:pPr>
            <w:del w:id="9072" w:author="Claude" w:date="2026-10-05T13:25:41Z">
              <w:r>
                <w:rPr>
                  <w:sz w:val="20"/>
                  <w:szCs w:val="20"/>
                  <w:rPrChange w:id="30" w:author="TORRES José Manuel, EDU/IMEP" w:date="2026-09-17T17:02:00Z" w16du:dateUtc="2026-09-17T15:02:00Z">
                    <w:rPr>
                      <w:sz w:val="17"/>
                      <w:szCs w:val="17"/>
                    </w:rPr>
                  </w:rPrChange>
                </w:rPr>
                <w:delText>School leadership; collegial support and team structure</w:delText>
              </w:r>
            </w:del>
          </w:p>
        </w:tc>
      </w:tr>
      <w:tr w:rsidR="00F40E91" w:rsidRPr="001E0C13" w14:paraId="335B703D" w14:textId="77777777" w:rsidTr="00B0592A">
        <w:trPr>
          <w:trHeight w:val="429"/>
          <w:del w:id="9079" w:author="Claude" w:date="2026-10-05T13:25:41Z"/>
        </w:trPr>
        <w:tc>
          <w:tcPr>
            <w:tcW w:w="0" w:type="auto"/>
            <w:tcBorders>
              <w:top w:val="single" w:sz="4" w:space="0" w:color="auto"/>
              <w:bottom w:val="single" w:sz="4" w:space="0" w:color="auto"/>
            </w:tcBorders>
            <w:tcMar>
              <w:top w:w="60" w:type="dxa"/>
              <w:left w:w="80" w:type="dxa"/>
              <w:bottom w:w="60" w:type="dxa"/>
              <w:right w:w="80" w:type="dxa"/>
            </w:tcMar>
          </w:tcPr>
          <w:p w14:paraId="0E949251" w14:textId="77777777" w:rsidR="00F40E91" w:rsidRPr="001E0C13" w:rsidRDefault="00A42790">
            <w:pPr>
              <w:spacing w:after="40"/>
              <w:rPr>
                <w:del w:id="9076" w:author="Claude" w:date="2026-10-05T13:25:41Z"/>
                <w:i/>
                <w:iCs/>
                <w:sz w:val="20"/>
                <w:szCs w:val="20"/>
                <w:rPrChange w:id="31" w:author="TORRES José Manuel, EDU/IMEP" w:date="2026-09-17T17:02:00Z" w16du:dateUtc="2026-09-17T15:02:00Z">
                  <w:rPr/>
                </w:rPrChange>
              </w:rPr>
            </w:pPr>
            <w:del w:id="9075" w:author="Claude" w:date="2026-10-05T13:25:41Z">
              <w:r>
                <w:rPr>
                  <w:i/>
                  <w:iCs/>
                  <w:sz w:val="20"/>
                  <w:szCs w:val="20"/>
                  <w:rPrChange w:id="32" w:author="TORRES José Manuel, EDU/IMEP" w:date="2026-09-17T17:02:00Z" w16du:dateUtc="2026-09-17T15:02:00Z">
                    <w:rPr>
                      <w:sz w:val="17"/>
                      <w:szCs w:val="17"/>
                    </w:rPr>
                  </w:rPrChange>
                </w:rPr>
                <w:delText>Accountability and regulation</w:delText>
              </w:r>
            </w:del>
          </w:p>
        </w:tc>
        <w:tc>
          <w:tcPr>
            <w:tcW w:w="0" w:type="auto"/>
            <w:tcBorders>
              <w:top w:val="single" w:sz="4" w:space="0" w:color="auto"/>
              <w:bottom w:val="single" w:sz="4" w:space="0" w:color="auto"/>
            </w:tcBorders>
            <w:tcMar>
              <w:top w:w="60" w:type="dxa"/>
              <w:left w:w="80" w:type="dxa"/>
              <w:bottom w:w="60" w:type="dxa"/>
              <w:right w:w="80" w:type="dxa"/>
            </w:tcMar>
          </w:tcPr>
          <w:p w14:paraId="74BDE086" w14:textId="77777777" w:rsidR="00F40E91" w:rsidRPr="001E0C13" w:rsidRDefault="00A42790">
            <w:pPr>
              <w:spacing w:after="40"/>
              <w:rPr>
                <w:del w:id="9078" w:author="Claude" w:date="2026-10-05T13:25:41Z"/>
                <w:sz w:val="20"/>
                <w:szCs w:val="20"/>
                <w:rPrChange w:id="33" w:author="TORRES José Manuel, EDU/IMEP" w:date="2026-09-17T17:02:00Z" w16du:dateUtc="2026-09-17T15:02:00Z">
                  <w:rPr/>
                </w:rPrChange>
              </w:rPr>
            </w:pPr>
            <w:del w:id="9077" w:author="Claude" w:date="2026-10-05T13:25:41Z">
              <w:r>
                <w:rPr>
                  <w:sz w:val="20"/>
                  <w:szCs w:val="20"/>
                  <w:rPrChange w:id="34" w:author="TORRES José Manuel, EDU/IMEP" w:date="2026-09-17T17:02:00Z" w16du:dateUtc="2026-09-17T15:02:00Z">
                    <w:rPr>
                      <w:sz w:val="17"/>
                      <w:szCs w:val="17"/>
                    </w:rPr>
                  </w:rPrChange>
                </w:rPr>
                <w:delText>External inspection and its consequences; certification and licensing requirements</w:delText>
              </w:r>
            </w:del>
          </w:p>
        </w:tc>
      </w:tr>
      <w:tr w:rsidR="00F40E91" w:rsidRPr="001E0C13" w14:paraId="5A581155" w14:textId="77777777" w:rsidTr="00B0592A">
        <w:trPr>
          <w:trHeight w:val="233"/>
          <w:del w:id="9084" w:author="Claude" w:date="2026-10-05T13:25:41Z"/>
        </w:trPr>
        <w:tc>
          <w:tcPr>
            <w:tcW w:w="0" w:type="auto"/>
            <w:tcBorders>
              <w:top w:val="single" w:sz="4" w:space="0" w:color="auto"/>
              <w:bottom w:val="single" w:sz="4" w:space="0" w:color="auto"/>
            </w:tcBorders>
            <w:tcMar>
              <w:top w:w="60" w:type="dxa"/>
              <w:left w:w="80" w:type="dxa"/>
              <w:bottom w:w="60" w:type="dxa"/>
              <w:right w:w="80" w:type="dxa"/>
            </w:tcMar>
          </w:tcPr>
          <w:p w14:paraId="55ED9BDE" w14:textId="77777777" w:rsidR="00F40E91" w:rsidRPr="001E0C13" w:rsidRDefault="00A42790">
            <w:pPr>
              <w:spacing w:after="40"/>
              <w:rPr>
                <w:del w:id="9081" w:author="Claude" w:date="2026-10-05T13:25:41Z"/>
                <w:i/>
                <w:iCs/>
                <w:sz w:val="20"/>
                <w:szCs w:val="20"/>
                <w:rPrChange w:id="35" w:author="TORRES José Manuel, EDU/IMEP" w:date="2026-09-17T17:02:00Z" w16du:dateUtc="2026-09-17T15:02:00Z">
                  <w:rPr/>
                </w:rPrChange>
              </w:rPr>
            </w:pPr>
            <w:del w:id="9080" w:author="Claude" w:date="2026-10-05T13:25:41Z">
              <w:r>
                <w:rPr>
                  <w:i/>
                  <w:iCs/>
                  <w:sz w:val="20"/>
                  <w:szCs w:val="20"/>
                  <w:rPrChange w:id="36" w:author="TORRES José Manuel, EDU/IMEP" w:date="2026-09-17T17:02:00Z" w16du:dateUtc="2026-09-17T15:02:00Z">
                    <w:rPr>
                      <w:sz w:val="17"/>
                      <w:szCs w:val="17"/>
                    </w:rPr>
                  </w:rPrChange>
                </w:rPr>
                <w:delText>Financial factors</w:delText>
              </w:r>
            </w:del>
          </w:p>
        </w:tc>
        <w:tc>
          <w:tcPr>
            <w:tcW w:w="0" w:type="auto"/>
            <w:tcBorders>
              <w:top w:val="single" w:sz="4" w:space="0" w:color="auto"/>
              <w:bottom w:val="single" w:sz="4" w:space="0" w:color="auto"/>
            </w:tcBorders>
            <w:tcMar>
              <w:top w:w="60" w:type="dxa"/>
              <w:left w:w="80" w:type="dxa"/>
              <w:bottom w:w="60" w:type="dxa"/>
              <w:right w:w="80" w:type="dxa"/>
            </w:tcMar>
          </w:tcPr>
          <w:p w14:paraId="178166F9" w14:textId="77777777" w:rsidR="00F40E91" w:rsidRPr="001E0C13" w:rsidRDefault="00A42790">
            <w:pPr>
              <w:spacing w:after="40"/>
              <w:rPr>
                <w:del w:id="9083" w:author="Claude" w:date="2026-10-05T13:25:41Z"/>
                <w:sz w:val="20"/>
                <w:szCs w:val="20"/>
                <w:rPrChange w:id="37" w:author="TORRES José Manuel, EDU/IMEP" w:date="2026-09-17T17:02:00Z" w16du:dateUtc="2026-09-17T15:02:00Z">
                  <w:rPr/>
                </w:rPrChange>
              </w:rPr>
            </w:pPr>
            <w:del w:id="9082" w:author="Claude" w:date="2026-10-05T13:25:41Z">
              <w:r>
                <w:rPr>
                  <w:sz w:val="20"/>
                  <w:szCs w:val="20"/>
                  <w:rPrChange w:id="38" w:author="TORRES José Manuel, EDU/IMEP" w:date="2026-09-17T17:02:00Z" w16du:dateUtc="2026-09-17T15:02:00Z">
                    <w:rPr>
                      <w:sz w:val="17"/>
                      <w:szCs w:val="17"/>
                    </w:rPr>
                  </w:rPrChange>
                </w:rPr>
                <w:delText>Salary relative to outside options; pension design and its timing incentives; contract insecurity</w:delText>
              </w:r>
            </w:del>
          </w:p>
        </w:tc>
      </w:tr>
      <w:tr w:rsidR="00F40E91" w:rsidRPr="001E0C13" w14:paraId="4982CBB8" w14:textId="77777777" w:rsidTr="00B0592A">
        <w:trPr>
          <w:trHeight w:val="424"/>
          <w:del w:id="9089" w:author="Claude" w:date="2026-10-05T13:25:41Z"/>
        </w:trPr>
        <w:tc>
          <w:tcPr>
            <w:tcW w:w="0" w:type="auto"/>
            <w:tcBorders>
              <w:top w:val="single" w:sz="4" w:space="0" w:color="auto"/>
              <w:bottom w:val="single" w:sz="4" w:space="0" w:color="auto"/>
            </w:tcBorders>
            <w:tcMar>
              <w:top w:w="60" w:type="dxa"/>
              <w:left w:w="80" w:type="dxa"/>
              <w:bottom w:w="60" w:type="dxa"/>
              <w:right w:w="80" w:type="dxa"/>
            </w:tcMar>
          </w:tcPr>
          <w:p w14:paraId="7F9DD087" w14:textId="77777777" w:rsidR="00F40E91" w:rsidRPr="001E0C13" w:rsidRDefault="00A42790">
            <w:pPr>
              <w:spacing w:after="40"/>
              <w:rPr>
                <w:del w:id="9086" w:author="Claude" w:date="2026-10-05T13:25:41Z"/>
                <w:i/>
                <w:iCs/>
                <w:sz w:val="20"/>
                <w:szCs w:val="20"/>
                <w:rPrChange w:id="39" w:author="TORRES José Manuel, EDU/IMEP" w:date="2026-09-17T17:02:00Z" w16du:dateUtc="2026-09-17T15:02:00Z">
                  <w:rPr/>
                </w:rPrChange>
              </w:rPr>
            </w:pPr>
            <w:del w:id="9085" w:author="Claude" w:date="2026-10-05T13:25:41Z">
              <w:r>
                <w:rPr>
                  <w:i/>
                  <w:iCs/>
                  <w:sz w:val="20"/>
                  <w:szCs w:val="20"/>
                  <w:rPrChange w:id="40" w:author="TORRES José Manuel, EDU/IMEP" w:date="2026-09-17T17:02:00Z" w16du:dateUtc="2026-09-17T15:02:00Z">
                    <w:rPr>
                      <w:sz w:val="17"/>
                      <w:szCs w:val="17"/>
                    </w:rPr>
                  </w:rPrChange>
                </w:rPr>
                <w:delText>Personal and life-course factors</w:delText>
              </w:r>
            </w:del>
          </w:p>
        </w:tc>
        <w:tc>
          <w:tcPr>
            <w:tcW w:w="0" w:type="auto"/>
            <w:tcBorders>
              <w:top w:val="single" w:sz="4" w:space="0" w:color="auto"/>
            </w:tcBorders>
            <w:tcMar>
              <w:top w:w="60" w:type="dxa"/>
              <w:left w:w="80" w:type="dxa"/>
              <w:bottom w:w="60" w:type="dxa"/>
              <w:right w:w="80" w:type="dxa"/>
            </w:tcMar>
          </w:tcPr>
          <w:p w14:paraId="6455C566" w14:textId="77777777" w:rsidR="00F40E91" w:rsidRPr="001E0C13" w:rsidRDefault="00A42790">
            <w:pPr>
              <w:spacing w:after="40"/>
              <w:rPr>
                <w:del w:id="9088" w:author="Claude" w:date="2026-10-05T13:25:41Z"/>
                <w:sz w:val="20"/>
                <w:szCs w:val="20"/>
                <w:rPrChange w:id="41" w:author="TORRES José Manuel, EDU/IMEP" w:date="2026-09-17T17:02:00Z" w16du:dateUtc="2026-09-17T15:02:00Z">
                  <w:rPr/>
                </w:rPrChange>
              </w:rPr>
            </w:pPr>
            <w:del w:id="9087" w:author="Claude" w:date="2026-10-05T13:25:41Z">
              <w:r>
                <w:rPr>
                  <w:sz w:val="20"/>
                  <w:szCs w:val="20"/>
                  <w:rPrChange w:id="42" w:author="TORRES José Manuel, EDU/IMEP" w:date="2026-09-17T17:02:00Z" w16du:dateUtc="2026-09-17T15:02:00Z">
                    <w:rPr>
                      <w:sz w:val="17"/>
                      <w:szCs w:val="17"/>
                    </w:rPr>
                  </w:rPrChange>
                </w:rPr>
                <w:delText>Family formation and care; childbirth; health and incapacity; relocation and a partner's circumstances; retirement and career stage</w:delText>
              </w:r>
            </w:del>
          </w:p>
        </w:tc>
      </w:tr>
    </w:tbl>
    <w:p w14:paraId="39CE40BD" w14:textId="77777777" w:rsidR="00F40E91" w:rsidRDefault="00A42790">
      <w:pPr>
        <w:spacing w:after="60" w:line="242" w:lineRule="auto"/>
        <w:jc w:val="both"/>
        <w:rPr>
          <w:del w:id="9093" w:author="Claude" w:date="2026-10-05T13:25:41Z"/>
        </w:rPr>
      </w:pPr>
      <w:del w:id="9092" w:author="Claude" w:date="2026-10-05T13:25:41Z">
        <w:r>
          <w:rPr>
            <w:sz w:val="17"/>
            <w:szCs w:val="17"/>
          </w:rPr>
          <w:delText>Source: Authors' elaboration on the literature reviewed in this section.</w:delText>
        </w:r>
      </w:del>
    </w:p>
    <w:p w14:paraId="7F3F1F93" w14:textId="77777777" w:rsidR="001E0C13" w:rsidRDefault="001E0C13">
      <w:pPr>
        <w:spacing w:after="130" w:line="242" w:lineRule="auto"/>
        <w:jc w:val="both"/>
        <w:rPr>
          <w:ins w:id="43" w:author="TORRES José Manuel, EDU/IMEP" w:date="2026-09-17T17:02:00Z" w16du:dateUtc="2026-09-17T15:02:00Z"/>
          <w:color w:val="000000" w:themeColor="text1"/>
        </w:rPr>
      </w:pPr>
    </w:p>
    <w:p w14:paraId="151578E8" w14:textId="4E6B2389" w:rsidR="00EA4639" w:rsidRDefault="00BD2158">
      <w:pPr>
        <w:spacing w:after="130" w:line="242" w:lineRule="auto"/>
        <w:jc w:val="both"/>
        <w:rPr>
          <w:del w:id="9122" w:author="Claude" w:date="2026-10-05T13:25:41Z"/>
          <w:color w:val="000000" w:themeColor="text1"/>
        </w:rPr>
      </w:pPr>
      <w:del w:id="9118" w:author="Claude" w:date="2026-10-05T13:25:41Z">
        <w:r>
          <w:rPr>
            <w:color w:val="000000" w:themeColor="text1"/>
          </w:rPr>
          <w:delText xml:space="preserve">First, professional factors group the motives related to the purpose, autonomy and standing of the teaching work. This area covers teachers who decide to leave because they no longer find meaning in teaching, who feel they have lost control over how to exercise it, or who perceive a deterioration in the standing of the profession, often due to the exposure to parental complaint and legal action. </w:delText>
        </w:r>
      </w:del>
      <w:commentRangeStart w:id="44"/>
      <w:commentRangeStart w:id="64"/>
      <w:del w:id="9119" w:author="Claude" w:date="2026-10-05T13:25:41Z">
        <w:r>
          <w:rPr>
            <w:color w:val="000000" w:themeColor="text1"/>
          </w:rPr>
          <w:delText xml:space="preserve">The evidence on this area comes mainly from surveys and focus groups where teachers declare their intention to leave and the reasons associated with it, that that despite being an imperfect proxy of actual leaving</w:delText>
        </w:r>
      </w:del>
      <w:del w:id="9120" w:author="Claude" w:date="2026-10-05T13:25:41Z">
        <w:r>
          <w:rPr>
            <w:rStyle w:val="FootnoteReference"/>
            <w:color w:val="000000" w:themeColor="text1"/>
          </w:rPr>
          <w:footnoteReference w:id="5"/>
        </w:r>
      </w:del>
      <w:del w:id="9121" w:author="Claude" w:date="2026-10-05T13:25:41Z">
        <w:r>
          <w:rPr>
            <w:color w:val="000000" w:themeColor="text1"/>
          </w:rPr>
          <w:delText xml:space="preserve">, reaches motives that administrative records cannot register. </w:delText>
        </w:r>
      </w:del>
    </w:p>
    <w:p w14:paraId="06D42C4E" w14:textId="1ED7C954" w:rsidR="00865AF8" w:rsidRDefault="00BD2158">
      <w:pPr>
        <w:spacing w:after="130" w:line="242" w:lineRule="auto"/>
        <w:jc w:val="both"/>
        <w:rPr>
          <w:del w:id="9131" w:author="Claude" w:date="2026-10-05T13:25:41Z"/>
          <w:color w:val="000000" w:themeColor="text1"/>
        </w:rPr>
      </w:pPr>
      <w:del w:id="9123" w:author="Claude" w:date="2026-10-05T13:25:41Z">
        <w:r>
          <w:rPr>
            <w:color w:val="000000" w:themeColor="text1"/>
          </w:rPr>
          <w:delText xml:space="preserve">A great example is Finland, where a longitudinal survey that followed teachers over five years found a lack of professional commitment named persistently over workload and interpersonal relation difficulties among those declaring an intention to leave </w:delText>
        </w:r>
      </w:del>
      <w:del w:id="9124" w:author="Claude" w:date="2026-10-05T13:25:41Z">
        <w:r>
          <w:rPr>
            <w:color w:val="0070C0"/>
          </w:rPr>
          <w:delText>(Räsänen et al., 2020)</w:delText>
        </w:r>
      </w:del>
      <w:del w:id="9125" w:author="Claude" w:date="2026-10-05T13:25:41Z">
        <w:r>
          <w:rPr>
            <w:color w:val="000000" w:themeColor="text1"/>
          </w:rPr>
          <w:delText xml:space="preserve">.  Similarly, in England, teachers with the intention of leaving declared that their views are not considered by policymakers, giving this concern more importance than salary and economic incentives </w:delText>
        </w:r>
      </w:del>
      <w:del w:id="9126" w:author="Claude" w:date="2026-10-05T13:25:41Z">
        <w:r>
          <w:rPr>
            <w:color w:val="0070C0"/>
          </w:rPr>
          <w:delText>(Department for Education, 2024b)</w:delText>
        </w:r>
      </w:del>
      <w:del w:id="9127" w:author="Claude" w:date="2026-10-05T13:25:41Z">
        <w:r>
          <w:rPr>
            <w:color w:val="000000" w:themeColor="text1"/>
          </w:rPr>
          <w:delText xml:space="preserve">. When the question turns to actual leavers, this pattern remains consistent, in the United States, most switchers rate their new job above teaching in autonomy, influence and professional prestige, although not always in salary </w:delText>
        </w:r>
      </w:del>
      <w:del w:id="9128" w:author="Claude" w:date="2026-10-05T13:25:41Z">
        <w:r>
          <w:rPr>
            <w:color w:val="0070C0"/>
          </w:rPr>
          <w:delText>(NCES, 2014)</w:delText>
        </w:r>
      </w:del>
      <w:del w:id="9129" w:author="Claude" w:date="2026-10-05T13:25:41Z">
        <w:r>
          <w:rPr>
            <w:color w:val="000000" w:themeColor="text1"/>
          </w:rPr>
          <w:delText xml:space="preserve">. Similar findings are found in the leaver surveys of the Netherlands and Sweden, where the lack of professional challenge and the limited control over one's own work rank among the leading motives, only behind working conditions </w:delText>
        </w:r>
      </w:del>
      <w:del w:id="9130" w:author="Claude" w:date="2026-10-05T13:25:41Z">
        <w:r>
          <w:rPr>
            <w:color w:val="0070C0"/>
          </w:rPr>
          <w:delText>(Van Casteren et al., 2023; Statistics Sweden, 2023).</w:delText>
        </w:r>
      </w:del>
    </w:p>
    <w:p w14:paraId="5A609B4A" w14:textId="33ED5985" w:rsidR="0037463F" w:rsidRDefault="00D20F84">
      <w:pPr>
        <w:spacing w:after="130" w:line="242" w:lineRule="auto"/>
        <w:jc w:val="both"/>
        <w:rPr>
          <w:del w:id="9136" w:author="Claude" w:date="2026-10-05T13:25:41Z"/>
          <w:color w:val="000000" w:themeColor="text1"/>
        </w:rPr>
      </w:pPr>
      <w:del w:id="9132" w:author="Claude" w:date="2026-10-05T13:25:41Z">
        <w:r>
          <w:rPr>
            <w:color w:val="000000" w:themeColor="text1"/>
          </w:rPr>
          <w:delText xml:space="preserve">Moreover, the apparent decline in the perception of professional purpose of the teaching profession is not only a problem for those deciding to leave. The TALIS survey, which asks teachers across more than fifty countries about their work and its conditions, shows that across the OECD only 26% of teachers felt their profession was valued in society, and those who do feel valued are over 10% less likely to intend leaving within five years </w:delText>
        </w:r>
      </w:del>
      <w:del w:id="9133" w:author="Claude" w:date="2026-10-05T13:25:41Z">
        <w:r>
          <w:rPr>
            <w:color w:val="0070C0"/>
          </w:rPr>
          <w:delText>(OECD, 2020; OECD, 2025c).</w:delText>
        </w:r>
      </w:del>
      <w:del w:id="9134" w:author="Claude" w:date="2026-10-05T13:25:41Z">
        <w:r>
          <w:rPr>
            <w:color w:val="000000" w:themeColor="text1"/>
          </w:rPr>
          <w:delText xml:space="preserve"> Taken together the evidence points to recognition and professional purpose as decisive in the decision to leave, consistent with teaching remaining as one of the most vocational career choices. </w:delText>
        </w:r>
      </w:del>
      <w:commentRangeStart w:id="45"/>
      <w:commentRangeStart w:id="65"/>
      <w:del w:id="9135" w:author="Claude" w:date="2026-10-05T13:25:41Z">
        <w:r>
          <w:rPr>
            <w:color w:val="000000" w:themeColor="text1"/>
          </w:rPr>
          <w:delText xml:space="preserve">This matters for policies that seek to </w:delText>
          <w:lastRenderedPageBreak/>
          <w:delText xml:space="preserve">bring former teachers back and highlight the importance of the recognition of their previous service, roles that make use of their experience and initiatives that increase their participation in decisions about their own work.</w:delText>
        </w:r>
      </w:del>
      <w:commentRangeEnd w:id="64"/>
      <w:commentRangeEnd w:id="44"/>
      <w:r>
        <w:rPr>
          <w:rStyle w:val="CommentReference"/>
          <w:color w:val="000000" w:themeColor="text1"/>
          <w:sz w:val="23"/>
          <w:szCs w:val="23"/>
        </w:rPr>
        <w:commentReference w:id="44"/>
      </w:r>
      <w:r>
        <w:rPr>
          <w:rStyle w:val="CommentReference"/>
        </w:rPr>
        <w:commentReference w:id="64"/>
      </w:r>
      <w:commentRangeEnd w:id="65"/>
      <w:commentRangeEnd w:id="45"/>
      <w:r>
        <w:rPr>
          <w:rStyle w:val="CommentReference"/>
          <w:color w:val="000000" w:themeColor="text1"/>
          <w:sz w:val="23"/>
          <w:szCs w:val="23"/>
        </w:rPr>
        <w:commentReference w:id="45"/>
      </w:r>
      <w:r>
        <w:rPr>
          <w:rStyle w:val="CommentReference"/>
        </w:rPr>
        <w:commentReference w:id="65"/>
      </w:r>
    </w:p>
    <w:p w14:paraId="54495EDD" w14:textId="448E04CC" w:rsidR="00365378" w:rsidRDefault="007906A8">
      <w:pPr>
        <w:spacing w:after="130" w:line="242" w:lineRule="auto"/>
        <w:jc w:val="both"/>
        <w:rPr>
          <w:del w:id="9140" w:author="Claude" w:date="2026-10-05T13:25:41Z"/>
        </w:rPr>
      </w:pPr>
      <w:del w:id="9137" w:author="Claude" w:date="2026-10-05T13:25:41Z">
        <w:r>
          <w:delText xml:space="preserve">Secondly, complaints about working conditions are the most frequently declared factor associated with intention to leave in international surveys. In this area we group motives such as working hours and total workload, pupil behavior and classroom discipline, class size, administrative demands and the burnout that accumulates when these run together. According to TALIS 2024, one in four teachers across the OECD declare an intention to leave the profession within the next five years, and teachers who report high levels of stress are almost twice as likely to declare that intention. That stress comes mainly from too much administrative work and marking, from keeping up with constant changes in government requirements and from maintaining classroom discipline </w:delText>
        </w:r>
      </w:del>
      <w:del w:id="9138" w:author="Claude" w:date="2026-10-05T13:25:41Z">
        <w:r>
          <w:rPr>
            <w:color w:val="0563C1"/>
          </w:rPr>
          <w:delText>(OECD, 2020; OECD, 2025c)</w:delText>
        </w:r>
      </w:del>
      <w:del w:id="9139" w:author="Claude" w:date="2026-10-05T13:25:41Z">
        <w:r>
          <w:delText>.</w:delText>
        </w:r>
      </w:del>
    </w:p>
    <w:p w14:paraId="0A0C1CE4" w14:textId="2AE744F6" w:rsidR="00E5737D" w:rsidRDefault="00605373">
      <w:pPr>
        <w:spacing w:after="130" w:line="242" w:lineRule="auto"/>
        <w:jc w:val="both"/>
        <w:rPr>
          <w:del w:id="9152" w:author="Claude" w:date="2026-10-05T13:25:41Z"/>
        </w:rPr>
      </w:pPr>
      <w:del w:id="9141" w:author="Claude" w:date="2026-10-05T13:25:41Z">
        <w:r>
          <w:delText xml:space="preserve">In the same line, when actual leavers declare their motives, workload, </w:delText>
        </w:r>
      </w:del>
      <w:commentRangeStart w:id="46"/>
      <w:commentRangeStart w:id="66"/>
      <w:del w:id="9142" w:author="Claude" w:date="2026-10-05T13:25:41Z">
        <w:r>
          <w:delText>understood as an excessive number of hours both in the school and in preparation outside it</w:delText>
        </w:r>
      </w:del>
      <w:commentRangeEnd w:id="66"/>
      <w:commentRangeEnd w:id="46"/>
      <w:r>
        <w:rPr>
          <w:rStyle w:val="CommentReference"/>
          <w:sz w:val="23"/>
          <w:szCs w:val="23"/>
        </w:rPr>
        <w:commentReference w:id="46"/>
      </w:r>
      <w:r>
        <w:rPr>
          <w:rStyle w:val="CommentReference"/>
        </w:rPr>
        <w:commentReference w:id="66"/>
      </w:r>
      <w:del w:id="9143" w:author="Claude" w:date="2026-10-05T13:25:41Z">
        <w:r>
          <w:delText xml:space="preserve">, emerges as the most cited reason among those related to working conditions. In the Netherlands, workload, stress and burden were named ahead of every other category, by 47% of recent leavers, complaining about intense working days, little rest within them and recurrent overtime </w:delText>
        </w:r>
      </w:del>
      <w:del w:id="9144" w:author="Claude" w:date="2026-10-05T13:25:41Z">
        <w:r>
          <w:rPr>
            <w:color w:val="0563C1"/>
          </w:rPr>
          <w:delText>(Van Casteren et al., 2023)</w:delText>
        </w:r>
      </w:del>
      <w:del w:id="9145" w:author="Claude" w:date="2026-10-05T13:25:41Z">
        <w:r>
          <w:delText xml:space="preserve">. Among these leavers, 80% declared that they could have been retained, most often with less workload or a smaller class, and a quarter with more supportive school leadership. In Sweden the most important motives where workload and parental expectations first and administrative tasks and the lack of control over one's own work following </w:delText>
        </w:r>
      </w:del>
      <w:del w:id="9146" w:author="Claude" w:date="2026-10-05T13:25:41Z">
        <w:r>
          <w:rPr>
            <w:color w:val="0563C1"/>
          </w:rPr>
          <w:delText>(Statistics Sweden, 2023)</w:delText>
        </w:r>
      </w:del>
      <w:del w:id="9147" w:author="Claude" w:date="2026-10-05T13:25:41Z">
        <w:r>
          <w:delText xml:space="preserve">, and in Australia, the intensification of workload ranked second, only behind dissatisfaction with school leadership, which is examined later in this section </w:delText>
        </w:r>
      </w:del>
      <w:del w:id="9148" w:author="Claude" w:date="2026-10-05T13:25:41Z">
        <w:r>
          <w:rPr>
            <w:color w:val="0563C1"/>
          </w:rPr>
          <w:delText xml:space="preserve">(Brandenburg et al., </w:delText>
        </w:r>
      </w:del>
      <w:commentRangeStart w:id="47"/>
      <w:commentRangeStart w:id="67"/>
      <w:commentRangeStart w:id="48"/>
      <w:del w:id="9149" w:author="Claude" w:date="2026-10-05T13:25:41Z">
        <w:r>
          <w:rPr>
            <w:color w:val="0563C1"/>
          </w:rPr>
          <w:delText>2024</w:delText>
        </w:r>
      </w:del>
      <w:commentRangeEnd w:id="67"/>
      <w:commentRangeEnd w:id="47"/>
      <w:r>
        <w:rPr>
          <w:rStyle w:val="CommentReference"/>
          <w:color w:val="0563C1"/>
          <w:sz w:val="23"/>
          <w:szCs w:val="23"/>
        </w:rPr>
        <w:commentReference w:id="47"/>
      </w:r>
      <w:r>
        <w:rPr>
          <w:rStyle w:val="CommentReference"/>
        </w:rPr>
        <w:commentReference w:id="67"/>
      </w:r>
      <w:commentRangeEnd w:id="48"/>
      <w:r>
        <w:rPr>
          <w:rStyle w:val="CommentReference"/>
          <w:color w:val="0563C1"/>
          <w:sz w:val="23"/>
          <w:szCs w:val="23"/>
        </w:rPr>
        <w:commentReference w:id="48"/>
      </w:r>
      <w:del w:id="9150" w:author="Claude" w:date="2026-10-05T13:25:41Z">
        <w:r>
          <w:rPr>
            <w:color w:val="0563C1"/>
          </w:rPr>
          <w:delText>)</w:delText>
        </w:r>
      </w:del>
      <w:del w:id="9151" w:author="Claude" w:date="2026-10-05T13:25:41Z">
        <w:r>
          <w:delText xml:space="preserve">. </w:delText>
        </w:r>
      </w:del>
    </w:p>
    <w:p w14:paraId="2B6E9F69" w14:textId="4C9B84B1" w:rsidR="00E5737D" w:rsidRDefault="00F47CDC">
      <w:pPr>
        <w:spacing w:after="130" w:line="242" w:lineRule="auto"/>
        <w:jc w:val="both"/>
        <w:rPr>
          <w:del w:id="9163" w:author="Claude" w:date="2026-10-05T13:25:41Z"/>
          <w:color w:val="0563C1"/>
        </w:rPr>
      </w:pPr>
      <w:del w:id="9153" w:author="Claude" w:date="2026-10-05T13:25:41Z">
        <w:r>
          <w:delText xml:space="preserve">However, the workload teachers declare goes beyond the number of hours of work stipulated by contract and mainly reflects the burden they perceive in the classroom. This can be observed in England, where TALIS responses were linked to administrative registers of the school workforce</w:delText>
        </w:r>
      </w:del>
      <w:del w:id="9154" w:author="Claude" w:date="2026-10-05T13:25:41Z">
        <w:r>
          <w:rPr>
            <w:rStyle w:val="FootnoteReference"/>
          </w:rPr>
          <w:footnoteReference w:id="6"/>
        </w:r>
      </w:del>
      <w:del w:id="9155" w:author="Claude" w:date="2026-10-05T13:25:41Z">
        <w:r>
          <w:delText xml:space="preserve">, so actual departures could be observed. Teachers in schools with worse discipline were more likely to leave the profession, specifically an improvement of one standard deviation in the school's discipline climate halves a teacher's annual probability of leaving the profession</w:delText>
        </w:r>
      </w:del>
      <w:del w:id="9156" w:author="Claude" w:date="2026-10-05T13:25:41Z">
        <w:r>
          <w:rPr>
            <w:rStyle w:val="FootnoteReference"/>
          </w:rPr>
          <w:footnoteReference w:id="7"/>
        </w:r>
      </w:del>
      <w:del w:id="9157" w:author="Claude" w:date="2026-10-05T13:25:41Z">
        <w:r>
          <w:delText xml:space="preserve">. In the same study, the amount of hours teachers worked did not predict their departure </w:delText>
        </w:r>
      </w:del>
      <w:del w:id="9158" w:author="Claude" w:date="2026-10-05T13:25:41Z">
        <w:r>
          <w:rPr>
            <w:color w:val="0563C1"/>
          </w:rPr>
          <w:delText xml:space="preserve">(Sims and Jerrim, 2020). </w:delText>
        </w:r>
      </w:del>
      <w:del w:id="9159" w:author="Claude" w:date="2026-10-05T13:25:41Z">
        <w:r>
          <w:delText xml:space="preserve">This is relevant for policies that aim to re-attract former teachers, because teacher shortages tend to concentrate in disadvantaged or rural schools where the classroom climate is worst </w:delText>
        </w:r>
      </w:del>
      <w:del w:id="9160" w:author="Claude" w:date="2026-10-05T13:25:41Z">
        <w:r>
          <w:rPr>
            <w:color w:val="0563C1"/>
          </w:rPr>
          <w:delText>(Simon and Johnson, 2015; UNESCO, 2024)</w:delText>
        </w:r>
      </w:del>
      <w:del w:id="9161" w:author="Claude" w:date="2026-10-05T13:25:41Z">
        <w:r>
          <w:delText xml:space="preserve">. It also points to what such policies should attend to, the discipline climate of the school where a returner is placed and the teaching load they are offered </w:delText>
        </w:r>
      </w:del>
      <w:del w:id="9162" w:author="Claude" w:date="2026-10-05T13:25:41Z">
        <w:r>
          <w:rPr>
            <w:color w:val="0563C1"/>
          </w:rPr>
          <w:delText>(Sims and Jerrim, 2020; Van Casteren et al., 2023).</w:delText>
        </w:r>
      </w:del>
    </w:p>
    <w:p w14:paraId="250217BF" w14:textId="328AC184" w:rsidR="00A14A55" w:rsidRPr="00A14A55" w:rsidRDefault="00C44524" w:rsidP="00A14A55">
      <w:pPr>
        <w:spacing w:after="130" w:line="242" w:lineRule="auto"/>
        <w:jc w:val="both"/>
        <w:rPr>
          <w:del w:id="9169" w:author="Claude" w:date="2026-10-05T13:25:41Z"/>
        </w:rPr>
      </w:pPr>
      <w:del w:id="9164" w:author="Claude" w:date="2026-10-05T13:25:41Z">
        <w:r>
          <w:delText xml:space="preserve">Thirdly, closely linked to the daily pressures of teaching, organisational factors play a decisive role in retention, as the quality of institutional support influences a teacher’s decision to stay. This area includes the quality of school leadership, the structuring of collaborative time, and the degree of collegial support within the institution. Among these, dissatisfaction with school leadership emerges as one of the most frequently cited predictors of teacher departure in the literature (</w:delText>
        </w:r>
      </w:del>
      <w:del w:id="9165" w:author="Claude" w:date="2026-10-05T13:25:41Z">
        <w:r>
          <w:rPr>
            <w:color w:val="0563C1"/>
          </w:rPr>
          <w:delText>Boyd et al., 2011; Ladd, 2011; Simon and Johnson, 2015)</w:delText>
        </w:r>
      </w:del>
      <w:del w:id="9166" w:author="Claude" w:date="2026-10-05T13:25:41Z">
        <w:r>
          <w:delText xml:space="preserve">. However, isolating the causal effect of school administration on retention is methodologically challenging as </w:delText>
        </w:r>
      </w:del>
      <w:commentRangeStart w:id="49"/>
      <w:commentRangeStart w:id="68"/>
      <w:del w:id="9167" w:author="Claude" w:date="2026-10-05T13:25:41Z">
        <w:r>
          <w:delText>schools with highly effective principals tend to be the ones that already benefit from greater resources, more experienced staff, and a higher socio-economic student composition</w:delText>
        </w:r>
      </w:del>
      <w:commentRangeEnd w:id="68"/>
      <w:commentRangeEnd w:id="49"/>
      <w:r>
        <w:rPr>
          <w:rStyle w:val="CommentReference"/>
          <w:sz w:val="23"/>
          <w:szCs w:val="23"/>
        </w:rPr>
        <w:commentReference w:id="49"/>
      </w:r>
      <w:r>
        <w:rPr>
          <w:rStyle w:val="CommentReference"/>
        </w:rPr>
        <w:commentReference w:id="68"/>
      </w:r>
      <w:del w:id="9168" w:author="Claude" w:date="2026-10-05T13:25:41Z">
        <w:r>
          <w:delText>, making it difficult to disentangle the impact of leadership from favorable student and school characteristics.</w:delText>
        </w:r>
      </w:del>
    </w:p>
    <w:p w14:paraId="05420067" w14:textId="67FA4A83" w:rsidR="00243FDC" w:rsidRDefault="00080071">
      <w:pPr>
        <w:spacing w:after="130" w:line="242" w:lineRule="auto"/>
        <w:jc w:val="both"/>
        <w:rPr>
          <w:del w:id="9174" w:author="Claude" w:date="2026-10-05T13:25:41Z"/>
        </w:rPr>
      </w:pPr>
      <w:del w:id="9170" w:author="Claude" w:date="2026-10-05T13:25:41Z">
        <w:r>
          <w:lastRenderedPageBreak/>
          <w:delText xml:space="preserve">Nonetheless, when studies account for these sorting dynamics, the direct effect of leadership remains substantial. Using comprehensive survey data matched to administrative records in New York, </w:delText>
        </w:r>
      </w:del>
      <w:del w:id="9171" w:author="Claude" w:date="2026-10-05T13:25:41Z">
        <w:r>
          <w:rPr>
            <w:color w:val="0563C1"/>
          </w:rPr>
          <w:delText xml:space="preserve">Boyd et al. (2011) </w:delText>
        </w:r>
      </w:del>
      <w:del w:id="9172" w:author="Claude" w:date="2026-10-05T13:25:41Z">
        <w:r>
          <w:delText xml:space="preserve">found that teachers' perceptions of school administration was the central factor to retain staff in schools, outweighing other working conditions and student demographics. Moreover, studies tracking the same schools over time demonstrate that when a school's leadership improves -specifically in supportiveness, trust, and communication- its teacher turnover falls </w:delText>
        </w:r>
      </w:del>
      <w:del w:id="9173" w:author="Claude" w:date="2026-10-05T13:25:41Z">
        <w:r>
          <w:rPr>
            <w:color w:val="0563C1"/>
          </w:rPr>
          <w:delText>(Kraft, Marinell and Shen-Wei Yee, 2016).</w:delText>
        </w:r>
      </w:del>
    </w:p>
    <w:p w14:paraId="5E1B449D" w14:textId="491A4F48" w:rsidR="00616200" w:rsidRDefault="00616200" w:rsidP="00842847">
      <w:pPr>
        <w:spacing w:after="130" w:line="242" w:lineRule="auto"/>
        <w:jc w:val="both"/>
        <w:rPr>
          <w:del w:id="9185" w:author="Claude" w:date="2026-10-05T13:25:41Z"/>
          <w:color w:val="0563C1"/>
        </w:rPr>
      </w:pPr>
      <w:del w:id="9175" w:author="Claude" w:date="2026-10-05T13:25:41Z">
        <w:r>
          <w:delText xml:space="preserve">Additionally, mentorship is also a relevant organisational lever as it accelerates the pedagogical development of novice educators and mitigates the professional isolation common in early-career teaching. The results from </w:delText>
        </w:r>
      </w:del>
      <w:commentRangeStart w:id="50"/>
      <w:commentRangeStart w:id="69"/>
      <w:del w:id="9176" w:author="Claude" w:date="2026-10-05T13:25:41Z">
        <w:r>
          <w:delText xml:space="preserve">TALIS indicate that across the OECD only 22% of novice teachers report having an assigned mentor in their current school </w:delText>
        </w:r>
      </w:del>
      <w:del w:id="9177" w:author="Claude" w:date="2026-10-05T13:25:41Z">
        <w:r>
          <w:rPr>
            <w:color w:val="0563C1"/>
          </w:rPr>
          <w:delText>(OECD, 2020</w:delText>
        </w:r>
      </w:del>
      <w:commentRangeEnd w:id="69"/>
      <w:commentRangeEnd w:id="50"/>
      <w:r>
        <w:rPr>
          <w:rStyle w:val="CommentReference"/>
          <w:color w:val="0563C1"/>
          <w:sz w:val="23"/>
          <w:szCs w:val="23"/>
        </w:rPr>
        <w:commentReference w:id="50"/>
      </w:r>
      <w:r>
        <w:rPr>
          <w:rStyle w:val="CommentReference"/>
        </w:rPr>
        <w:commentReference w:id="69"/>
      </w:r>
      <w:del w:id="9178" w:author="Claude" w:date="2026-10-05T13:25:41Z">
        <w:r>
          <w:rPr>
            <w:color w:val="0563C1"/>
          </w:rPr>
          <w:delText>)</w:delText>
        </w:r>
      </w:del>
      <w:del w:id="9179" w:author="Claude" w:date="2026-10-05T13:25:41Z">
        <w:r>
          <w:delText xml:space="preserve">. Furthermore, in a meta-analysis pooling 120 observational studies, </w:delText>
        </w:r>
      </w:del>
      <w:del w:id="9180" w:author="Claude" w:date="2026-10-05T13:25:41Z">
        <w:r>
          <w:rPr>
            <w:color w:val="0563C1"/>
          </w:rPr>
          <w:delText>Nguyen et al. (2020)</w:delText>
        </w:r>
      </w:del>
      <w:del w:id="9181" w:author="Claude" w:date="2026-10-05T13:25:41Z">
        <w:r>
          <w:delText xml:space="preserve"> find that novice teachers who receive induction support are less likely to experience professional turnover. A particular example of this policy margin is England's Early Career Framework, which entitles every new teacher to two years of mentoring increasing teacher retention within their original school </w:delText>
        </w:r>
      </w:del>
      <w:del w:id="9182" w:author="Claude" w:date="2026-10-05T13:25:41Z">
        <w:r>
          <w:rPr>
            <w:color w:val="0563C1"/>
          </w:rPr>
          <w:delText>(Walker et al., 2024)</w:delText>
        </w:r>
      </w:del>
      <w:del w:id="9183" w:author="Claude" w:date="2026-10-05T13:25:41Z">
        <w:r>
          <w:delText xml:space="preserve">. More broadly, strong collegial support and collaborative school environments consistently correlate with lower attrition intentions </w:delText>
        </w:r>
      </w:del>
      <w:del w:id="9184" w:author="Claude" w:date="2026-10-05T13:25:41Z">
        <w:r>
          <w:rPr>
            <w:color w:val="0563C1"/>
          </w:rPr>
          <w:delText>(Johnson, Kraft and Papay, 2012; Simon and Johnson, 2015).</w:delText>
        </w:r>
      </w:del>
    </w:p>
    <w:p w14:paraId="316EA4E8" w14:textId="2A5A87A4" w:rsidR="00DE4C1C" w:rsidRDefault="00DD5104" w:rsidP="00842847">
      <w:pPr>
        <w:spacing w:after="130" w:line="242" w:lineRule="auto"/>
        <w:jc w:val="both"/>
        <w:rPr>
          <w:del w:id="9190" w:author="Claude" w:date="2026-10-05T13:25:41Z"/>
        </w:rPr>
      </w:pPr>
      <w:del w:id="9186" w:author="Claude" w:date="2026-10-05T13:25:41Z">
        <w:r>
          <w:delText xml:space="preserve">Thus, organisational factors matter in two ways for the re-entry policies examined in this paper. The first is where returners are placed, since leadership and collegial support are what the evidence above identifies as decisive, and a teacher who returns to a school with weak leadership meets the conditions that produced the first departure </w:delText>
        </w:r>
      </w:del>
      <w:del w:id="9187" w:author="Claude" w:date="2026-10-05T13:25:41Z">
        <w:r>
          <w:rPr>
            <w:color w:val="0563C1"/>
          </w:rPr>
          <w:delText>(Boyd et al., 2011; Kraft, Marinell and Shen-Wei Yee, 2016)</w:delText>
        </w:r>
      </w:del>
      <w:del w:id="9188" w:author="Claude" w:date="2026-10-05T13:25:41Z">
        <w:r>
          <w:delText xml:space="preserve">. The second is the potential for retired teachers to re-enter the profession as dedicated mentors, addressing the mentoring shortages identified by TALIS and contributing to the peer collaboration and professional interaction that directly improve instructional quality </w:delText>
        </w:r>
      </w:del>
      <w:del w:id="9189" w:author="Claude" w:date="2026-10-05T13:25:41Z">
        <w:r>
          <w:rPr>
            <w:color w:val="0563C1"/>
          </w:rPr>
          <w:delText>(Papay et al., 2020).</w:delText>
        </w:r>
      </w:del>
    </w:p>
    <w:p w14:paraId="0CD4CEB0" w14:textId="750A45E0" w:rsidR="00E7094E" w:rsidRDefault="00731A34">
      <w:pPr>
        <w:spacing w:after="130" w:line="242" w:lineRule="auto"/>
        <w:jc w:val="both"/>
        <w:rPr>
          <w:del w:id="9196" w:author="Claude" w:date="2026-10-05T13:25:41Z"/>
        </w:rPr>
      </w:pPr>
      <w:del w:id="9191" w:author="Claude" w:date="2026-10-05T13:25:41Z">
        <w:r>
          <w:delText xml:space="preserve">Fourth, accountability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evaluates every teacher at least once a year and 51% in schools where other members of the management team do so, most often on the basis of classroom observation </w:delText>
        </w:r>
      </w:del>
      <w:del w:id="9192" w:author="Claude" w:date="2026-10-05T13:25:41Z">
        <w:r>
          <w:rPr>
            <w:color w:val="0563C1"/>
          </w:rPr>
          <w:delText>(OECD, 2020)</w:delText>
        </w:r>
      </w:del>
      <w:del w:id="9193" w:author="Claude" w:date="2026-10-05T13:25:41Z">
        <w:r>
          <w:delText xml:space="preserve">. Additionally, beyond evaluation, maintaining a valid teaching license requires meeting specific regulatory obligations that vary by country, typically taking the form of mandatory periodic training or documented evidence of continued classroom practice</w:delText>
        </w:r>
      </w:del>
      <w:del w:id="9194" w:author="Claude" w:date="2026-10-05T13:25:41Z">
        <w:r>
          <w:rPr>
            <w:rStyle w:val="FootnoteReference"/>
          </w:rPr>
          <w:footnoteReference w:id="8"/>
        </w:r>
      </w:del>
      <w:del w:id="9195" w:author="Claude" w:date="2026-10-05T13:25:41Z">
        <w:r>
          <w:delText>.</w:delText>
        </w:r>
      </w:del>
    </w:p>
    <w:p w14:paraId="1C8DDECD" w14:textId="7610ADEB" w:rsidR="005370F6" w:rsidRPr="00A43F9A" w:rsidRDefault="00224F86">
      <w:pPr>
        <w:spacing w:after="130" w:line="242" w:lineRule="auto"/>
        <w:jc w:val="both"/>
        <w:rPr>
          <w:del w:id="9206" w:author="Claude" w:date="2026-10-05T13:25:41Z"/>
        </w:rPr>
      </w:pPr>
      <w:del w:id="9197" w:author="Claude" w:date="2026-10-05T13:25:41Z">
        <w:r>
          <w:delText xml:space="preserve">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w:delText>
        </w:r>
      </w:del>
      <w:del w:id="9198" w:author="Claude" w:date="2026-10-05T13:25:41Z">
        <w:r>
          <w:rPr>
            <w:color w:val="0563C1"/>
          </w:rPr>
          <w:delText xml:space="preserve"> (OECD, 2020)</w:delText>
        </w:r>
      </w:del>
      <w:del w:id="9199" w:author="Claude" w:date="2026-10-05T13:25:41Z">
        <w:r>
          <w:delText xml:space="preserve">. The importance of accountability and regulation motives is nonetheless minor compared to other determinants of leaving, since even if test-based accountability does elevate stress and turnover intentions </w:delText>
        </w:r>
      </w:del>
      <w:del w:id="9200" w:author="Claude" w:date="2026-10-05T13:25:41Z">
        <w:r>
          <w:rPr>
            <w:color w:val="0563C1"/>
          </w:rPr>
          <w:delText>(Ryan et al., 2017)</w:delText>
        </w:r>
      </w:del>
      <w:del w:id="9201" w:author="Claude" w:date="2026-10-05T13:25:41Z">
        <w:r>
          <w:delText xml:space="preserve"> ranks below affective commitment, burnout and job satisfaction </w:delText>
        </w:r>
      </w:del>
      <w:del w:id="9202" w:author="Claude" w:date="2026-10-05T13:25:41Z">
        <w:r>
          <w:rPr>
            <w:color w:val="0563C1"/>
          </w:rPr>
          <w:delText>(Gundlach, Slemp and Hattie, 2024)</w:delText>
        </w:r>
      </w:del>
      <w:del w:id="9203" w:author="Claude" w:date="2026-10-05T13:25:41Z">
        <w:r>
          <w:delText xml:space="preserve">. </w:delText>
        </w:r>
      </w:del>
      <w:commentRangeStart w:id="51"/>
      <w:commentRangeStart w:id="70"/>
      <w:del w:id="9204" w:author="Claude" w:date="2026-10-05T13:25:41Z">
        <w:r>
          <w:delText>For</w:delText>
        </w:r>
      </w:del>
      <w:commentRangeEnd w:id="70"/>
      <w:commentRangeEnd w:id="51"/>
      <w:r>
        <w:rPr>
          <w:rStyle w:val="CommentReference"/>
          <w:sz w:val="23"/>
          <w:szCs w:val="23"/>
        </w:rPr>
        <w:commentReference w:id="51"/>
      </w:r>
      <w:r>
        <w:rPr>
          <w:rStyle w:val="CommentReference"/>
        </w:rPr>
        <w:commentReference w:id="70"/>
      </w:r>
      <w:del w:id="9205" w:author="Claude" w:date="2026-10-05T13:25:41Z">
        <w:r>
          <w:delText xml:space="preserve"> policies aiming to re-attract teachers, this suggests that the cost of recertification is worth attention, as higher costs and the isolation teachers face in navigating the process affect the decision to leave, deter re-entry, and reduces retention once back, which argues for keeping such burdens as low as regulatory purposes allow.</w:delText>
        </w:r>
      </w:del>
    </w:p>
    <w:p w14:paraId="4A7C5A3A" w14:textId="35786A68" w:rsidR="001272F3" w:rsidRPr="001272F3" w:rsidRDefault="003A2ED9">
      <w:pPr>
        <w:spacing w:after="130" w:line="242" w:lineRule="auto"/>
        <w:jc w:val="both"/>
        <w:rPr>
          <w:del w:id="9215" w:author="Claude" w:date="2026-10-05T13:25:41Z"/>
        </w:rPr>
      </w:pPr>
      <w:del w:id="9207" w:author="Claude" w:date="2026-10-05T13:25:41Z">
        <w:r>
          <w:delText xml:space="preserve">Fifth, </w:delText>
        </w:r>
      </w:del>
      <w:commentRangeStart w:id="52"/>
      <w:commentRangeStart w:id="71"/>
      <w:del w:id="9208" w:author="Claude" w:date="2026-10-05T13:25:41Z">
        <w:r>
          <w:delText>economic incentives represent the most extensively studied determinant of teacher retention</w:delText>
        </w:r>
      </w:del>
      <w:commentRangeEnd w:id="71"/>
      <w:commentRangeEnd w:id="52"/>
      <w:r>
        <w:rPr>
          <w:rStyle w:val="CommentReference"/>
          <w:sz w:val="23"/>
          <w:szCs w:val="23"/>
        </w:rPr>
        <w:commentReference w:id="52"/>
      </w:r>
      <w:r>
        <w:rPr>
          <w:rStyle w:val="CommentReference"/>
        </w:rPr>
        <w:commentReference w:id="71"/>
      </w:r>
      <w:del w:id="9209" w:author="Claude" w:date="2026-10-05T13:25:41Z">
        <w:r>
          <w:delText xml:space="preserve">, including the salary relative to outside options, the design of pensions and the insecurity of contracts. From an economic perspective, a relevant margin for retention depends on comparing teaching wages </w:delText>
          <w:lastRenderedPageBreak/>
          <w:delText xml:space="preserve">against the best alternative available in the outside labor market. Because outside options vary by subject, qualification, and local labor market characteristics, uniform pay scales generate highly heterogeneous exit rates across disciplines and regions. For most teachers this comparison is unfavorable, since actual primary teacher salaries average 83% of the earnings of tertiary-educated workers across the OECD, with considerable heterogeneity across countries (see Figure 2). Only four systems pay at or above parity, led by Portugal at 128% of the benchmark, whereas the United States registers the lowest relative compensation at 63%. Where pay has been tested causally, money retains, with targeted payments cutting departures by 9% to 23% in Norway, England and North Carolina </w:delText>
        </w:r>
      </w:del>
      <w:del w:id="9210" w:author="Claude" w:date="2026-10-05T13:25:41Z">
        <w:r>
          <w:rPr>
            <w:color w:val="0563C1"/>
          </w:rPr>
          <w:delText>(Falch, 2011; Sims and Benhenda, 2022; Clotfelter et al., 2008)</w:delText>
        </w:r>
      </w:del>
      <w:del w:id="9211" w:author="Claude" w:date="2026-10-05T13:25:41Z">
        <w:r>
          <w:delText xml:space="preserve">, though the effect has lasted only as long as the payment itself </w:delText>
        </w:r>
      </w:del>
      <w:del w:id="9212" w:author="Claude" w:date="2026-10-05T13:25:41Z">
        <w:r>
          <w:rPr>
            <w:color w:val="0563C1"/>
          </w:rPr>
          <w:delText>(See et al., 2020)</w:delText>
        </w:r>
      </w:del>
      <w:del w:id="9213" w:author="Claude" w:date="2026-10-05T13:25:41Z">
        <w:r>
          <w:rPr>
            <w:rStyle w:val="FootnoteReference"/>
            <w:color w:val="0563C1"/>
          </w:rPr>
          <w:footnoteReference w:id="9"/>
        </w:r>
      </w:del>
      <w:del w:id="9214" w:author="Claude" w:date="2026-10-05T13:25:41Z">
        <w:r>
          <w:delText>.</w:delText>
        </w:r>
      </w:del>
    </w:p>
    <w:p>
      <w:pPr>
        <w:pStyle w:val="Heading3"/>
        <w:keepNext/>
        <w:rPr>
          <w:ins w:id="9094" w:author="Claude" w:date="2026-10-05T13:25:41Z"/>
        </w:rPr>
      </w:pPr>
      <w:ins w:id="9095" w:author="Claude" w:date="2026-10-05T13:25:41Z">
        <w:r>
          <w:t xml:space="preserve">Working conditions</w:t>
        </w:r>
      </w:ins>
    </w:p>
    <w:p>
      <w:pPr>
        <w:spacing w:after="130" w:line="242" w:lineRule="auto"/>
        <w:jc w:val="both"/>
        <w:rPr>
          <w:ins w:id="9096" w:author="Claude" w:date="2026-10-05T13:25:41Z"/>
        </w:rPr>
      </w:pPr>
      <w:ins w:id="9097" w:author="Claude" w:date="2026-10-05T13:25:41Z">
        <w:r>
          <w:t xml:space="preserve">Working conditions are the reason teachers most often give for wanting to leave. The area groups working hours and total workload, pupil behaviour and classroom discipline, class size, administrative demands and the burnout that accumulates when these run together. Workload is understood here as the total time that teaching requires, in the school and in preparation and marking outside it, rather than the hours stipulated by contract. According to TALIS 2024, one in four teachers across the OECD intends to leave the profession within five years, and teachers who report high levels of stress are almost twice as likely to declare that intention. That stress comes mainly from administrative work and marking, from keeping up with changing government requirements and from maintaining classroom discipline (OECD, 2025b).</w:t>
        </w:r>
      </w:ins>
    </w:p>
    <w:p>
      <w:pPr>
        <w:spacing w:after="130" w:line="242" w:lineRule="auto"/>
        <w:jc w:val="both"/>
        <w:rPr>
          <w:ins w:id="9098" w:author="Claude" w:date="2026-10-05T13:25:41Z"/>
        </w:rPr>
      </w:pPr>
      <w:ins w:id="9099" w:author="Claude" w:date="2026-10-05T13:25:41Z">
        <w:r>
          <w:t xml:space="preserve">Those who actually leave say the same. In the Netherlands, workload, stress and burden were named ahead of every other category by 47% of recent leavers, who described intense working days, little rest within them and recurrent overtime (Van Casteren et al., 2023). Among them, 80% said they could have been retained, most often with less workload or a smaller class, and a quarter with more supportive school leadership. In Sweden, workload and parental expectations came first, followed by administrative tasks and the lack of control over one's own work (Statistics Sweden, 2023). In Australia, the intensification of workload ranked second, behind dissatisfaction with school leadership (Brandenburg et al., 2024).</w:t>
        </w:r>
      </w:ins>
    </w:p>
    <w:p>
      <w:pPr>
        <w:spacing w:after="130" w:line="242" w:lineRule="auto"/>
        <w:jc w:val="both"/>
        <w:rPr>
          <w:ins w:id="9100" w:author="Claude" w:date="2026-10-05T13:25:41Z"/>
        </w:rPr>
      </w:pPr>
      <w:ins w:id="9101" w:author="Claude" w:date="2026-10-05T13:25:41Z">
        <w:r>
          <w:t xml:space="preserve">What drives teachers out, however, is not the number of hours but the conditions in the classroom. Teachers do not work more than comparable professionals. When TALIS 2024 responses are compared with those of similarly qualified workers in the Survey of Adult Skills, teachers report fewer weekly hours in 13 of 26 systems and no clear difference in another 11 (OECD, 2025b). And where declared workload can be set against observed departures, hours do not predict leaving but discipline does. In England, the TALIS 2018 responses of teachers were linked to the School Workforce Census, the administrative register of state-school staff, so that actual departures could be followed (Sims and Jerrim, 2020). Teachers in schools with worse discipline were more likely to leave the profession. An improvement of one standard deviation in the school's discipline climate, an index built from teachers' reports on how far they can control disruptive behaviour, how consistently the school enforces rules and how much stress pupil behaviour causes them, halved a teacher's annual probability of leaving. The hours teachers worked did not predict their departure.</w:t>
        </w:r>
      </w:ins>
    </w:p>
    <w:p>
      <w:pPr>
        <w:spacing w:after="130" w:line="242" w:lineRule="auto"/>
        <w:jc w:val="both"/>
        <w:rPr>
          <w:ins w:id="9102" w:author="Claude" w:date="2026-10-05T13:25:41Z"/>
        </w:rPr>
      </w:pPr>
      <w:ins w:id="9103" w:author="Claude" w:date="2026-10-05T13:25:41Z">
        <w:r>
          <w:t xml:space="preserve">The lesson for re-entry policies is that the school and the load a returner is offered are part of the policy. Shortages concentrate in disadvantaged and rural schools where the classroom climate is worst (Simon and Johnson, 2015; UNESCO, 2024), so a returner placed there on the strength of an incentive alone meets the very conditions that drive departures. Working conditions weigh on switchers and leavers alike, and a reduced teaching load or a smaller class is the retention measure that leavers themselves most often name (Van Casteren et al., 2023).</w:t>
        </w:r>
      </w:ins>
    </w:p>
    <w:p>
      <w:pPr>
        <w:pStyle w:val="Heading3"/>
        <w:keepNext/>
        <w:rPr>
          <w:ins w:id="9104" w:author="Claude" w:date="2026-10-05T13:25:41Z"/>
        </w:rPr>
      </w:pPr>
      <w:ins w:id="9105" w:author="Claude" w:date="2026-10-05T13:25:41Z">
        <w:r>
          <w:t xml:space="preserve">Organisational factors</w:t>
        </w:r>
      </w:ins>
    </w:p>
    <w:p>
      <w:pPr>
        <w:spacing w:after="130" w:line="242" w:lineRule="auto"/>
        <w:jc w:val="both"/>
        <w:rPr>
          <w:ins w:id="9106" w:author="Claude" w:date="2026-10-05T13:25:41Z"/>
        </w:rPr>
      </w:pPr>
      <w:ins w:id="9107" w:author="Claude" w:date="2026-10-05T13:25:41Z">
        <w:r>
          <w:t xml:space="preserve">How a school is led is one of the strongest predictors of whether its teachers stay. Organisational factors cover the quality of school leadership, the structuring of collaborative time and the degree of support among colleagues, and dissatisfaction with leadership is among the most frequently cited predictors of teacher departure (Boyd et al., 2011; Ladd, 2011; Simon and Johnson, 2015). Isolating its causal effect is difficult, because principals and teachers sort across schools. Experienced principals tend to move towards schools with more advantaged students, so leadership quality and school context are correlated and their effects are hard to separate (Béteille, Kalogrides and Loeb, 2012).</w:t>
        </w:r>
      </w:ins>
    </w:p>
    <w:p>
      <w:pPr>
        <w:spacing w:after="130" w:line="242" w:lineRule="auto"/>
        <w:jc w:val="both"/>
        <w:rPr>
          <w:ins w:id="9108" w:author="Claude" w:date="2026-10-05T13:25:41Z"/>
        </w:rPr>
      </w:pPr>
      <w:ins w:id="9109" w:author="Claude" w:date="2026-10-05T13:25:41Z">
        <w:r>
          <w:t xml:space="preserve">Studies that account for this sorting still find a substantial effect, and the largest where it matters most. In New York, teachers' perceptions of their school administration were the strongest predictor of retention, outweighing other working conditions and student demographics (Boyd et al., 2011). In North Carolina, one standard deviation in a school leadership index lowers annual departures from the school by around 10% (Ladd, 2011), and in New York middle schools improvements in leadership, academic expectations, teacher relationships and safety lowered turnover by 25% (Kraft, Marinell and Shen-Wei Yee, 2016). The effect is greatest in disadvantaged schools, where an effective principal raises teacher satisfaction and lowers turnover more than elsewhere (Grissom, 2011).</w:t>
        </w:r>
      </w:ins>
    </w:p>
    <w:p>
      <w:pPr>
        <w:spacing w:after="130" w:line="242" w:lineRule="auto"/>
        <w:jc w:val="both"/>
        <w:rPr>
          <w:ins w:id="9110" w:author="Claude" w:date="2026-10-05T13:25:41Z"/>
        </w:rPr>
      </w:pPr>
      <w:ins w:id="9111" w:author="Claude" w:date="2026-10-05T13:25:41Z">
        <w:r>
          <w:t xml:space="preserve">Mentoring is the organisational lever with the clearest effect on new teachers, and most of them do not have it. Across the OECD, only 26% of novice teachers had an assigned mentor in 2024, although four in five worked in schools that offer a mentoring programme (OECD, 2025b). Novice teachers who receive induction support are less likely to leave (Nguyen et al., 2020), and England's Early Career Framework, which entitles every new teacher to two years of mentoring, has increased retention within the original school (Walker et al., 2024). More broadly, collegial support and collaborative environments are consistently associated with lower intentions to leave (Johnson, Kraft and Papay, 2012; Simon and Johnson, 2015).</w:t>
        </w:r>
      </w:ins>
    </w:p>
    <w:p>
      <w:pPr>
        <w:spacing w:after="130" w:line="242" w:lineRule="auto"/>
        <w:jc w:val="both"/>
        <w:rPr>
          <w:ins w:id="9112" w:author="Claude" w:date="2026-10-05T13:25:41Z"/>
        </w:rPr>
      </w:pPr>
      <w:ins w:id="9113" w:author="Claude" w:date="2026-10-05T13:25:41Z">
        <w:r>
          <w:t xml:space="preserve">The lesson for re-entry policies is twofold. Returners should go to schools with the leadership and collegial support that the evidence identifies as decisive for all three profiles, since a teacher who returns to a school with weak leadership meets the conditions that produced the first departure. And retired teachers can supply what schools lack. Where fewer than one in three novices has a mentor, experienced returners can fill that gap, and the peer interaction they bring improves the instruction of their colleagues (Papay et al., 2020; DeCesare et al., 2017).</w:t>
        </w:r>
      </w:ins>
    </w:p>
    <w:p>
      <w:pPr>
        <w:pStyle w:val="Heading3"/>
        <w:keepNext/>
        <w:rPr>
          <w:ins w:id="9114" w:author="Claude" w:date="2026-10-05T13:25:41Z"/>
        </w:rPr>
      </w:pPr>
      <w:ins w:id="9115" w:author="Claude" w:date="2026-10-05T13:25:41Z">
        <w:r>
          <w:t xml:space="preserve">Financial factors</w:t>
        </w:r>
      </w:ins>
    </w:p>
    <w:p>
      <w:pPr>
        <w:spacing w:after="130" w:line="242" w:lineRule="auto"/>
        <w:jc w:val="both"/>
        <w:rPr>
          <w:ins w:id="9116" w:author="Claude" w:date="2026-10-05T13:25:41Z"/>
        </w:rPr>
      </w:pPr>
      <w:ins w:id="9117" w:author="Claude" w:date="2026-10-05T13:25:41Z">
        <w:r>
          <w:t xml:space="preserve">Pay matters, but less than its place in the literature suggests. Financial factors are the most extensively studied determinant of teacher retention and cover the salary relative to outside options, the design of pensions and the insecurity of contracts. From an economic perspective, retention depends on comparing teaching wages with the best alternative available outside. Because outside options vary by subject, qualification and local labour market, uniform pay scales produce very different exit rates across disciplines and regions. For most teachers the comparison is unfavourable. Actual primary teacher salaries average 83% of the earnings of tertiary-educated workers across the OECD, with large differences across countries (see Figure 2). Only four systems pay at or above parity, led by Portugal at 128% of the benchmark, while the United States registers the lowest ratio at 63% (OECD, 2025d).</w:t>
        </w:r>
      </w:ins>
    </w:p>
    <w:p w14:paraId="62FFFA0B" w14:textId="054BDD7B" w:rsidR="00F40E91" w:rsidRPr="009E7410" w:rsidRDefault="00A42790">
      <w:pPr>
        <w:spacing w:after="130" w:line="242" w:lineRule="auto"/>
        <w:jc w:val="both"/>
        <w:rPr>
          <w:b/>
          <w:bCs/>
        </w:rPr>
      </w:pPr>
      <w:r>
        <w:rPr>
          <w:b/>
          <w:bCs/>
        </w:rPr>
        <w:t xml:space="preserve">Figure 2. Teachers’ salary compared to other tertiary-educated workers earnings</w:t>
      </w:r>
    </w:p>
    <w:p w14:paraId="11285CA1" w14:textId="77777777" w:rsidR="00F40E91" w:rsidRPr="009F6E3D" w:rsidRDefault="00A42790">
      <w:pPr>
        <w:spacing w:before="80" w:after="80"/>
        <w:jc w:val="center"/>
      </w:pPr>
      <w:r>
        <w:rPr>
          <w:noProof/>
        </w:rPr>
        <w:drawing>
          <wp:inline distT="0" distB="0" distL="0" distR="0" wp14:anchorId="36192B22" wp14:editId="7F219127">
            <wp:extent cx="4095750" cy="2941834"/>
            <wp:effectExtent l="0" t="0" r="0" b="0"/>
            <wp:docPr id="1832888364" name="Picture 1832888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02595" cy="2946751"/>
                    </a:xfrm>
                    <a:prstGeom prst="rect">
                      <a:avLst/>
                    </a:prstGeom>
                  </pic:spPr>
                </pic:pic>
              </a:graphicData>
            </a:graphic>
          </wp:inline>
        </w:drawing>
      </w:r>
    </w:p>
    <w:p w14:paraId="54763DCA" w14:textId="77777777" w:rsidR="00F40E91" w:rsidRPr="009F6E3D" w:rsidRDefault="00A42790">
      <w:pPr>
        <w:spacing w:after="60" w:line="242" w:lineRule="auto"/>
        <w:jc w:val="both"/>
      </w:pPr>
      <w:r>
        <w:rPr>
          <w:sz w:val="17"/>
          <w:szCs w:val="17"/>
        </w:rPr>
        <w:t>Note: Ratio of the average actual salary of full-time primary teachers in public institutions to the earnings of full-time tertiary-educated workers aged 25 to 64. Data refer to 2024 or the nearest available year.</w:t>
      </w:r>
    </w:p>
    <w:p w14:paraId="3A75D3C4" w14:textId="76D50401" w:rsidR="00237103" w:rsidRDefault="00A42790" w:rsidP="00C7200F">
      <w:pPr>
        <w:spacing w:after="60" w:line="242" w:lineRule="auto"/>
        <w:jc w:val="both"/>
      </w:pPr>
      <w:r>
        <w:rPr>
          <w:sz w:val="17"/>
          <w:szCs w:val="17"/>
        </w:rPr>
        <w:t xml:space="preserve">Source: </w:t>
      </w:r>
      <w:r>
        <w:rPr>
          <w:color w:val="0563C1"/>
          <w:sz w:val="17"/>
          <w:szCs w:val="17"/>
        </w:rPr>
        <w:t>OECD (2025d)</w:t>
      </w:r>
      <w:r>
        <w:rPr>
          <w:sz w:val="17"/>
          <w:szCs w:val="17"/>
        </w:rPr>
        <w:t>, Education at a Glance 2025, Table D3.2.</w:t>
      </w:r>
    </w:p>
    <w:p w14:paraId="0C280E90" w14:textId="655CEF0D" w:rsidR="00237103" w:rsidRDefault="00237103">
      <w:pPr>
        <w:spacing w:after="130" w:line="242" w:lineRule="auto"/>
        <w:jc w:val="both"/>
        <w:rPr>
          <w:del w:id="9287" w:author="Claude" w:date="2026-10-05T13:25:41Z"/>
          <w:color w:val="0563C1"/>
        </w:rPr>
      </w:pPr>
      <w:del w:id="9279" w:author="Claude" w:date="2026-10-05T13:25:41Z">
        <w:r>
          <w:delText xml:space="preserve">Moreover, pension rules also affect the decision to leave, since they set the retirement age and, along the teaching career, create incentives for retention depending on the pension system’s rigidity. In most schemes covering teachers, retiring before the age stipulated by law reduces the pension and retiring later marginally increases it, so retirement concentrates around that age</w:delText>
        </w:r>
      </w:del>
      <w:del w:id="9280" w:author="Claude" w:date="2026-10-05T13:25:41Z">
        <w:r>
          <w:rPr>
            <w:rStyle w:val="FootnoteReference"/>
          </w:rPr>
          <w:footnoteReference w:id="10"/>
        </w:r>
      </w:del>
      <w:del w:id="9281" w:author="Claude" w:date="2026-10-05T13:25:41Z">
        <w:r>
          <w:delText xml:space="preserve">. This phenomenon is closely related to the way pensions funds growth and accumulate. In defined-benefit schemes, most of the pension is earned in the final years before the full-pension age and little accrues after it, so one more year of work carries a substantial pension gain at 54 and almost nothing at 60 </w:delText>
        </w:r>
      </w:del>
      <w:del w:id="9282" w:author="Claude" w:date="2026-10-05T13:25:41Z">
        <w:r>
          <w:rPr>
            <w:color w:val="0563C1"/>
          </w:rPr>
          <w:delText>(Costrell and Podgursky, 2009)</w:delText>
        </w:r>
      </w:del>
      <w:del w:id="9283" w:author="Claude" w:date="2026-10-05T13:25:41Z">
        <w:r>
          <w:delText xml:space="preserve">. This is mostly the case across the civil-service teacher schemes of Europe and North America, while defined-contribution systems, as in Sweden or Australia, are close to actuarially neutral and spread retirements accordingly </w:delText>
        </w:r>
      </w:del>
      <w:del w:id="9284" w:author="Claude" w:date="2026-10-05T13:25:41Z">
        <w:r>
          <w:rPr>
            <w:color w:val="0563C1"/>
          </w:rPr>
          <w:delText>(OECD, 2025e)</w:delText>
        </w:r>
      </w:del>
      <w:del w:id="9285" w:author="Claude" w:date="2026-10-05T13:25:41Z">
        <w:r>
          <w:delText xml:space="preserve">. The available estimates of how much teachers value that </w:delText>
          <w:lastRenderedPageBreak/>
          <w:delText xml:space="preserve">deferred income present mixed results, with estimates running from about 20 cents per dollar of present value to near parity </w:delText>
        </w:r>
      </w:del>
      <w:del w:id="9286" w:author="Claude" w:date="2026-10-05T13:25:41Z">
        <w:r>
          <w:rPr>
            <w:color w:val="0563C1"/>
          </w:rPr>
          <w:delText>(Fitzpatrick, 2015; Ni, Podgursky and Wang, 2022).</w:delText>
        </w:r>
      </w:del>
    </w:p>
    <w:p w14:paraId="271D9F44" w14:textId="6181E86C" w:rsidR="00F967DE" w:rsidRPr="00DC226F" w:rsidRDefault="00F967DE">
      <w:pPr>
        <w:spacing w:after="130" w:line="242" w:lineRule="auto"/>
        <w:jc w:val="both"/>
        <w:rPr>
          <w:del w:id="9299" w:author="Claude" w:date="2026-10-05T13:25:41Z"/>
          <w:highlight w:val="cyan"/>
        </w:rPr>
      </w:pPr>
      <w:del w:id="9288" w:author="Claude" w:date="2026-10-05T13:25:41Z">
        <w:r>
          <w:delText xml:space="preserve">Finally, personal and life-course factors drive a substantial share of departures. Unlike the preceding dimensions, these causes originate entirely outside the school environment, placing them as the least predictable from an institutional perspective and the least responsive to standard administrative levers. </w:delText>
        </w:r>
      </w:del>
      <w:commentRangeStart w:id="53"/>
      <w:commentRangeStart w:id="72"/>
      <w:del w:id="9289" w:author="Claude" w:date="2026-10-05T13:25:41Z">
        <w:r>
          <w:delText xml:space="preserve">Along the teaching career, the leaving rate exhibits a pronounced U-shape, concentrated among novice teachers during early-career sorting and late-career workers approaching retirement but with a stable middle lifecycle phase </w:delText>
        </w:r>
      </w:del>
      <w:del w:id="9290" w:author="Claude" w:date="2026-10-05T13:25:41Z">
        <w:r>
          <w:rPr>
            <w:color w:val="0563C1"/>
          </w:rPr>
          <w:delText>(Nguyen et al., 2020)</w:delText>
        </w:r>
      </w:del>
      <w:del w:id="9291" w:author="Claude" w:date="2026-10-05T13:25:41Z">
        <w:r>
          <w:delText xml:space="preserve">. </w:delText>
        </w:r>
      </w:del>
      <w:commentRangeEnd w:id="72"/>
      <w:commentRangeEnd w:id="53"/>
      <w:r>
        <w:rPr>
          <w:rStyle w:val="CommentReference"/>
          <w:sz w:val="23"/>
          <w:szCs w:val="23"/>
        </w:rPr>
        <w:commentReference w:id="53"/>
      </w:r>
      <w:r>
        <w:rPr>
          <w:rStyle w:val="CommentReference"/>
        </w:rPr>
        <w:commentReference w:id="72"/>
      </w:r>
      <w:del w:id="9292" w:author="Claude" w:date="2026-10-05T13:25:41Z">
        <w:r>
          <w:delText xml:space="preserve">The early peak reflects the exits of novice teachers who leave for further study, family formation or alternative employment while the quality of their match with the profession is still being revealed </w:delText>
        </w:r>
      </w:del>
      <w:del w:id="9293" w:author="Claude" w:date="2026-10-05T13:25:41Z">
        <w:r>
          <w:rPr>
            <w:color w:val="0563C1"/>
          </w:rPr>
          <w:delText>(Guarino, Santibañez and Daley, 2006)</w:delText>
        </w:r>
      </w:del>
      <w:del w:id="9294" w:author="Claude" w:date="2026-10-05T13:25:41Z">
        <w:r>
          <w:delText xml:space="preserve">, </w:delText>
        </w:r>
      </w:del>
      <w:commentRangeStart w:id="54"/>
      <w:commentRangeStart w:id="73"/>
      <w:del w:id="9295" w:author="Claude" w:date="2026-10-05T13:25:41Z">
        <w:r>
          <w:delText xml:space="preserve">while </w:delText>
        </w:r>
      </w:del>
      <w:commentRangeEnd w:id="73"/>
      <w:commentRangeEnd w:id="54"/>
      <w:r>
        <w:rPr>
          <w:rStyle w:val="CommentReference"/>
          <w:sz w:val="23"/>
          <w:szCs w:val="23"/>
        </w:rPr>
        <w:commentReference w:id="54"/>
      </w:r>
      <w:r>
        <w:rPr>
          <w:rStyle w:val="CommentReference"/>
        </w:rPr>
        <w:commentReference w:id="73"/>
      </w:r>
      <w:del w:id="9296" w:author="Claude" w:date="2026-10-05T13:25:41Z">
        <w:r>
          <w:delText xml:space="preserve">the late peak responds to the retirement incentives just examined </w:delText>
        </w:r>
      </w:del>
      <w:del w:id="9297" w:author="Claude" w:date="2026-10-05T13:25:41Z">
        <w:r>
          <w:rPr>
            <w:color w:val="0563C1"/>
          </w:rPr>
          <w:delText>(Costrell and Podgursky, 2009)</w:delText>
        </w:r>
      </w:del>
      <w:del w:id="9298" w:author="Claude" w:date="2026-10-05T13:25:41Z">
        <w:r>
          <w:delText>.</w:delText>
        </w:r>
      </w:del>
    </w:p>
    <w:p w14:paraId="1560B130" w14:textId="078793FF" w:rsidR="00EE6A01" w:rsidRPr="00D75A88" w:rsidRDefault="00D75A88" w:rsidP="00DC226F">
      <w:pPr>
        <w:spacing w:after="130" w:line="242" w:lineRule="auto"/>
        <w:jc w:val="both"/>
        <w:rPr>
          <w:del w:id="9311" w:author="Claude" w:date="2026-10-05T13:25:41Z"/>
        </w:rPr>
      </w:pPr>
      <w:del w:id="9300" w:author="Claude" w:date="2026-10-05T13:25:41Z">
        <w:r>
          <w:delText>The teaching workforce is predominantly female</w:delText>
        </w:r>
      </w:del>
      <w:del w:id="9301" w:author="Claude" w:date="2026-10-05T13:25:41Z">
        <w:r>
          <w:rPr>
            <w:rStyle w:val="FootnoteReference"/>
          </w:rPr>
          <w:footnoteReference w:id="11"/>
        </w:r>
      </w:del>
      <w:del w:id="9302" w:author="Claude" w:date="2026-10-05T13:25:41Z">
        <w:r>
          <w:delText xml:space="preserve">, so the events of family life weigh on it with particular force, and the birth of a child is the best documented of these motives. In England, where the workforce census follows teachers after maternity leave, between 17% and 20% of those who return leave the profession within a year, double the rate of comparable teachers, and women aged 30 to 39 form the largest group among leavers </w:delText>
        </w:r>
      </w:del>
      <w:del w:id="9303" w:author="Claude" w:date="2026-10-05T13:25:41Z">
        <w:r>
          <w:rPr>
            <w:color w:val="0563C1"/>
          </w:rPr>
          <w:delText>(Department for Education, 2023)</w:delText>
        </w:r>
      </w:del>
      <w:del w:id="9304" w:author="Claude" w:date="2026-10-05T13:25:41Z">
        <w:r>
          <w:delText xml:space="preserve">. In the United States and Sweden the same event has long driven female exits, and personal life reasons, covering health, childcare and the care of relatives, remain as the most non-retirement motive among voluntary leavers, </w:delText>
        </w:r>
      </w:del>
      <w:del w:id="9305" w:author="Claude" w:date="2026-10-05T13:25:41Z">
        <w:r>
          <w:rPr>
            <w:color w:val="0563C1"/>
          </w:rPr>
          <w:delText>(Stinebrickner, 2002; NCES, 2024; Statistics Sweden, 2023)</w:delText>
        </w:r>
      </w:del>
      <w:del w:id="9306" w:author="Claude" w:date="2026-10-05T13:25:41Z">
        <w:r>
          <w:delText xml:space="preserve">. Family circumstances beyond childbirth weight in the same direction, since personal life reasons, covering health, childcare and the care of family members, form the most important non-retirement motive among American voluntary leavers, at 15% </w:delText>
        </w:r>
      </w:del>
      <w:del w:id="9307" w:author="Claude" w:date="2026-10-05T13:25:41Z">
        <w:r>
          <w:rPr>
            <w:color w:val="0563C1"/>
          </w:rPr>
          <w:delText>(NCES, 2024)</w:delText>
        </w:r>
      </w:del>
      <w:del w:id="9308" w:author="Claude" w:date="2026-10-05T13:25:41Z">
        <w:r>
          <w:delText xml:space="preserve">, and the difficulty of combining work and family is named by 15% of Swedish leavers </w:delText>
        </w:r>
      </w:del>
      <w:del w:id="9309" w:author="Claude" w:date="2026-10-05T13:25:41Z">
        <w:r>
          <w:rPr>
            <w:color w:val="0563C1"/>
          </w:rPr>
          <w:delText>(Statistics Sweden, 2023)</w:delText>
        </w:r>
      </w:del>
      <w:del w:id="9310" w:author="Claude" w:date="2026-10-05T13:25:41Z">
        <w:r>
          <w:delText xml:space="preserve">. </w:delText>
        </w:r>
      </w:del>
    </w:p>
    <w:p w14:paraId="746AE7A4" w14:textId="67DDCB37" w:rsidR="00502E0E" w:rsidRPr="00EB39D6" w:rsidRDefault="00B55BC2">
      <w:pPr>
        <w:spacing w:after="130" w:line="242" w:lineRule="auto"/>
        <w:jc w:val="both"/>
        <w:rPr>
          <w:del w:id="9316" w:author="Claude" w:date="2026-10-05T13:25:41Z"/>
        </w:rPr>
      </w:pPr>
      <w:del w:id="9312" w:author="Claude" w:date="2026-10-05T13:25:41Z">
        <w:r>
          <w:delText xml:space="preserve">This matters for policies that seek to bring former teachers back, since those who left over a birth or a family obligation did not leave over the conditions of the school, and the constraint behind the exit can ease with time. However, there is evidence suggesting that re-entry after a period of childcare or other family responsibilities, once predicted by gender and child-rearing, no longer follows on its own. An example of this is the United States, where among teachers who left between 2000 and 2019 that association has disappeared and only about one in five returned </w:delText>
        </w:r>
      </w:del>
      <w:del w:id="9313" w:author="Claude" w:date="2026-10-05T13:25:41Z">
        <w:r>
          <w:rPr>
            <w:color w:val="0563C1"/>
          </w:rPr>
          <w:delText>(Grissom and Reininger, 2012; Moyer, 2022)</w:delText>
        </w:r>
      </w:del>
      <w:del w:id="9314" w:author="Claude" w:date="2026-10-05T13:25:41Z">
        <w:r>
          <w:delText xml:space="preserve">. Thus, policies that aim to recover teaching leavers should focus on flexibility, the margin to which this group is most responsive, through part-time and phased returns, predictable timetables and placements compatible with care </w:delText>
        </w:r>
      </w:del>
      <w:commentRangeStart w:id="55"/>
      <w:commentRangeStart w:id="74"/>
      <w:commentRangeStart w:id="56"/>
      <w:commentRangeStart w:id="57"/>
      <w:del w:id="9315" w:author="Claude" w:date="2026-10-05T13:25:41Z">
        <w:r>
          <w:delText>responsibilities.</w:delText>
        </w:r>
      </w:del>
      <w:commentRangeEnd w:id="74"/>
      <w:commentRangeEnd w:id="55"/>
      <w:r>
        <w:rPr>
          <w:rStyle w:val="CommentReference"/>
          <w:sz w:val="23"/>
          <w:szCs w:val="23"/>
        </w:rPr>
        <w:commentReference w:id="55"/>
      </w:r>
      <w:r>
        <w:rPr>
          <w:rStyle w:val="CommentReference"/>
        </w:rPr>
        <w:commentReference w:id="74"/>
      </w:r>
      <w:commentRangeEnd w:id="56"/>
      <w:r>
        <w:rPr>
          <w:rStyle w:val="CommentReference"/>
          <w:sz w:val="23"/>
          <w:szCs w:val="23"/>
        </w:rPr>
        <w:commentReference w:id="56"/>
      </w:r>
      <w:commentRangeEnd w:id="57"/>
      <w:r>
        <w:rPr>
          <w:rStyle w:val="CommentReference"/>
          <w:sz w:val="23"/>
          <w:szCs w:val="23"/>
        </w:rPr>
        <w:commentReference w:id="57"/>
      </w:r>
    </w:p>
    <w:p w14:paraId="73BC5B0F" w14:textId="0C1CF60F" w:rsidR="00D80668" w:rsidRPr="00D80668" w:rsidRDefault="00D80668" w:rsidP="00D80668">
      <w:pPr>
        <w:spacing w:after="130" w:line="242" w:lineRule="auto"/>
        <w:jc w:val="both"/>
        <w:rPr>
          <w:del w:id="9324" w:author="Claude" w:date="2026-10-05T13:25:41Z"/>
        </w:rPr>
      </w:pPr>
      <w:del w:id="9317" w:author="Claude" w:date="2026-10-05T13:25:41Z">
        <w:r>
          <w:delText xml:space="preserve">Finally, not all the motives listed in the table have been studied with the same intensity, nor can their relative importance be compared perfectly across studies. The best available basis for doing so comes from recent meta-analyses of teacher turnover, which pool hundreds of estimates accumulated by the literature </w:delText>
        </w:r>
      </w:del>
      <w:del w:id="9318" w:author="Claude" w:date="2026-10-05T13:25:41Z">
        <w:r>
          <w:rPr>
            <w:color w:val="0070C0"/>
          </w:rPr>
          <w:delText xml:space="preserve">(Nguyen et al., 2020; Gundlach, Slemp </w:delText>
        </w:r>
      </w:del>
      <w:del w:id="9319" w:author="Claude" w:date="2026-10-05T13:25:41Z">
        <w:r>
          <w:rPr>
            <w:color w:val="215E99" w:themeColor="text2" w:themeTint="BF"/>
          </w:rPr>
          <w:delText>and Hattie</w:delText>
        </w:r>
      </w:del>
      <w:del w:id="9320" w:author="Claude" w:date="2026-10-05T13:25:41Z">
        <w:r>
          <w:rPr>
            <w:color w:val="0070C0"/>
          </w:rPr>
          <w:delText>, 2024)</w:delText>
        </w:r>
      </w:del>
      <w:del w:id="9321" w:author="Claude" w:date="2026-10-05T13:25:41Z">
        <w:r>
          <w:rPr>
            <w:rStyle w:val="FootnoteReference"/>
            <w:color w:val="0070C0"/>
          </w:rPr>
          <w:footnoteReference w:id="12"/>
        </w:r>
      </w:del>
      <w:del w:id="9322" w:author="Claude" w:date="2026-10-05T13:25:41Z">
        <w:r>
          <w:rPr>
            <w:color w:val="0070C0"/>
          </w:rPr>
          <w:delText xml:space="preserve">. </w:delText>
        </w:r>
      </w:del>
      <w:del w:id="9323" w:author="Claude" w:date="2026-10-05T13:25:41Z">
        <w:r>
          <w:delText>Taken together, they point to working conditions and organisational features of the school as the most consistently important determinants of leaving, above financial incentives, accountability and personal characteristics. Teachers exposed to high workload, stress and weak organisational support are substantially more likely to leave, while salary and regulatory factors, although relevant, tend to have smaller effects when compared across determinants (Nguyen et al., 2020; Gundlach, Slemp and Hattie, 2024). This does not mean that personal or life-course motives are secondary for every teacher, but rather that the conditions under which teaching takes place appear to be the main institutional margin through which systems can influence retention.</w:delText>
        </w:r>
      </w:del>
    </w:p>
    <w:p w14:paraId="1BFE4331" w14:textId="29393685" w:rsidR="00D80668" w:rsidRPr="00D80668" w:rsidRDefault="00D80668" w:rsidP="00D80668">
      <w:pPr>
        <w:spacing w:after="130" w:line="242" w:lineRule="auto"/>
        <w:jc w:val="both"/>
        <w:rPr>
          <w:del w:id="9331" w:author="Claude" w:date="2026-10-05T13:25:41Z"/>
        </w:rPr>
      </w:pPr>
      <w:del w:id="9325" w:author="Claude" w:date="2026-10-05T13:25:41Z">
        <w:r>
          <w:lastRenderedPageBreak/>
          <w:delText xml:space="preserve">This distinction is particularly important for policies aiming to re-attract former </w:delText>
        </w:r>
      </w:del>
      <w:commentRangeStart w:id="58"/>
      <w:commentRangeStart w:id="75"/>
      <w:del w:id="9326" w:author="Claude" w:date="2026-10-05T13:25:41Z">
        <w:r>
          <w:delText>teachers</w:delText>
        </w:r>
      </w:del>
      <w:commentRangeEnd w:id="75"/>
      <w:commentRangeEnd w:id="58"/>
      <w:r>
        <w:rPr>
          <w:rStyle w:val="CommentReference"/>
          <w:sz w:val="23"/>
          <w:szCs w:val="23"/>
        </w:rPr>
        <w:commentReference w:id="58"/>
      </w:r>
      <w:r>
        <w:rPr>
          <w:rStyle w:val="CommentReference"/>
        </w:rPr>
        <w:commentReference w:id="75"/>
      </w:r>
      <w:del w:id="9327" w:author="Claude" w:date="2026-10-05T13:25:41Z">
        <w:r>
          <w:delText xml:space="preserve">. The </w:delText>
        </w:r>
      </w:del>
      <w:commentRangeStart w:id="59"/>
      <w:commentRangeStart w:id="76"/>
      <w:del w:id="9328" w:author="Claude" w:date="2026-10-05T13:25:41Z">
        <w:r>
          <w:delText>evidence suggests</w:delText>
        </w:r>
      </w:del>
      <w:commentRangeEnd w:id="76"/>
      <w:commentRangeEnd w:id="59"/>
      <w:r>
        <w:rPr>
          <w:rStyle w:val="CommentReference"/>
          <w:sz w:val="23"/>
          <w:szCs w:val="23"/>
        </w:rPr>
        <w:commentReference w:id="59"/>
      </w:r>
      <w:r>
        <w:rPr>
          <w:rStyle w:val="CommentReference"/>
        </w:rPr>
        <w:commentReference w:id="76"/>
      </w:r>
      <w:del w:id="9329" w:author="Claude" w:date="2026-10-05T13:25:41Z">
        <w:r>
          <w:delText xml:space="preserve"> that bringing a teacher back without changing the conditions under which they previously left risks reproducing the same decision further down the line. Re-entry policies should therefore be understood not only as a mechanism to reduce the cost of returning, but also as an opportunity to improve the quality of the match between teachers and schools: reducing workload, ensuring supportive leadership and collegial environments, offering adequate classroom conditions and, where the original exit was driven by personal circumstances, providing the flexibility required to combine teaching with family responsibilities. In this sense, what the literature teaches us is that the relevant question is not simply how to make former teachers return, but whether the system can offer them a different set of conditions once they do</w:delText>
        </w:r>
      </w:del>
      <w:ins w:id="60" w:author="DURÁN ROA José Elías, EDU/IMEP" w:date="2026-10-01T11:41:00Z" w16du:dateUtc="2026-10-01T09:41:00Z">
        <w:del w:id="9330" w:author="Claude" w:date="2026-10-05T13:25:41Z">
          <w:r>
            <w:delText>.</w:delText>
          </w:r>
        </w:del>
      </w:ins>
    </w:p>
    <w:p>
      <w:pPr>
        <w:spacing w:after="130" w:line="242" w:lineRule="auto"/>
        <w:jc w:val="both"/>
        <w:rPr>
          <w:ins w:id="9224" w:author="Claude" w:date="2026-10-05T13:25:41Z"/>
        </w:rPr>
      </w:pPr>
      <w:ins w:id="9225" w:author="Claude" w:date="2026-10-05T13:25:41Z">
        <w:r>
          <w:t xml:space="preserve">Money retains, but only while it is paid. Where pay has been tested causally, targeted payments cut departures by 9% to 23% in Norway, England and North Carolina (Falch, 2011; Sims and Benhenda, 2022; Clotfelter et al., 2008). This evidence rests on a small number of studies exploiting policy discontinuities and carries three lessons. Payments work when they are large and teachers know they are eligible (Falch, 2011; Clotfelter et al., 2008). Their effect is confined to the teachers they target and negligible for the rest (Springer, Swain and Rodriguez, 2016). And one-off bonuses produce larger short-run effects than permanent increases, which indicates that the retention gain does not outlast the payment (Feng and Sass, 2018; See et al., 2020).</w:t>
        </w:r>
      </w:ins>
    </w:p>
    <w:p>
      <w:pPr>
        <w:spacing w:after="130" w:line="242" w:lineRule="auto"/>
        <w:jc w:val="both"/>
        <w:rPr>
          <w:ins w:id="9226" w:author="Claude" w:date="2026-10-05T13:25:41Z"/>
        </w:rPr>
      </w:pPr>
      <w:ins w:id="9227" w:author="Claude" w:date="2026-10-05T13:25:41Z">
        <w:r>
          <w:t xml:space="preserve">Pension rules decide when teachers retire more than whether they stay. They set the retirement age, which falls between 62 and 67 in most OECD countries and is lowest for teachers in France and Spain, where retirement is possible from 59 for the former primary corps and from 60 for civil-servant teachers with thirty years of service (OECD, 2025e; Ministère de l'Éducation nationale, 2023; Government of Spain, 2015). Retiring before that age reduces the pension and retiring later adds little to it, so retirements concentrate around it. In defined-benefit schemes, most of the pension is earned in the final years before the full-pension age and little accrues after it, so one more year of work carries a substantial gain at 54 and almost nothing at 60 (Costrell and Podgursky, 2009). This is the case in most civil-service teacher schemes of Europe and North America, while defined-contribution systems, as in Sweden or Australia, are close to actuarially neutral and spread retirements accordingly (OECD, 2025e). How much teachers value that deferred income is less clear, with estimates ranging from about 20 cents per dollar of present value to near parity (Fitzpatrick, 2015; Ni, Podgursky and Wang, 2022).</w:t>
        </w:r>
      </w:ins>
    </w:p>
    <w:p>
      <w:pPr>
        <w:spacing w:after="130" w:line="242" w:lineRule="auto"/>
        <w:jc w:val="both"/>
        <w:rPr>
          <w:ins w:id="9228" w:author="Claude" w:date="2026-10-05T13:25:41Z"/>
        </w:rPr>
      </w:pPr>
      <w:ins w:id="9229" w:author="Claude" w:date="2026-10-05T13:25:41Z">
        <w:r>
          <w:t xml:space="preserve">The lesson for re-entry policies is that a financial incentive opens the door but does not keep teachers inside. Pay can bring switchers back, but the evidence above suggests that it retains them only while it is paid. For retired teachers the binding constraint is different: not the salary but the pension rules that penalise working after retirement. Removing those penalties, as several of the policies in Section 3 do, costs little and acts directly on the largest reserve of experienced teachers.</w:t>
        </w:r>
      </w:ins>
    </w:p>
    <w:p>
      <w:pPr>
        <w:pStyle w:val="Heading3"/>
        <w:keepNext/>
        <w:rPr>
          <w:ins w:id="9230" w:author="Claude" w:date="2026-10-05T13:25:41Z"/>
        </w:rPr>
      </w:pPr>
      <w:ins w:id="9231" w:author="Claude" w:date="2026-10-05T13:25:41Z">
        <w:r>
          <w:t xml:space="preserve">Professional factors</w:t>
        </w:r>
      </w:ins>
    </w:p>
    <w:p>
      <w:pPr>
        <w:spacing w:after="130" w:line="242" w:lineRule="auto"/>
        <w:jc w:val="both"/>
        <w:rPr>
          <w:ins w:id="9232" w:author="Claude" w:date="2026-10-05T13:25:41Z"/>
        </w:rPr>
      </w:pPr>
      <w:ins w:id="9233" w:author="Claude" w:date="2026-10-05T13:25:41Z">
        <w:r>
          <w:t xml:space="preserve">Teachers also leave when teaching stops making sense to them. Professional factors group the motives related to the purpose, autonomy and standing of teaching: teachers who no longer find meaning in their work, who feel they have lost control over how to exercise it, or who perceive a deterioration in the standing of the profession, often linked to exposure to parental complaint and legal action. The evidence comes mainly from surveys of intentions, which reach motives that administrative records cannot register.</w:t>
        </w:r>
      </w:ins>
    </w:p>
    <w:p>
      <w:pPr>
        <w:spacing w:after="130" w:line="242" w:lineRule="auto"/>
        <w:jc w:val="both"/>
        <w:rPr>
          <w:ins w:id="9234" w:author="Claude" w:date="2026-10-05T13:25:41Z"/>
        </w:rPr>
      </w:pPr>
      <w:ins w:id="9235" w:author="Claude" w:date="2026-10-05T13:25:41Z">
        <w:r>
          <w:t xml:space="preserve">These motives rank high wherever teachers are asked. In Finland, a survey that followed teachers over five years found that a lack of professional commitment was named persistently, above workload and interpersonal difficulties, among those intending to leave (Räsänen et al., 2020). In England, teachers who intend to leave say that their views are not considered by policymakers, and give this more weight than pay (Department for Education, 2024b). Those who actually leave confirm it. In the United States, most switchers rate their new job above teaching in autonomy, influence and professional prestige, although not always in salary (NCES, 2014). In the Netherlands and Sweden, the lack of professional challenge and the limited control over one's own work rank among the leading motives, behind working conditions only (Van Casteren et al., 2023; Statistics Sweden, 2023).</w:t>
        </w:r>
      </w:ins>
    </w:p>
    <w:p>
      <w:pPr>
        <w:spacing w:after="130" w:line="242" w:lineRule="auto"/>
        <w:jc w:val="both"/>
        <w:rPr>
          <w:ins w:id="9236" w:author="Claude" w:date="2026-10-05T13:25:41Z"/>
        </w:rPr>
      </w:pPr>
      <w:ins w:id="9237" w:author="Claude" w:date="2026-10-05T13:25:41Z">
        <w:r>
          <w:t xml:space="preserve">Feeling valued keeps teachers in the profession, and few feel valued. Across the OECD, only 26% of teachers feel that their profession is valued in society, and those who do are over 10% less likely to intend to leave within five years (OECD, 2020; OECD, 2025b). Recognition and professional purpose thus appear decisive in the decision to leave, consistent with teaching remaining one of the most vocational career choices.</w:t>
        </w:r>
      </w:ins>
    </w:p>
    <w:p>
      <w:pPr>
        <w:spacing w:after="130" w:line="242" w:lineRule="auto"/>
        <w:jc w:val="both"/>
        <w:rPr>
          <w:ins w:id="9238" w:author="Claude" w:date="2026-10-05T13:25:41Z"/>
        </w:rPr>
      </w:pPr>
      <w:ins w:id="9239" w:author="Claude" w:date="2026-10-05T13:25:41Z">
        <w:r>
          <w:t xml:space="preserve">The lesson for re-entry policies concerns switchers above all, since they are the ones who found elsewhere the autonomy and standing they missed. Bringing them back calls for recognition of their previous service, roles that make use of their experience and a say in decisions about their own work.</w:t>
        </w:r>
      </w:ins>
    </w:p>
    <w:p>
      <w:pPr>
        <w:pStyle w:val="Heading3"/>
        <w:keepNext/>
        <w:rPr>
          <w:ins w:id="9240" w:author="Claude" w:date="2026-10-05T13:25:41Z"/>
        </w:rPr>
      </w:pPr>
      <w:ins w:id="9241" w:author="Claude" w:date="2026-10-05T13:25:41Z">
        <w:r>
          <w:t xml:space="preserve">Personal and life-course factors</w:t>
        </w:r>
      </w:ins>
    </w:p>
    <w:p>
      <w:pPr>
        <w:spacing w:after="130" w:line="242" w:lineRule="auto"/>
        <w:jc w:val="both"/>
        <w:rPr>
          <w:ins w:id="9242" w:author="Claude" w:date="2026-10-05T13:25:41Z"/>
        </w:rPr>
      </w:pPr>
      <w:ins w:id="9243" w:author="Claude" w:date="2026-10-05T13:25:41Z">
        <w:r>
          <w:t xml:space="preserve">A substantial share of departures has nothing to do with the school. Personal and life-course factors originate outside it, which makes them the least predictable from an institutional perspective and the least responsive to administrative levers. They follow the career in a U-shape: the leaving rate is high among novice teachers, stable in the middle years and rises again as retirement approaches (Nguyen et al., 2020). Figure 3 shows this profile for the United States. The early peak reflects novice teachers who leave for further study, family formation or other employment while the quality of their match with the profession is still being revealed (Guarino, Santibañez and Daley, 2006). The late peak responds to the retirement incentives examined above (Costrell and Podgursky, 2009). The figure also shows that the whole profile has shifted upwards in the last decade, most of all at career entry.</w:t>
        </w:r>
      </w:ins>
    </w:p>
    <w:p>
      <w:pPr>
        <w:keepNext/>
        <w:spacing w:after="130" w:line="242" w:lineRule="auto"/>
        <w:jc w:val="both"/>
        <w:rPr>
          <w:ins w:id="9216" w:author="Claude" w:date="2026-10-05T13:25:41Z"/>
        </w:rPr>
      </w:pPr>
      <w:ins w:id="9217" w:author="Claude" w:date="2026-10-05T13:25:41Z">
        <w:r>
          <w:rPr>
            <w:b/>
            <w:bCs/>
          </w:rPr>
          <w:t xml:space="preserve">Figure 3. The leaving rate by age in the United States, 2005-2014 and 2015-2024</w:t>
        </w:r>
      </w:ins>
    </w:p>
    <w:p>
      <w:pPr>
        <w:keepNext/>
        <w:spacing w:after="60"/>
        <w:jc w:val="center"/>
        <w:rPr>
          <w:ins w:id="9218" w:author="Claude" w:date="2026-10-05T13:25:41Z"/>
        </w:rPr>
      </w:pPr>
      <w:ins w:id="9219" w:author="Claude" w:date="2026-10-05T13:25:41Z">
        <w:r>
          <w:drawing>
            <wp:inline distT="0" distB="0" distL="0" distR="0">
              <wp:extent cx="5394960" cy="2617610"/>
              <wp:effectExtent l="0" t="0" r="0" b="0"/>
              <wp:docPr id="77"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4"/>
                      <a:stretch>
                        <a:fillRect/>
                      </a:stretch>
                    </pic:blipFill>
                    <pic:spPr>
                      <a:xfrm>
                        <a:off x="0" y="0"/>
                        <a:ext cx="5394960" cy="2617610"/>
                      </a:xfrm>
                      <a:prstGeom prst="rect">
                        <a:avLst/>
                      </a:prstGeom>
                    </pic:spPr>
                  </pic:pic>
                </a:graphicData>
              </a:graphic>
            </wp:inline>
          </w:drawing>
        </w:r>
      </w:ins>
    </w:p>
    <w:p>
      <w:pPr>
        <w:spacing w:after="50" w:line="200" w:lineRule="auto"/>
        <w:jc w:val="both"/>
        <w:rPr>
          <w:ins w:id="9220" w:author="Claude" w:date="2026-10-05T13:25:41Z"/>
        </w:rPr>
      </w:pPr>
      <w:ins w:id="9221" w:author="Claude" w:date="2026-10-05T13:25:41Z">
        <w:r>
          <w:rPr>
            <w:sz w:val="17"/>
            <w:szCs w:val="17"/>
          </w:rPr>
          <w:t xml:space="preserve">Note: </w:t>
        </w:r>
        <w:r>
          <w:rPr>
            <w:sz w:val="15"/>
            <w:szCs w:val="15"/>
          </w:rPr>
          <w:t xml:space="preserve">Share of teachers who were no longer teaching twelve months later and did not return in any later interview, by age at the first interview, pooled within 2005-2014 and 2015-2024.</w:t>
        </w:r>
      </w:ins>
    </w:p>
    <w:p>
      <w:pPr>
        <w:spacing w:after="130" w:line="200" w:lineRule="auto"/>
        <w:jc w:val="both"/>
        <w:rPr>
          <w:ins w:id="9222" w:author="Claude" w:date="2026-10-05T13:25:41Z"/>
        </w:rPr>
      </w:pPr>
      <w:ins w:id="9223" w:author="Claude" w:date="2026-10-05T13:25:41Z">
        <w:r>
          <w:rPr>
            <w:sz w:val="17"/>
            <w:szCs w:val="17"/>
          </w:rPr>
          <w:t xml:space="preserve">Source: </w:t>
        </w:r>
        <w:r>
          <w:rPr>
            <w:sz w:val="15"/>
            <w:szCs w:val="15"/>
          </w:rPr>
          <w:t xml:space="preserve">Authors' calculations from linked Current Population Survey panels, 2005-2025.</w:t>
        </w:r>
      </w:ins>
    </w:p>
    <w:p>
      <w:pPr>
        <w:spacing w:after="130" w:line="242" w:lineRule="auto"/>
        <w:jc w:val="both"/>
        <w:rPr>
          <w:ins w:id="9244" w:author="Claude" w:date="2026-10-05T13:25:41Z"/>
        </w:rPr>
      </w:pPr>
      <w:ins w:id="9245" w:author="Claude" w:date="2026-10-05T13:25:41Z">
        <w:r>
          <w:t xml:space="preserve">The birth of a child is the best documented of these motives, and it weighs on a predominantly female workforce. Women make up around seven in ten lower secondary teachers across the OECD (OECD, 2025b). In England, where the workforce census follows teachers after maternity leave, between 17% and 20% of those who return leave the profession within a year, double the rate of comparable teachers, and women aged 30 to 39 form the largest group among leavers (Department for Education, 2023). In the United States and Sweden the same event has long driven female exits (Stinebrickner, 2002). Family circumstances beyond childbirth point in the same direction. Personal life reasons, covering health, childcare and the care of relatives, are the most important non-retirement motive among American voluntary leavers, at 15% (NCES, 2024), and the difficulty of combining work and family is named by 15% of Swedish leavers (Statistics Sweden, 2023).</w:t>
        </w:r>
      </w:ins>
    </w:p>
    <w:p>
      <w:pPr>
        <w:spacing w:after="130" w:line="242" w:lineRule="auto"/>
        <w:jc w:val="both"/>
        <w:rPr>
          <w:ins w:id="9246" w:author="Claude" w:date="2026-10-05T13:25:41Z"/>
        </w:rPr>
      </w:pPr>
      <w:ins w:id="9247" w:author="Claude" w:date="2026-10-05T13:25:41Z">
        <w:r>
          <w:t xml:space="preserve">The lesson for re-entry policies is that leavers are the easiest group to recover and the one that does not come back by itself. Those who left over a birth, care or health did not leave over the conditions of the school, and the constraint behind the exit often eases with time. Yet their return no longer follows on its own. In the United States, re-entry after a period of childcare was once predicted by gender and child-rearing, but among teachers who left between 2000 and 2019 that association has disappeared and only about one in five returned (Grissom and Reininger, 2012; Moyer, 2022). This group responds to flexibility, through part-time and phased returns, predictable timetables and placements compatible with care responsibilities, and to being asked.</w:t>
        </w:r>
      </w:ins>
    </w:p>
    <w:p>
      <w:pPr>
        <w:pStyle w:val="Heading3"/>
        <w:keepNext/>
        <w:rPr>
          <w:ins w:id="9248" w:author="Claude" w:date="2026-10-05T13:25:41Z"/>
        </w:rPr>
      </w:pPr>
      <w:ins w:id="9249" w:author="Claude" w:date="2026-10-05T13:25:41Z">
        <w:r>
          <w:t xml:space="preserve">Accountability and regulation</w:t>
        </w:r>
      </w:ins>
    </w:p>
    <w:p>
      <w:pPr>
        <w:spacing w:after="130" w:line="242" w:lineRule="auto"/>
        <w:jc w:val="both"/>
        <w:rPr>
          <w:ins w:id="9250" w:author="Claude" w:date="2026-10-05T13:25:41Z"/>
        </w:rPr>
      </w:pPr>
      <w:ins w:id="9251" w:author="Claude" w:date="2026-10-05T13:25:41Z">
        <w:r>
          <w:t xml:space="preserve">Evaluation and inspection add to the burden more than they drive teachers out. Accountability and regulation group the motives related to external evaluation and to licensing rules. Teacher evaluation can be internal, carried out by the school's own leadership, or external, carried out by a public body, usually an inspectorate. Internal evaluation is common: 64% of teachers across the OECD work in schools where the principal evaluates every teacher at least once a year, most often through classroom observation (OECD, 2020). What teachers resent is the time these obligations take and the little they get in return. Nearly half report that evaluation in their school is carried out merely to fulfil administrative requirements, without feedback they can use, and 54% that mandatory training competes with their working schedule (OECD, 2020). External inspection weighs more where its consequences are high. In England, a lower inspection judgement raises departures from the school in the following year (Sims, 2016), and teachers name inspection among their reasons for leaving the profession (Perryman et al., 2025).</w:t>
        </w:r>
      </w:ins>
    </w:p>
    <w:p>
      <w:pPr>
        <w:spacing w:after="130" w:line="242" w:lineRule="auto"/>
        <w:jc w:val="both"/>
        <w:rPr>
          <w:ins w:id="9252" w:author="Claude" w:date="2026-10-05T13:25:41Z"/>
        </w:rPr>
      </w:pPr>
      <w:ins w:id="9253" w:author="Claude" w:date="2026-10-05T13:25:41Z">
        <w:r>
          <w:t xml:space="preserve">Licensing rules matter less for leaving than for coming back. Keeping a licence valid requires periodic training, from 8 hours a year in Luxembourg to 35 in Scotland (European Commission/EACEA/Eurydice, 2021), or a minimum amount of teaching, such as 20 days a year in Australia or two years of classroom practice in New Zealand (Victorian Institute of Teaching, 2025; Teaching Council of Aotearoa New Zealand, 2016). For fully qualified teachers these obligations rarely drive departures. They weigh on teachers who entered without full certification, who leave at higher rates (Redding and Smith, 2016), and above all on those who consider returning after their licence has lapsed.</w:t>
        </w:r>
      </w:ins>
    </w:p>
    <w:p>
      <w:pPr>
        <w:spacing w:after="130" w:line="242" w:lineRule="auto"/>
        <w:jc w:val="both"/>
        <w:rPr>
          <w:ins w:id="9254" w:author="Claude" w:date="2026-10-05T13:25:41Z"/>
        </w:rPr>
      </w:pPr>
      <w:ins w:id="9255" w:author="Claude" w:date="2026-10-05T13:25:41Z">
        <w:r>
          <w:t xml:space="preserve">Overall, this area ranks below the others as a determinant of leaving. Test-based accountability raises stress and intentions to leave (Ryan et al., 2017), but its weight is small next to commitment, burnout and job satisfaction (Gundlach, Slemp and Hattie, 2024). The lesson for re-entry policies is nonetheless direct and concerns all three profiles. A lapsed licence must be renewed, the cost and complexity of doing so deter return and reduce retention once back, and re-certification should therefore be as light as its regulatory purpose allows.</w:t>
        </w:r>
      </w:ins>
    </w:p>
    <w:p>
      <w:pPr>
        <w:spacing w:after="130" w:line="242" w:lineRule="auto"/>
        <w:jc w:val="both"/>
        <w:rPr>
          <w:ins w:id="9256" w:author="Claude" w:date="2026-10-05T13:25:41Z"/>
        </w:rPr>
      </w:pPr>
      <w:ins w:id="9257" w:author="Claude" w:date="2026-10-05T13:25:41Z">
        <w:r>
          <w:t xml:space="preserve">Taken together, the evidence points to the school rather than to pay or regulation as the main reason teachers leave. Not all these motives have been studied with the same intensity, and their relative importance cannot be compared perfectly across studies. The best basis for doing so comes from the two meta-analyses used throughout this section. Nguyen et al. (2020) pool 120 studies of observed turnover in the United States, while Gundlach, Slemp and Hattie (2024) pool 3 430 coefficients on close to 70 antecedents and estimate attrition, migration and retention separately, for intentions as well as for observed behaviour. Both count every departure from the school, so they combine teachers who leave the profession with teachers who move between schools. Both identify working conditions and the organisational features of the school as the most consistent determinants of leaving, above financial incentives, accountability and personal characteristics. Teachers exposed to high workload, stress and weak organisational support are substantially more likely to leave, while pay and regulation, although relevant, have smaller effects. This does not make personal motives secondary for every teacher. It means that the conditions under which teaching takes place are the main institutional margin through which systems can influence retention.</w:t>
        </w:r>
      </w:ins>
    </w:p>
    <w:p>
      <w:pPr>
        <w:spacing w:after="130" w:line="242" w:lineRule="auto"/>
        <w:jc w:val="both"/>
        <w:rPr>
          <w:ins w:id="9258" w:author="Claude" w:date="2026-10-05T13:25:41Z"/>
        </w:rPr>
      </w:pPr>
      <w:ins w:id="9259" w:author="Claude" w:date="2026-10-05T13:25:41Z">
        <w:r>
          <w:t xml:space="preserve">For re-entry policies, the implication is that bringing a teacher back is not enough. A teacher who returns to the conditions under which they left risks making the same decision again, since the school climate and leadership that predict the first departure predict the next one (Sims and Jerrim, 2020; Kraft, Marinell and Shen-Wei Yee, 2016). How much this applies depends on the role in which former teachers return. A retired teacher who comes back as a mentor or a tutor for a few hours a week is exposed to few of the conditions that drive departures, whereas a leaver who returns to a full classroom load in a hard-to-staff school is exposed to all of them. Re-entry policies should therefore be understood not only as a way to reduce the cost of returning, but as an opportunity to improve the match between teachers and schools: a manageable load, supportive leadership and colleagues, adequate classroom conditions and, where the exit was personal, the flexibility to combine teaching with family responsibilities. The relevant question is not simply how to make former teachers return, but whether the system can offer them a different set of conditions once they do. Box 1 summarises what each area teaches for that purpose.</w:t>
        </w:r>
      </w:ins>
    </w:p>
    <w:p>
      <w:pPr>
        <w:spacing w:after="0"/>
        <w:rPr>
          <w:ins w:id="9332" w:author="Claude" w:date="2026-10-05T13:25:41Z"/>
        </w:rPr>
      </w:pPr>
    </w:p>
    <w:tbl>
      <w:tblPr>
        <w:tblW w:w="5000" w:type="pct"/>
        <w:tblBorders>
          <w:top w:val="single" w:sz="12" w:space="0" w:color="1F4D78"/>
          <w:left w:val="nil"/>
          <w:bottom w:val="single" w:sz="12" w:space="0" w:color="1F4D78"/>
          <w:right w:val="nil"/>
        </w:tblBorders>
        <w:tblCellMar>
          <w:top w:w="120" w:type="dxa"/>
          <w:left w:w="200" w:type="dxa"/>
          <w:bottom w:w="120" w:type="dxa"/>
          <w:right w:w="200" w:type="dxa"/>
        </w:tblCellMar>
        <w:tblLook w:val="0000"/>
      </w:tblPr>
      <w:tblGrid>
        <w:gridCol w:w="9062"/>
      </w:tblGrid>
      <w:tr>
        <w:trPr>
          <w:cantSplit/>
          <w:ins w:id="9278" w:author="Claude" w:date="2026-10-05T13:25:41Z"/>
        </w:trPr>
        <w:tc>
          <w:tcPr>
            <w:tcW w:w="5000" w:type="pct"/>
            <w:shd w:val="clear" w:color="auto" w:fill="E8EEF4"/>
          </w:tcPr>
          <w:p>
            <w:pPr>
              <w:keepNext/>
              <w:spacing w:before="60" w:after="120"/>
              <w:rPr>
                <w:ins w:id="9260" w:author="Claude" w:date="2026-10-05T13:25:41Z"/>
              </w:rPr>
            </w:pPr>
            <w:ins w:id="9261" w:author="Claude" w:date="2026-10-05T13:25:41Z">
              <w:r>
                <w:rPr>
                  <w:b/>
                  <w:bCs/>
                  <w:color w:val="1F4D78"/>
                  <w:sz w:val="24"/>
                  <w:szCs w:val="24"/>
                </w:rPr>
                <w:t xml:space="preserve">Box 1. What the reasons for leaving teach us about re-attracting former teachers</w:t>
              </w:r>
            </w:ins>
          </w:p>
          <w:p>
            <w:pPr>
              <w:spacing w:before="0" w:after="100" w:line="240" w:lineRule="auto"/>
              <w:jc w:val="both"/>
              <w:rPr>
                <w:ins w:id="9262" w:author="Claude" w:date="2026-10-05T13:25:41Z"/>
              </w:rPr>
            </w:pPr>
            <w:ins w:id="9263" w:author="Claude" w:date="2026-10-05T13:25:41Z">
              <w:r>
                <w:rPr>
                  <w:sz w:val="21"/>
                  <w:szCs w:val="21"/>
                </w:rPr>
                <w:t xml:space="preserve">Each reason for leaving points to a profile of former teachers and to a lever for bringing them back.</w:t>
              </w:r>
            </w:ins>
          </w:p>
          <w:p>
            <w:pPr>
              <w:spacing w:before="0" w:after="100" w:line="240" w:lineRule="auto"/>
              <w:jc w:val="both"/>
              <w:rPr>
                <w:ins w:id="9264" w:author="Claude" w:date="2026-10-05T13:25:41Z"/>
              </w:rPr>
            </w:pPr>
            <w:ins w:id="9265" w:author="Claude" w:date="2026-10-05T13:25:41Z">
              <w:r>
                <w:rPr>
                  <w:b/>
                  <w:bCs/>
                  <w:sz w:val="21"/>
                  <w:szCs w:val="21"/>
                </w:rPr>
                <w:t xml:space="preserve">Working conditions. </w:t>
              </w:r>
              <w:r>
                <w:rPr>
                  <w:i/>
                  <w:iCs/>
                  <w:sz w:val="21"/>
                  <w:szCs w:val="21"/>
                </w:rPr>
                <w:t xml:space="preserve">Switchers and leavers. </w:t>
              </w:r>
              <w:r>
                <w:rPr>
                  <w:sz w:val="21"/>
                  <w:szCs w:val="21"/>
                </w:rPr>
                <w:t xml:space="preserve">What drives departures is the climate of the classroom more than the hours worked. Because shortages concentrate in the schools where that climate is worst, a returner placed there on the strength of an incentive alone is likely to leave again. The school a returner is placed in and the teaching load they are offered are part of the policy.</w:t>
              </w:r>
            </w:ins>
          </w:p>
          <w:p>
            <w:pPr>
              <w:spacing w:before="0" w:after="100" w:line="240" w:lineRule="auto"/>
              <w:jc w:val="both"/>
              <w:rPr>
                <w:ins w:id="9266" w:author="Claude" w:date="2026-10-05T13:25:41Z"/>
              </w:rPr>
            </w:pPr>
            <w:ins w:id="9267" w:author="Claude" w:date="2026-10-05T13:25:41Z">
              <w:r>
                <w:rPr>
                  <w:b/>
                  <w:bCs/>
                  <w:sz w:val="21"/>
                  <w:szCs w:val="21"/>
                </w:rPr>
                <w:t xml:space="preserve">Organisational factors. </w:t>
              </w:r>
              <w:r>
                <w:rPr>
                  <w:i/>
                  <w:iCs/>
                  <w:sz w:val="21"/>
                  <w:szCs w:val="21"/>
                </w:rPr>
                <w:t xml:space="preserve">All profiles. </w:t>
              </w:r>
              <w:r>
                <w:rPr>
                  <w:sz w:val="21"/>
                  <w:szCs w:val="21"/>
                </w:rPr>
                <w:t xml:space="preserve">Supportive leadership and collegial support are the most consistent predictors of staying, so returners should go to schools where they exist. Retired teachers can also supply what is missing: only one in four novice teachers has a mentor, and mentoring is the organisational lever with the clearest effect on early-career retention.</w:t>
              </w:r>
            </w:ins>
          </w:p>
          <w:p>
            <w:pPr>
              <w:spacing w:before="0" w:after="100" w:line="240" w:lineRule="auto"/>
              <w:jc w:val="both"/>
              <w:rPr>
                <w:ins w:id="9268" w:author="Claude" w:date="2026-10-05T13:25:41Z"/>
              </w:rPr>
            </w:pPr>
            <w:ins w:id="9269" w:author="Claude" w:date="2026-10-05T13:25:41Z">
              <w:r>
                <w:rPr>
                  <w:b/>
                  <w:bCs/>
                  <w:sz w:val="21"/>
                  <w:szCs w:val="21"/>
                </w:rPr>
                <w:t xml:space="preserve">Financial factors. </w:t>
              </w:r>
              <w:r>
                <w:rPr>
                  <w:i/>
                  <w:iCs/>
                  <w:sz w:val="21"/>
                  <w:szCs w:val="21"/>
                </w:rPr>
                <w:t xml:space="preserve">Switchers and retired teachers. </w:t>
              </w:r>
              <w:r>
                <w:rPr>
                  <w:sz w:val="21"/>
                  <w:szCs w:val="21"/>
                </w:rPr>
                <w:t xml:space="preserve">Pay brings teachers back and keeps them only for as long as it is paid. For retired teachers the binding constraint is not the salary but the pension rules that penalise working after retirement; removing those penalties costs little and acts directly on the largest reserve of experienced teachers.</w:t>
              </w:r>
            </w:ins>
          </w:p>
          <w:p>
            <w:pPr>
              <w:spacing w:before="0" w:after="100" w:line="240" w:lineRule="auto"/>
              <w:jc w:val="both"/>
              <w:rPr>
                <w:ins w:id="9270" w:author="Claude" w:date="2026-10-05T13:25:41Z"/>
              </w:rPr>
            </w:pPr>
            <w:ins w:id="9271" w:author="Claude" w:date="2026-10-05T13:25:41Z">
              <w:r>
                <w:rPr>
                  <w:b/>
                  <w:bCs/>
                  <w:sz w:val="21"/>
                  <w:szCs w:val="21"/>
                </w:rPr>
                <w:t xml:space="preserve">Professional factors. </w:t>
              </w:r>
              <w:r>
                <w:rPr>
                  <w:i/>
                  <w:iCs/>
                  <w:sz w:val="21"/>
                  <w:szCs w:val="21"/>
                </w:rPr>
                <w:t xml:space="preserve">Mainly switchers. </w:t>
              </w:r>
              <w:r>
                <w:rPr>
                  <w:sz w:val="21"/>
                  <w:szCs w:val="21"/>
                </w:rPr>
                <w:t xml:space="preserve">Those who leave for another job rate it above teaching in autonomy, influence and standing, more than in pay. Bringing them back means recognising their previous service, offering roles that use their experience and giving them a say in decisions about their own work.</w:t>
              </w:r>
            </w:ins>
          </w:p>
          <w:p>
            <w:pPr>
              <w:spacing w:before="0" w:after="100" w:line="240" w:lineRule="auto"/>
              <w:jc w:val="both"/>
              <w:rPr>
                <w:ins w:id="9272" w:author="Claude" w:date="2026-10-05T13:25:41Z"/>
              </w:rPr>
            </w:pPr>
            <w:ins w:id="9273" w:author="Claude" w:date="2026-10-05T13:25:41Z">
              <w:r>
                <w:rPr>
                  <w:b/>
                  <w:bCs/>
                  <w:sz w:val="21"/>
                  <w:szCs w:val="21"/>
                </w:rPr>
                <w:t xml:space="preserve">Personal and life-course factors. </w:t>
              </w:r>
              <w:r>
                <w:rPr>
                  <w:i/>
                  <w:iCs/>
                  <w:sz w:val="21"/>
                  <w:szCs w:val="21"/>
                </w:rPr>
                <w:t xml:space="preserve">Mainly leavers. </w:t>
              </w:r>
              <w:r>
                <w:rPr>
                  <w:sz w:val="21"/>
                  <w:szCs w:val="21"/>
                </w:rPr>
                <w:t xml:space="preserve">Those who left over a birth, care or health did not leave over the school, and the constraint often eases with time. Yet they no longer return on their own: only about one in five does. They respond to flexibility, through part-time and phased returns, predictable timetables and placements compatible with care, and to being asked.</w:t>
              </w:r>
            </w:ins>
          </w:p>
          <w:p>
            <w:pPr>
              <w:spacing w:before="0" w:after="100" w:line="240" w:lineRule="auto"/>
              <w:jc w:val="both"/>
              <w:rPr>
                <w:ins w:id="9274" w:author="Claude" w:date="2026-10-05T13:25:41Z"/>
              </w:rPr>
            </w:pPr>
            <w:ins w:id="9275" w:author="Claude" w:date="2026-10-05T13:25:41Z">
              <w:r>
                <w:rPr>
                  <w:b/>
                  <w:bCs/>
                  <w:sz w:val="21"/>
                  <w:szCs w:val="21"/>
                </w:rPr>
                <w:t xml:space="preserve">Accountability and regulation. </w:t>
              </w:r>
              <w:r>
                <w:rPr>
                  <w:i/>
                  <w:iCs/>
                  <w:sz w:val="21"/>
                  <w:szCs w:val="21"/>
                </w:rPr>
                <w:t xml:space="preserve">Minor as a reason for leaving, decisive for re-entry. </w:t>
              </w:r>
              <w:r>
                <w:rPr>
                  <w:sz w:val="21"/>
                  <w:szCs w:val="21"/>
                </w:rPr>
                <w:t xml:space="preserve">Licensing and training obligations rarely drive qualified teachers out, but a lapsed licence must be renewed, and the cost and complexity of doing so deter those considering a return. Re-certification should be as light as its purpose allows.</w:t>
              </w:r>
            </w:ins>
          </w:p>
          <w:p>
            <w:pPr>
              <w:spacing w:before="0" w:after="60" w:line="240" w:lineRule="auto"/>
              <w:jc w:val="both"/>
              <w:rPr>
                <w:ins w:id="9276" w:author="Claude" w:date="2026-10-05T13:25:41Z"/>
              </w:rPr>
            </w:pPr>
            <w:ins w:id="9277" w:author="Claude" w:date="2026-10-05T13:25:41Z">
              <w:r>
                <w:rPr>
                  <w:b/>
                  <w:bCs/>
                  <w:sz w:val="21"/>
                  <w:szCs w:val="21"/>
                </w:rPr>
                <w:t xml:space="preserve">Overall. </w:t>
              </w:r>
              <w:r>
                <w:rPr>
                  <w:sz w:val="21"/>
                  <w:szCs w:val="21"/>
                </w:rPr>
                <w:t xml:space="preserve">Working conditions and the organisation of the school outweigh pay, regulation and personal characteristics as reasons for leaving. The lesson for re-entry is that the conditions a former teacher returns to matter as much as the incentive that brings them back, and that a policy driven only by shortages, which places returners in the hardest schools, risks reproducing the first departure.</w:t>
              </w:r>
            </w:ins>
          </w:p>
        </w:tc>
      </w:tr>
    </w:tbl>
    <w:p>
      <w:pPr>
        <w:spacing w:after="0"/>
        <w:rPr>
          <w:ins w:id="9333" w:author="Claude" w:date="2026-10-05T13:25:41Z"/>
        </w:rPr>
      </w:pPr>
    </w:p>
    <w:p w14:paraId="60439B55" w14:textId="77777777" w:rsidR="00D80668" w:rsidRDefault="00D80668">
      <w:pPr>
        <w:spacing w:after="130" w:line="242" w:lineRule="auto"/>
        <w:jc w:val="both"/>
      </w:pPr>
    </w:p>
    <w:p w14:paraId="5C0C8892" w14:textId="77777777" w:rsidR="00F40E91" w:rsidRDefault="00A42790">
      <w:pPr>
        <w:pStyle w:val="Heading1"/>
        <w:pageBreakBefore/>
        <w:spacing w:after="220"/>
      </w:pPr>
      <w:bookmarkStart w:id="61" w:name="_Toc239235958"/>
      <w:r>
        <w:rPr>
          <w:b/>
          <w:bCs/>
          <w:color w:val="04629A"/>
          <w:sz w:val="30"/>
          <w:szCs w:val="30"/>
        </w:rPr>
        <w:lastRenderedPageBreak/>
        <w:t>3. The policies</w:t>
      </w:r>
      <w:bookmarkEnd w:id="61"/>
    </w:p>
    <w:p w14:paraId="67E040FF" w14:textId="77777777" w:rsidR="00F40E91" w:rsidRPr="008D1818" w:rsidRDefault="00A42790">
      <w:pPr>
        <w:spacing w:after="130" w:line="242" w:lineRule="auto"/>
        <w:jc w:val="both"/>
        <w:rPr>
          <w:color w:val="FF0000"/>
        </w:rPr>
      </w:pPr>
      <w:r>
        <w:rPr>
          <w:color w:val="FF0000"/>
        </w:rPr>
        <w:t>My proposed labeling/characterization of initiatives and policies is the following:</w:t>
      </w:r>
    </w:p>
    <w:p w14:paraId="212A6F6C" w14:textId="26100A4F" w:rsidR="00F40E91" w:rsidRPr="00012E3D" w:rsidRDefault="00A42790" w:rsidP="008D1818">
      <w:pPr>
        <w:pStyle w:val="ListParagraph"/>
        <w:numPr>
          <w:ilvl w:val="0"/>
          <w:numId w:val="2"/>
        </w:numPr>
        <w:spacing w:after="70"/>
        <w:rPr>
          <w:color w:val="FF0000"/>
          <w:highlight w:val="yellow"/>
        </w:rPr>
      </w:pPr>
      <w:r>
        <w:rPr>
          <w:color w:val="FF0000"/>
          <w:sz w:val="20"/>
          <w:szCs w:val="20"/>
          <w:highlight w:val="yellow"/>
        </w:rPr>
        <w:t>Regulatory / legal</w:t>
      </w:r>
    </w:p>
    <w:p w14:paraId="74015494" w14:textId="42169EC6" w:rsidR="00F40E91" w:rsidRPr="008D1818" w:rsidRDefault="00A42790" w:rsidP="008D1818">
      <w:pPr>
        <w:pStyle w:val="ListParagraph"/>
        <w:numPr>
          <w:ilvl w:val="0"/>
          <w:numId w:val="2"/>
        </w:numPr>
        <w:spacing w:after="70"/>
        <w:rPr>
          <w:color w:val="FF0000"/>
        </w:rPr>
      </w:pPr>
      <w:r>
        <w:rPr>
          <w:color w:val="FF0000"/>
          <w:sz w:val="20"/>
          <w:szCs w:val="20"/>
        </w:rPr>
        <w:t>Financial incentives</w:t>
      </w:r>
    </w:p>
    <w:p w14:paraId="7216A381" w14:textId="6BBB15B6" w:rsidR="00F40E91" w:rsidRPr="008D1818" w:rsidRDefault="00A42790" w:rsidP="008D1818">
      <w:pPr>
        <w:pStyle w:val="ListParagraph"/>
        <w:numPr>
          <w:ilvl w:val="0"/>
          <w:numId w:val="2"/>
        </w:numPr>
        <w:spacing w:after="70"/>
        <w:rPr>
          <w:color w:val="FF0000"/>
        </w:rPr>
      </w:pPr>
      <w:r>
        <w:rPr>
          <w:color w:val="FF0000"/>
          <w:sz w:val="20"/>
          <w:szCs w:val="20"/>
        </w:rPr>
        <w:t>Information &amp; nudges</w:t>
      </w:r>
    </w:p>
    <w:p w14:paraId="698B81E0" w14:textId="08ABF52F" w:rsidR="00F40E91" w:rsidRPr="008D1818" w:rsidRDefault="00A42790" w:rsidP="008D1818">
      <w:pPr>
        <w:pStyle w:val="ListParagraph"/>
        <w:numPr>
          <w:ilvl w:val="0"/>
          <w:numId w:val="2"/>
        </w:numPr>
        <w:spacing w:after="70"/>
        <w:rPr>
          <w:color w:val="FF0000"/>
        </w:rPr>
      </w:pPr>
      <w:r>
        <w:rPr>
          <w:color w:val="FF0000"/>
          <w:sz w:val="20"/>
          <w:szCs w:val="20"/>
        </w:rPr>
        <w:t>Support &amp; training</w:t>
      </w:r>
    </w:p>
    <w:p w14:paraId="3DF1A8F8" w14:textId="77777777" w:rsidR="008D1818" w:rsidRPr="008D1818" w:rsidRDefault="00A42790" w:rsidP="008D1818">
      <w:pPr>
        <w:pStyle w:val="ListParagraph"/>
        <w:numPr>
          <w:ilvl w:val="0"/>
          <w:numId w:val="2"/>
        </w:numPr>
        <w:spacing w:after="70"/>
        <w:rPr>
          <w:color w:val="FF0000"/>
        </w:rPr>
      </w:pPr>
      <w:r>
        <w:rPr>
          <w:color w:val="FF0000"/>
          <w:sz w:val="20"/>
          <w:szCs w:val="20"/>
        </w:rPr>
        <w:t>Flexible positions</w:t>
      </w:r>
    </w:p>
    <w:p w14:paraId="7B17B1F5" w14:textId="61636A4B" w:rsidR="00F40E91" w:rsidRPr="008D1818" w:rsidRDefault="00A42790" w:rsidP="008D1818">
      <w:pPr>
        <w:pStyle w:val="ListParagraph"/>
        <w:numPr>
          <w:ilvl w:val="0"/>
          <w:numId w:val="2"/>
        </w:numPr>
        <w:spacing w:after="70"/>
        <w:rPr>
          <w:color w:val="FF0000"/>
        </w:rPr>
      </w:pPr>
      <w:r>
        <w:rPr>
          <w:color w:val="FF0000"/>
          <w:sz w:val="20"/>
          <w:szCs w:val="20"/>
        </w:rPr>
        <w:t>Flexible re-certification</w:t>
      </w:r>
    </w:p>
    <w:p w14:paraId="57130E3F" w14:textId="77777777" w:rsidR="00F40E91" w:rsidRDefault="00A42790">
      <w:pPr>
        <w:pStyle w:val="Heading1"/>
        <w:pageBreakBefore/>
        <w:spacing w:after="220"/>
      </w:pPr>
      <w:bookmarkStart w:id="62" w:name="_Toc239235959"/>
      <w:r>
        <w:rPr>
          <w:b/>
          <w:bCs/>
          <w:color w:val="04629A"/>
          <w:sz w:val="30"/>
          <w:szCs w:val="30"/>
        </w:rPr>
        <w:lastRenderedPageBreak/>
        <w:t>4. Conclusions</w:t>
      </w:r>
      <w:bookmarkEnd w:id="62"/>
    </w:p>
    <w:p w14:paraId="111665AD" w14:textId="77777777" w:rsidR="00F40E91" w:rsidRDefault="00A42790">
      <w:pPr>
        <w:pStyle w:val="Heading2"/>
        <w:spacing w:before="200" w:after="120"/>
      </w:pPr>
      <w:bookmarkStart w:id="63" w:name="_Toc239235960"/>
      <w:r>
        <w:rPr>
          <w:b/>
          <w:bCs/>
          <w:color w:val="04629A"/>
          <w:sz w:val="25"/>
          <w:szCs w:val="25"/>
        </w:rPr>
        <w:t>References</w:t>
      </w:r>
      <w:bookmarkEnd w:id="63"/>
    </w:p>
    <w:p w14:paraId="234748B5" w14:textId="77777777" w:rsidR="00F40E91" w:rsidRDefault="00A42790">
      <w:pPr>
        <w:spacing w:after="70"/>
        <w:ind w:left="280" w:hanging="280"/>
      </w:pPr>
      <w:r>
        <w:rPr>
          <w:sz w:val="20"/>
          <w:szCs w:val="20"/>
        </w:rPr>
        <w:t>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p>
    <w:p w14:paraId="00BD1DB3" w14:textId="77777777" w:rsidR="00F40E91" w:rsidRDefault="00A42790">
      <w:pPr>
        <w:spacing w:after="70"/>
        <w:ind w:left="280" w:hanging="280"/>
      </w:pPr>
      <w:r>
        <w:rPr>
          <w:sz w:val="20"/>
          <w:szCs w:val="20"/>
        </w:rPr>
        <w:t>Adnot, M., T. Dee, V. Katz and J. Wyckoff (2017), "Teacher turnover, teacher quality, and student achievement in DCPS", *Educational Evaluation and Policy Analysis*, Vol. 39/1, pp. 54-76, https://doi.org/10.3102/0162373716663646.</w:t>
      </w:r>
    </w:p>
    <w:p w14:paraId="72291C9D" w14:textId="77777777" w:rsidR="00F40E91" w:rsidRDefault="00A42790">
      <w:pPr>
        <w:spacing w:after="70"/>
        <w:ind w:left="280" w:hanging="280"/>
      </w:pPr>
      <w:r>
        <w:rPr>
          <w:sz w:val="20"/>
          <w:szCs w:val="20"/>
        </w:rPr>
        <w:t>AE (2024), *Mange nye folkeskolelærere forlader folkeskolen på få år*, Arbejderbevægelsens Erhvervsråd, Copenhagen, https://www.ae.dk/analyse/2024-06-mange-nye-folkeskolelaerere-forlader-folkeskolen-paa-faa-aar.</w:t>
      </w:r>
    </w:p>
    <w:p w14:paraId="2E3BA2E8" w14:textId="77777777" w:rsidR="00F40E91" w:rsidRDefault="00A42790">
      <w:pPr>
        <w:spacing w:after="70"/>
        <w:ind w:left="280" w:hanging="280"/>
      </w:pPr>
      <w:r>
        <w:rPr>
          <w:sz w:val="20"/>
          <w:szCs w:val="20"/>
        </w:rPr>
        <w:t>Aldeman, C. and S. Yi (2025), "Are teachers abandoning teaching? Data show teacher turnover remains low", *Education Next*, 18 December 2025, https://www.educationnext.org/are-teachers-abandoning-teaching-data-show-teacher-turnover-remains-low/.</w:t>
      </w:r>
    </w:p>
    <w:p w14:paraId="40E564A4" w14:textId="77777777" w:rsidR="00F40E91" w:rsidRPr="00F15A52" w:rsidRDefault="00A42790">
      <w:pPr>
        <w:spacing w:after="70"/>
        <w:ind w:left="280" w:hanging="280"/>
        <w:rPr>
          <w:lang w:val="fr-FR"/>
        </w:rPr>
      </w:pPr>
      <w:r>
        <w:rPr>
          <w:sz w:val="20"/>
          <w:szCs w:val="20"/>
          <w:lang w:val="fr-FR"/>
        </w:rPr>
        <w:t>Baraton, M., M. Beffy and D. Fougère (2011), "Une évaluation de l'effet de la réforme de 2003 sur les départs en retraite : Le cas des enseignants du second degré public", *Économie et Statistique*, No. 441-442, pp. 55-78, https://doi.org/10.3406/estat.2011.9615.</w:t>
      </w:r>
    </w:p>
    <w:p>
      <w:pPr>
        <w:spacing w:after="70"/>
        <w:ind w:left="280" w:hanging="280"/>
        <w:rPr>
          <w:ins w:id="9334" w:author="Claude" w:date="2026-10-05T13:25:41Z"/>
        </w:rPr>
      </w:pPr>
      <w:ins w:id="9335" w:author="Claude" w:date="2026-10-05T13:25:41Z">
        <w:r>
          <w:rPr>
            <w:sz w:val="20"/>
            <w:szCs w:val="20"/>
          </w:rPr>
          <w:t xml:space="preserve">Béteille, T., D. Kalogrides and S. Loeb (2012), "Stepping stones: Principal career paths and school outcomes", </w:t>
        </w:r>
        <w:r>
          <w:rPr>
            <w:i/>
            <w:iCs/>
            <w:sz w:val="20"/>
            <w:szCs w:val="20"/>
          </w:rPr>
          <w:t xml:space="preserve">Social Science Research</w:t>
        </w:r>
        <w:r>
          <w:rPr>
            <w:sz w:val="20"/>
            <w:szCs w:val="20"/>
          </w:rPr>
          <w:t xml:space="preserve">, Vol. 41/4, pp. 904-919, https://doi.org/10.1016/j.ssresearch.2012.03.003.</w:t>
        </w:r>
      </w:ins>
    </w:p>
    <w:p w14:paraId="3B52B08F" w14:textId="77777777" w:rsidR="00F40E91" w:rsidRDefault="00A42790">
      <w:pPr>
        <w:spacing w:after="70"/>
        <w:ind w:left="280" w:hanging="280"/>
      </w:pPr>
      <w:r>
        <w:rPr>
          <w:sz w:val="20"/>
          <w:szCs w:val="20"/>
        </w:rPr>
        <w:t>Björnsdóttir, A. and B. Hansen (2024), study of teacher retention and departure in Iceland using Statistics Iceland register data 1998-2020, *Netla — Veftímarit um uppeldi og menntun*, Reykjavik. [Full bibliographic details to be completed before publication.]</w:t>
      </w:r>
    </w:p>
    <w:p w14:paraId="6E4C34A4" w14:textId="77777777" w:rsidR="00F40E91" w:rsidRDefault="00A42790">
      <w:pPr>
        <w:spacing w:after="70"/>
        <w:ind w:left="280" w:hanging="280"/>
      </w:pPr>
      <w:r>
        <w:rPr>
          <w:sz w:val="20"/>
          <w:szCs w:val="20"/>
        </w:rPr>
        <w:t>Boyd, D. et al. (2011), "The influence of school administrators on teacher retention decisions", *American Educational Research Journal*, Vol. 48/2, pp. 303-333, https://doi.org/10.3102/0002831210380788.</w:t>
      </w:r>
    </w:p>
    <w:p w14:paraId="7C8C577C" w14:textId="77777777" w:rsidR="00F40E91" w:rsidRDefault="00A42790">
      <w:pPr>
        <w:spacing w:after="70"/>
        <w:ind w:left="280" w:hanging="280"/>
      </w:pPr>
      <w:r>
        <w:rPr>
          <w:sz w:val="20"/>
          <w:szCs w:val="20"/>
        </w:rPr>
        <w:t>Brandenburg, R. et al. (2024), "'I left the teaching profession... and this is what I am doing now': A national study of teacher attrition", *The Australian Educational Researcher*, Vol. 51, pp. 2381-2400, https://doi.org/10.1007/s13384-024-00697-1.</w:t>
      </w:r>
    </w:p>
    <w:p w14:paraId="2F051D12" w14:textId="77777777" w:rsidR="00F40E91" w:rsidRDefault="00A42790">
      <w:pPr>
        <w:spacing w:after="70"/>
        <w:ind w:left="280" w:hanging="280"/>
      </w:pPr>
      <w:r>
        <w:rPr>
          <w:sz w:val="20"/>
          <w:szCs w:val="20"/>
        </w:rPr>
        <w:t>Brummet, Q., E. K. Penner, N. Pharris-Ciurej and S. R. Porter (2024), "The earnings and labor market trajectories of teachers who leave the profession", *Educational Evaluation and Policy Analysis*, Vol. 47/2, pp. 503-531, https://doi.org/10.3102/01623737241227906.</w:t>
      </w:r>
    </w:p>
    <w:p w14:paraId="7238FA1A" w14:textId="77777777" w:rsidR="00F40E91" w:rsidRDefault="00A42790">
      <w:pPr>
        <w:spacing w:after="70"/>
        <w:ind w:left="280" w:hanging="280"/>
      </w:pPr>
      <w:r>
        <w:rPr>
          <w:sz w:val="20"/>
          <w:szCs w:val="20"/>
        </w:rPr>
        <w:t>Buckley, J. and S. Griselda (2025), *Who Stays, Who Goes? A New Look at Teacher Attrition Using Administrative Data*, e61 Institute Research Note, Sydney, https://e61.in/who-stays-who-goes-a-new-look-at-teacher-attrition-using-administrative-data/.</w:t>
      </w:r>
    </w:p>
    <w:p w14:paraId="0EDFAAFD" w14:textId="77777777" w:rsidR="00F40E91" w:rsidRDefault="00A42790">
      <w:pPr>
        <w:spacing w:after="70"/>
        <w:ind w:left="280" w:hanging="280"/>
      </w:pPr>
      <w:r>
        <w:rPr>
          <w:sz w:val="20"/>
          <w:szCs w:val="20"/>
        </w:rPr>
        <w:t>Carver-Thomas, D. and L. Darling-Hammond (2019), "The trouble with teacher turnover: How teacher attrition affects students and schools", *Education Policy Analysis Archives*, Vol. 27/36, https://doi.org/10.14507/epaa.27.3699.</w:t>
      </w:r>
    </w:p>
    <w:p w14:paraId="35AF62FC" w14:textId="77777777" w:rsidR="00F40E91" w:rsidRDefault="00A42790">
      <w:pPr>
        <w:spacing w:after="70"/>
        <w:ind w:left="280" w:hanging="280"/>
      </w:pPr>
      <w:r>
        <w:rPr>
          <w:sz w:val="20"/>
          <w:szCs w:val="20"/>
        </w:rPr>
        <w:t>CBS (2023), *Werken in het onderwijs: Deeltijd en voltijd*, Centraal Bureau voor de Statistiek, The Hague, https://www.cbs.nl/.</w:t>
      </w:r>
    </w:p>
    <w:p w14:paraId="2475246E" w14:textId="77777777" w:rsidR="00F40E91" w:rsidRDefault="00A42790">
      <w:pPr>
        <w:spacing w:after="70"/>
        <w:ind w:left="280" w:hanging="280"/>
      </w:pPr>
      <w:r>
        <w:rPr>
          <w:sz w:val="20"/>
          <w:szCs w:val="20"/>
        </w:rPr>
        <w:t>CBS Israel (2023), *Teaching Staff Leaving the Education System*, Central Bureau of Statistics, Jerusalem, https://www.cbs.gov.il/. [Full bibliographic details to be completed before publication.]</w:t>
      </w:r>
    </w:p>
    <w:p w14:paraId="3D03635B" w14:textId="77777777" w:rsidR="00F40E91" w:rsidRDefault="00A42790">
      <w:pPr>
        <w:spacing w:after="70"/>
        <w:ind w:left="280" w:hanging="280"/>
      </w:pPr>
      <w:r>
        <w:rPr>
          <w:sz w:val="20"/>
          <w:szCs w:val="20"/>
        </w:rPr>
        <w:t>Chingos, M. M. and M. R. West (2012), "Do more effective teachers earn more outside the classroom?", *Education Finance and Policy*, Vol. 7/1, pp. 8-43, https://doi.org/10.1162/EDFP_a_00052.</w:t>
      </w:r>
    </w:p>
    <w:p w14:paraId="46077A44" w14:textId="77777777" w:rsidR="00F40E91" w:rsidRPr="00F15A52" w:rsidRDefault="00A42790">
      <w:pPr>
        <w:spacing w:after="70"/>
        <w:ind w:left="280" w:hanging="280"/>
        <w:rPr>
          <w:lang w:val="es-CL"/>
        </w:rPr>
      </w:pPr>
      <w:r>
        <w:rPr>
          <w:sz w:val="20"/>
          <w:szCs w:val="20"/>
          <w:lang w:val="es-CL"/>
        </w:rPr>
        <w:t>CIAE (2025), *Abandono docente en el sistema educativo chileno 2015-2024*, Informe OFD No. 12, by J. P. Valenzuela and F. Meneses, Observatorio de Formación Docente, CIAE, Universidad de Chile, Santiago, https://ciae.uchile.cl/noticia/abandono-docente-en-la-educacion-publica-llega-solo-a-4-anual-y-profesores-se-mantendrian-25-anos-en-ejercicio.</w:t>
      </w:r>
    </w:p>
    <w:p w14:paraId="27EA653C" w14:textId="77777777" w:rsidR="00F40E91" w:rsidRDefault="00A42790">
      <w:pPr>
        <w:spacing w:after="70"/>
        <w:ind w:left="280" w:hanging="280"/>
      </w:pPr>
      <w:r>
        <w:rPr>
          <w:sz w:val="20"/>
          <w:szCs w:val="20"/>
        </w:rPr>
        <w:t>Clotfelter, C., E. Glennie, H. Ladd and J. Vigdor (2008), "Would higher salaries keep teachers in high-poverty schools? Evidence from a policy intervention in North Carolina", *Journal of Public Economics*, Vol. 92/5-6, pp. 1352-1370, https://doi.org/10.1016/j.jpubeco.2007.07.003.</w:t>
      </w:r>
    </w:p>
    <w:p w14:paraId="663A832A" w14:textId="77777777" w:rsidR="00F40E91" w:rsidRDefault="00A42790">
      <w:pPr>
        <w:spacing w:after="70"/>
        <w:ind w:left="280" w:hanging="280"/>
      </w:pPr>
      <w:r>
        <w:rPr>
          <w:sz w:val="20"/>
          <w:szCs w:val="20"/>
        </w:rPr>
        <w:t>Costrell, R. M. and M. Podgursky (2009), "Peaks, cliffs, and valleys: The peculiar incentives in teacher retirement systems and their consequences for school staffing", *Education Finance and Policy*, Vol. 4/2, pp. 175-211, https://doi.org/10.1162/edfp.2009.4.2.175.</w:t>
      </w:r>
    </w:p>
    <w:p w14:paraId="6DC6D053" w14:textId="77777777" w:rsidR="00F40E91" w:rsidRDefault="00A42790">
      <w:pPr>
        <w:spacing w:after="70"/>
        <w:ind w:left="280" w:hanging="280"/>
      </w:pPr>
      <w:r>
        <w:rPr>
          <w:sz w:val="20"/>
          <w:szCs w:val="20"/>
        </w:rPr>
        <w:t>Cuervo, H. and E. Vera-Toscano (2025), "Teacher attrition in Australia: Evidence of labour market and wage outcomes from longitudinal data", *Australian Journal of Education*, https://doi.org/10.1177/00049441251341603.</w:t>
      </w:r>
    </w:p>
    <w:p w14:paraId="7F32F9D5" w14:textId="77777777" w:rsidR="00F40E91" w:rsidRDefault="00A42790">
      <w:pPr>
        <w:spacing w:after="70"/>
        <w:ind w:left="280" w:hanging="280"/>
      </w:pPr>
      <w:r>
        <w:rPr>
          <w:sz w:val="20"/>
          <w:szCs w:val="20"/>
        </w:rPr>
        <w:lastRenderedPageBreak/>
        <w:t>DeCesare, D., A. McClelland and B. Randel (2017), *Impacts of the Retired Mentors for New Teachers Program*, REL 2017-225, Regional Educational Laboratory Central, Institute of Education Sciences, U.S. Department of Education, Washington, DC, https://ies.ed.gov/ncee/edlabs.</w:t>
      </w:r>
    </w:p>
    <w:p w14:paraId="61A75FFB" w14:textId="77777777" w:rsidR="00F40E91" w:rsidRDefault="00A42790">
      <w:pPr>
        <w:spacing w:after="70"/>
        <w:ind w:left="280" w:hanging="280"/>
      </w:pPr>
      <w:r>
        <w:rPr>
          <w:sz w:val="20"/>
          <w:szCs w:val="20"/>
        </w:rPr>
        <w:t>Department for Education (2023), *School Workforce in England: Ad Hoc Statistics on Maternity Leave and Returns*, Department for Education, London. [Release to be verified before publication.]</w:t>
      </w:r>
    </w:p>
    <w:p w14:paraId="6D1A06E8" w14:textId="77777777" w:rsidR="00F40E91" w:rsidRDefault="00A42790">
      <w:pPr>
        <w:spacing w:after="70"/>
        <w:ind w:left="280" w:hanging="280"/>
      </w:pPr>
      <w:r>
        <w:rPr>
          <w:sz w:val="20"/>
          <w:szCs w:val="20"/>
        </w:rPr>
        <w:t>Department for Education (2024a), *School Workforce in England: Reporting Year 2023*, National Statistics, London, https://explore-education-statistics.service.gov.uk/find-statistics/school-workforce-in-england.</w:t>
      </w:r>
    </w:p>
    <w:p w14:paraId="1A87F39C" w14:textId="77777777" w:rsidR="00F40E91" w:rsidRDefault="00A42790">
      <w:pPr>
        <w:spacing w:after="70"/>
        <w:ind w:left="280" w:hanging="280"/>
      </w:pPr>
      <w:r>
        <w:rPr>
          <w:sz w:val="20"/>
          <w:szCs w:val="20"/>
        </w:rPr>
        <w:t>Department for Education (2024b), *Working Lives of Teachers and Leaders: Wave 3 and Wave 4 Reports*, Department for Education, London, https://www.gov.uk/government/publications/working-lives-of-teachers-and-leaders.</w:t>
      </w:r>
    </w:p>
    <w:p w14:paraId="6C996EED" w14:textId="77777777" w:rsidR="00F40E91" w:rsidRDefault="00A42790">
      <w:pPr>
        <w:spacing w:after="70"/>
        <w:ind w:left="280" w:hanging="280"/>
      </w:pPr>
      <w:r>
        <w:rPr>
          <w:sz w:val="20"/>
          <w:szCs w:val="20"/>
        </w:rPr>
        <w:t>Destatis (2024), *Schuljahr 2023/24: 43,1% der Lehrkräfte arbeiteten in Teilzeit*, Statistisches Bundesamt, Wiesbaden, https://www.destatis.de/.</w:t>
      </w:r>
    </w:p>
    <w:p w14:paraId="55417055" w14:textId="77777777" w:rsidR="00F40E91" w:rsidRDefault="00A42790">
      <w:pPr>
        <w:spacing w:after="70"/>
        <w:ind w:left="280" w:hanging="280"/>
      </w:pPr>
      <w:r>
        <w:rPr>
          <w:sz w:val="20"/>
          <w:szCs w:val="20"/>
        </w:rPr>
        <w:t>Doan, S., E. D. Steiner, R. Pandey and A. Woo (2023), *Teacher Well-Being and Intentions to Leave: Findings from the 2023 State of the American Teacher Survey*, RR-A1108-8, RAND Corporation, Santa Monica, CA, https://www.rand.org/pubs/research_reports/RRA1108-8.html.</w:t>
      </w:r>
    </w:p>
    <w:p w14:paraId="4A7F5EFF" w14:textId="77777777" w:rsidR="00F40E91" w:rsidRDefault="00A42790">
      <w:pPr>
        <w:spacing w:after="70"/>
        <w:ind w:left="280" w:hanging="280"/>
      </w:pPr>
      <w:r>
        <w:rPr>
          <w:sz w:val="20"/>
          <w:szCs w:val="20"/>
        </w:rPr>
        <w:t>Education Counts (2025), *Teacher Turnover*, New Zealand Ministry of Education, Wellington, https://www.educationcounts.govt.nz/statistics/teacher-turnover.</w:t>
      </w:r>
    </w:p>
    <w:p>
      <w:pPr>
        <w:spacing w:after="70"/>
        <w:ind w:left="280" w:hanging="280"/>
        <w:rPr>
          <w:ins w:id="9336" w:author="Claude" w:date="2026-10-05T13:25:41Z"/>
        </w:rPr>
      </w:pPr>
      <w:ins w:id="9337" w:author="Claude" w:date="2026-10-05T13:25:41Z">
        <w:r>
          <w:rPr>
            <w:sz w:val="20"/>
            <w:szCs w:val="20"/>
          </w:rPr>
          <w:t xml:space="preserve">European Commission/EACEA/Eurydice (2021), </w:t>
        </w:r>
        <w:r>
          <w:rPr>
            <w:i/>
            <w:iCs/>
            <w:sz w:val="20"/>
            <w:szCs w:val="20"/>
          </w:rPr>
          <w:t xml:space="preserve">Teachers in Europe: Careers, Development and Well-being</w:t>
        </w:r>
        <w:r>
          <w:rPr>
            <w:sz w:val="20"/>
            <w:szCs w:val="20"/>
          </w:rPr>
          <w:t xml:space="preserve">, Eurydice Report, Publications Office of the European Union, Luxembourg.</w:t>
        </w:r>
      </w:ins>
    </w:p>
    <w:p w14:paraId="136C289E" w14:textId="77777777" w:rsidR="00F40E91" w:rsidRDefault="00A42790">
      <w:pPr>
        <w:spacing w:after="70"/>
        <w:ind w:left="280" w:hanging="280"/>
      </w:pPr>
      <w:r>
        <w:rPr>
          <w:sz w:val="20"/>
          <w:szCs w:val="20"/>
        </w:rPr>
        <w:t>Falch, T. (2011), "Teacher mobility responses to wage changes: Evidence from a quasi-natural experiment", *American Economic Review*, Vol. 101/3, pp. 460-465, https://doi.org/10.1257/aer.101.3.460.</w:t>
      </w:r>
    </w:p>
    <w:p>
      <w:pPr>
        <w:spacing w:after="70"/>
        <w:ind w:left="280" w:hanging="280"/>
        <w:rPr>
          <w:ins w:id="9338" w:author="Claude" w:date="2026-10-05T13:25:41Z"/>
        </w:rPr>
      </w:pPr>
      <w:ins w:id="9339" w:author="Claude" w:date="2026-10-05T13:25:41Z">
        <w:r>
          <w:rPr>
            <w:sz w:val="20"/>
            <w:szCs w:val="20"/>
          </w:rPr>
          <w:t xml:space="preserve">Feng, L. and T. R. Sass (2018), "The impact of incentives to recruit and retain teachers in "hard-to-staff" subjects", </w:t>
        </w:r>
        <w:r>
          <w:rPr>
            <w:i/>
            <w:iCs/>
            <w:sz w:val="20"/>
            <w:szCs w:val="20"/>
          </w:rPr>
          <w:t xml:space="preserve">Journal of Policy Analysis and Management</w:t>
        </w:r>
        <w:r>
          <w:rPr>
            <w:sz w:val="20"/>
            <w:szCs w:val="20"/>
          </w:rPr>
          <w:t xml:space="preserve">, Vol. 37/1, pp. 112-135.</w:t>
        </w:r>
      </w:ins>
    </w:p>
    <w:p w14:paraId="375EEFEB" w14:textId="77777777" w:rsidR="00F40E91" w:rsidRDefault="00A42790">
      <w:pPr>
        <w:spacing w:after="70"/>
        <w:ind w:left="280" w:hanging="280"/>
      </w:pPr>
      <w:r>
        <w:rPr>
          <w:sz w:val="20"/>
          <w:szCs w:val="20"/>
        </w:rPr>
        <w:t>Fitzpatrick, M. D. (2015), "How much are public school teachers willing to pay for their retirement benefits?", *American Economic Journal: Economic Policy*, Vol. 7/4, pp. 165-188, https://doi.org/10.1257/pol.20140087.</w:t>
      </w:r>
    </w:p>
    <w:p w14:paraId="5026DEE4" w14:textId="77777777" w:rsidR="00F40E91" w:rsidRPr="00F15A52" w:rsidRDefault="00A42790">
      <w:pPr>
        <w:spacing w:after="70"/>
        <w:ind w:left="280" w:hanging="280"/>
        <w:rPr>
          <w:lang w:val="es-CL"/>
        </w:rPr>
      </w:pPr>
      <w:r>
        <w:rPr>
          <w:sz w:val="20"/>
          <w:szCs w:val="20"/>
          <w:lang w:val="es-CL"/>
        </w:rPr>
        <w:t>Government of Spain (2015), *Real Decreto Legislativo 5/2015, de 30 de octubre, por el que se aprueba el texto refundido de la Ley del Estatuto Básico del Empleado Público*, Articles 49 and 89, Boletín Oficial del Estado, Madrid, https://www.boe.es/eli/es/rdlg/2015/10/30/5/con.</w:t>
      </w:r>
    </w:p>
    <w:p w14:paraId="7E41A678" w14:textId="77777777" w:rsidR="00F40E91" w:rsidRPr="00F15A52" w:rsidRDefault="00A42790">
      <w:pPr>
        <w:spacing w:after="70"/>
        <w:ind w:left="280" w:hanging="280"/>
        <w:rPr>
          <w:lang w:val="es-CL"/>
        </w:rPr>
      </w:pPr>
      <w:r>
        <w:rPr>
          <w:sz w:val="20"/>
          <w:szCs w:val="20"/>
          <w:lang w:val="es-CL"/>
        </w:rPr>
        <w:t>Government of Spain (2025), *Real Decreto-ley 9/2025, de 29 de julio, por el que se amplía el permiso por nacimiento y cuidado del menor*, Boletín Oficial del Estado, Madrid.</w:t>
      </w:r>
    </w:p>
    <w:p>
      <w:pPr>
        <w:spacing w:after="70"/>
        <w:ind w:left="280" w:hanging="280"/>
        <w:rPr>
          <w:ins w:id="9340" w:author="Claude" w:date="2026-10-05T13:25:41Z"/>
        </w:rPr>
      </w:pPr>
      <w:ins w:id="9341" w:author="Claude" w:date="2026-10-05T13:25:41Z">
        <w:r>
          <w:rPr>
            <w:sz w:val="20"/>
            <w:szCs w:val="20"/>
          </w:rPr>
          <w:t xml:space="preserve">Grissom, J. A. (2011), "Can good principals keep teachers in disadvantaged schools? Linking principal effectiveness to teacher satisfaction and turnover in hard-to-staff environments", </w:t>
        </w:r>
        <w:r>
          <w:rPr>
            <w:i/>
            <w:iCs/>
            <w:sz w:val="20"/>
            <w:szCs w:val="20"/>
          </w:rPr>
          <w:t xml:space="preserve">Teachers College Record</w:t>
        </w:r>
        <w:r>
          <w:rPr>
            <w:sz w:val="20"/>
            <w:szCs w:val="20"/>
          </w:rPr>
          <w:t xml:space="preserve">, Vol. 113/11, pp. 2552-2585.</w:t>
        </w:r>
      </w:ins>
    </w:p>
    <w:p>
      <w:pPr>
        <w:spacing w:after="70"/>
        <w:ind w:left="280" w:hanging="280"/>
        <w:rPr>
          <w:ins w:id="9342" w:author="Claude" w:date="2026-10-05T13:25:41Z"/>
        </w:rPr>
      </w:pPr>
      <w:ins w:id="9343" w:author="Claude" w:date="2026-10-05T13:25:41Z">
        <w:r>
          <w:rPr>
            <w:sz w:val="20"/>
            <w:szCs w:val="20"/>
          </w:rPr>
          <w:t xml:space="preserve">Grissom, J. A. and M. Reininger (2012), "Who comes back? A longitudinal analysis of the reentry behavior of exiting teachers", </w:t>
        </w:r>
        <w:r>
          <w:rPr>
            <w:i/>
            <w:iCs/>
            <w:sz w:val="20"/>
            <w:szCs w:val="20"/>
          </w:rPr>
          <w:t xml:space="preserve">Education Finance and Policy</w:t>
        </w:r>
        <w:r>
          <w:rPr>
            <w:sz w:val="20"/>
            <w:szCs w:val="20"/>
          </w:rPr>
          <w:t xml:space="preserve">, Vol. 7/4, pp. 425-454, https://doi.org/10.1162/EDFP_a_00075.</w:t>
        </w:r>
      </w:ins>
    </w:p>
    <w:p w14:paraId="379C3B09" w14:textId="77777777" w:rsidR="00F40E91" w:rsidRDefault="00A42790">
      <w:pPr>
        <w:spacing w:after="70"/>
        <w:ind w:left="280" w:hanging="280"/>
      </w:pPr>
      <w:r>
        <w:rPr>
          <w:sz w:val="20"/>
          <w:szCs w:val="20"/>
        </w:rPr>
        <w:t>Guarino, C. M., L. Santibañez and G. A. Daley (2006), "Teacher recruitment and retention: A review of the recent empirical literature", *Review of Educational Research*, Vol. 76/2, pp. 173-208, https://doi.org/10.3102/00346543076002173.</w:t>
      </w:r>
    </w:p>
    <w:p w14:paraId="7F91A268" w14:textId="77777777" w:rsidR="00F40E91" w:rsidRDefault="00A42790">
      <w:pPr>
        <w:spacing w:after="70"/>
        <w:ind w:left="280" w:hanging="280"/>
      </w:pPr>
      <w:r>
        <w:rPr>
          <w:sz w:val="20"/>
          <w:szCs w:val="20"/>
        </w:rPr>
        <w:t>Gundlach, H. A. D., G. R. Slemp and J. Hattie (2024), "A meta-analysis of the antecedents of teacher turnover and retention", *Educational Research Review*, Vol. 44, 100606, https://doi.org/10.1016/j.edurev.2024.100606.</w:t>
      </w:r>
    </w:p>
    <w:p w14:paraId="11105D54" w14:textId="77777777" w:rsidR="00F40E91" w:rsidRDefault="00A42790">
      <w:pPr>
        <w:spacing w:after="70"/>
        <w:ind w:left="280" w:hanging="280"/>
      </w:pPr>
      <w:r>
        <w:rPr>
          <w:sz w:val="20"/>
          <w:szCs w:val="20"/>
        </w:rPr>
        <w:t>Harris, D. N. and S. J. Adams (2007), "Understanding the level and causes of teacher turnover: A comparison with other professions", *Economics of Education Review*, Vol. 26/3, pp. 325-337, https://doi.org/10.1016/j.econedurev.2005.09.007.</w:t>
      </w:r>
    </w:p>
    <w:p w14:paraId="3BD92892" w14:textId="77777777" w:rsidR="00F40E91" w:rsidRDefault="00A42790">
      <w:pPr>
        <w:spacing w:after="70"/>
        <w:ind w:left="280" w:hanging="280"/>
      </w:pPr>
      <w:r>
        <w:rPr>
          <w:sz w:val="20"/>
          <w:szCs w:val="20"/>
        </w:rPr>
        <w:t>Hulme, M. et al. (2026), "Teacher turnover in Scotland: Reluctant leavers, downscaling, and the limits of voluntary exit", *Oxford Review of Education*, https://doi.org/10.1080/03054985.2026.2709882.</w:t>
      </w:r>
    </w:p>
    <w:p>
      <w:pPr>
        <w:spacing w:after="70"/>
        <w:ind w:left="280" w:hanging="280"/>
        <w:rPr>
          <w:ins w:id="9344" w:author="Claude" w:date="2026-10-05T13:25:41Z"/>
        </w:rPr>
      </w:pPr>
      <w:ins w:id="9345" w:author="Claude" w:date="2026-10-05T13:25:41Z">
        <w:r>
          <w:rPr>
            <w:sz w:val="20"/>
            <w:szCs w:val="20"/>
          </w:rPr>
          <w:t xml:space="preserve">Johnson, S. M., M. A. Kraft and J. P. Papay (2012), "How context matters in high-need schools: The effects of teachers' working conditions on their professional satisfaction and their students' achievement", </w:t>
        </w:r>
        <w:r>
          <w:rPr>
            <w:i/>
            <w:iCs/>
            <w:sz w:val="20"/>
            <w:szCs w:val="20"/>
          </w:rPr>
          <w:t xml:space="preserve">Teachers College Record</w:t>
        </w:r>
        <w:r>
          <w:rPr>
            <w:sz w:val="20"/>
            <w:szCs w:val="20"/>
          </w:rPr>
          <w:t xml:space="preserve">, Vol. 114/10, pp. 1-39.</w:t>
        </w:r>
      </w:ins>
    </w:p>
    <w:p w14:paraId="14F646B4" w14:textId="77777777" w:rsidR="00F40E91" w:rsidRDefault="00A42790">
      <w:pPr>
        <w:spacing w:after="70"/>
        <w:ind w:left="280" w:hanging="280"/>
      </w:pPr>
      <w:r>
        <w:rPr>
          <w:sz w:val="20"/>
          <w:szCs w:val="20"/>
        </w:rPr>
        <w:t>KEDI (2023), *Survey Evidence on Teacher Attrition and the Infringement of Teachers' Rights*, Korean Educational Development Institute, Jincheon. [Full bibliographic details to be completed before publication.]</w:t>
      </w:r>
    </w:p>
    <w:p w14:paraId="47031CD0" w14:textId="77777777" w:rsidR="00F40E91" w:rsidRDefault="00A42790">
      <w:pPr>
        <w:spacing w:after="70"/>
        <w:ind w:left="280" w:hanging="280"/>
      </w:pPr>
      <w:r>
        <w:rPr>
          <w:sz w:val="20"/>
          <w:szCs w:val="20"/>
        </w:rPr>
        <w:t>Kindsiko, E. (2023), analysis of teacher attrition in Estonia using EHIS register data 2005/06-2021/22, Arenguseire Keskus, Tallinn. [Full bibliographic details to be completed before publication.]</w:t>
      </w:r>
    </w:p>
    <w:p w14:paraId="5D7544F5" w14:textId="77777777" w:rsidR="00F40E91" w:rsidRDefault="00A42790">
      <w:pPr>
        <w:spacing w:after="70"/>
        <w:ind w:left="280" w:hanging="280"/>
      </w:pPr>
      <w:r>
        <w:rPr>
          <w:sz w:val="20"/>
          <w:szCs w:val="20"/>
        </w:rPr>
        <w:t>Koedel, C. and P. B. Xiang (2017), "Pension enhancements and the retention of public employees", *ILR Review*, Vol. 70/2, pp. 519-551, https://doi.org/10.1177/0019793916650452.</w:t>
      </w:r>
    </w:p>
    <w:p w14:paraId="76E34C55" w14:textId="77777777" w:rsidR="00F40E91" w:rsidRDefault="00A42790">
      <w:pPr>
        <w:spacing w:after="70"/>
        <w:ind w:left="280" w:hanging="280"/>
      </w:pPr>
      <w:r>
        <w:rPr>
          <w:sz w:val="20"/>
          <w:szCs w:val="20"/>
        </w:rPr>
        <w:t>Kraft, M. A., W. H. Marinell and D. Shen-Wei Yee (2016), "School organizational contexts, teacher turnover, and student achievement: Evidence from panel data", *American Educational Research Journal*, Vol. 53/5, pp. 1411-1449, https://doi.org/10.3102/0002831216667478.</w:t>
      </w:r>
    </w:p>
    <w:p>
      <w:pPr>
        <w:spacing w:after="70"/>
        <w:ind w:left="280" w:hanging="280"/>
        <w:rPr>
          <w:ins w:id="9346" w:author="Claude" w:date="2026-10-05T13:25:41Z"/>
        </w:rPr>
      </w:pPr>
      <w:ins w:id="9347" w:author="Claude" w:date="2026-10-05T13:25:41Z">
        <w:r>
          <w:rPr>
            <w:sz w:val="20"/>
            <w:szCs w:val="20"/>
          </w:rPr>
          <w:t xml:space="preserve">Ladd, H. F. (2011), "Teachers' perceptions of their working conditions: How predictive of planned and actual teacher movement?", </w:t>
        </w:r>
        <w:r>
          <w:rPr>
            <w:i/>
            <w:iCs/>
            <w:sz w:val="20"/>
            <w:szCs w:val="20"/>
          </w:rPr>
          <w:t xml:space="preserve">Educational Evaluation and Policy Analysis</w:t>
        </w:r>
        <w:r>
          <w:rPr>
            <w:sz w:val="20"/>
            <w:szCs w:val="20"/>
          </w:rPr>
          <w:t xml:space="preserve">, Vol. 33/2, pp. 235-261.</w:t>
        </w:r>
      </w:ins>
    </w:p>
    <w:p w14:paraId="08F45736" w14:textId="77777777" w:rsidR="00F40E91" w:rsidRDefault="00A42790">
      <w:pPr>
        <w:spacing w:after="70"/>
        <w:ind w:left="280" w:hanging="280"/>
      </w:pPr>
      <w:r>
        <w:rPr>
          <w:sz w:val="20"/>
          <w:szCs w:val="20"/>
        </w:rPr>
        <w:t>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14:paraId="20C26FB0" w14:textId="77777777" w:rsidR="00F40E91" w:rsidRDefault="00A42790">
      <w:pPr>
        <w:spacing w:after="70"/>
        <w:ind w:left="280" w:hanging="280"/>
      </w:pPr>
      <w:r>
        <w:rPr>
          <w:sz w:val="20"/>
          <w:szCs w:val="20"/>
        </w:rPr>
        <w:t>Madigan, D. J. and L. E. Kim (2021), "Towards an understanding of teacher attrition: A meta-analysis of burnout, job satisfaction, and teachers' intentions to quit", *Teaching and Teacher Education*, Vol. 105, 103425, https://doi.org/10.1016/j.tate.2021.103425.</w:t>
      </w:r>
    </w:p>
    <w:p w14:paraId="5E4367D6" w14:textId="77777777" w:rsidR="00F40E91" w:rsidRDefault="00A42790">
      <w:pPr>
        <w:spacing w:after="70"/>
        <w:ind w:left="280" w:hanging="280"/>
      </w:pPr>
      <w:r>
        <w:rPr>
          <w:sz w:val="20"/>
          <w:szCs w:val="20"/>
        </w:rPr>
        <w:t>Ministry of Education Korea (2023), statistics on mid-career teacher separations 2019-2023, Ministry of Education, Sejong. [Full bibliographic details to be completed before publication.]</w:t>
      </w:r>
    </w:p>
    <w:p w14:paraId="5AF35FB9" w14:textId="77777777" w:rsidR="00F40E91" w:rsidRDefault="00A42790">
      <w:pPr>
        <w:spacing w:after="70"/>
        <w:ind w:left="280" w:hanging="280"/>
      </w:pPr>
      <w:r>
        <w:rPr>
          <w:sz w:val="20"/>
          <w:szCs w:val="20"/>
        </w:rPr>
        <w:lastRenderedPageBreak/>
        <w:t>Montizaan, R., F. Cörvers and A. de Grip (2010), "The effects of pension rights and retirement age on training participation: Evidence from a natural experiment", *Labour Economics*, Vol. 17/1, pp. 240-247, https://doi.org/10.1016/j.labeco.2009.09.002.</w:t>
      </w:r>
    </w:p>
    <w:p w14:paraId="45AC1406" w14:textId="77777777" w:rsidR="00F40E91" w:rsidRDefault="00A42790">
      <w:pPr>
        <w:spacing w:after="70"/>
        <w:ind w:left="280" w:hanging="280"/>
      </w:pPr>
      <w:r>
        <w:rPr>
          <w:sz w:val="20"/>
          <w:szCs w:val="20"/>
        </w:rPr>
        <w:t>National Council on Teacher Quality (2026), *Paid Parental Leave for Teachers: State and District Policies*, NCTQ, Washington, DC, https://www.nctq.org/research-insights/how-many-school-districts-offer-paid-parental-leave/.</w:t>
      </w:r>
    </w:p>
    <w:p>
      <w:pPr>
        <w:spacing w:after="70"/>
        <w:ind w:left="280" w:hanging="280"/>
        <w:rPr>
          <w:ins w:id="9348" w:author="Claude" w:date="2026-10-05T13:25:41Z"/>
        </w:rPr>
      </w:pPr>
      <w:ins w:id="9349" w:author="Claude" w:date="2026-10-05T13:25:41Z">
        <w:r>
          <w:rPr>
            <w:sz w:val="20"/>
            <w:szCs w:val="20"/>
          </w:rPr>
          <w:t xml:space="preserve">NCES (2014), </w:t>
        </w:r>
        <w:r>
          <w:rPr>
            <w:i/>
            <w:iCs/>
            <w:sz w:val="20"/>
            <w:szCs w:val="20"/>
          </w:rPr>
          <w:t xml:space="preserve">Teacher Attrition and Mobility: Results from the 2012-13 Teacher Follow-up Survey</w:t>
        </w:r>
        <w:r>
          <w:rPr>
            <w:sz w:val="20"/>
            <w:szCs w:val="20"/>
          </w:rPr>
          <w:t xml:space="preserve">, NCES 2014-077, National Center for Education Statistics, Washington, DC.</w:t>
        </w:r>
      </w:ins>
    </w:p>
    <w:p w14:paraId="7588FF85" w14:textId="77777777" w:rsidR="00F40E91" w:rsidRDefault="00A42790">
      <w:pPr>
        <w:spacing w:after="70"/>
        <w:ind w:left="280" w:hanging="280"/>
      </w:pPr>
      <w:r>
        <w:rPr>
          <w:sz w:val="20"/>
          <w:szCs w:val="20"/>
        </w:rPr>
        <w:t>NCES (2024), *Teacher Attrition and Mobility: Results from the 2021-22 Teacher Follow-up Survey*, National Center for Education Statistics, Washington, DC, https://nces.ed.gov/pubsearch/pubsinfo.asp?pubid=2024039.</w:t>
      </w:r>
    </w:p>
    <w:p w14:paraId="23BF8D40" w14:textId="77777777" w:rsidR="00F40E91" w:rsidRDefault="00A42790">
      <w:pPr>
        <w:spacing w:after="70"/>
        <w:ind w:left="280" w:hanging="280"/>
      </w:pPr>
      <w:r>
        <w:rPr>
          <w:sz w:val="20"/>
          <w:szCs w:val="20"/>
        </w:rPr>
        <w:t>Nguyen, T. D., L. D. Pham, M. Crouch and M. G. Springer (2020), "The correlates of teacher turnover: An updated and expanded meta-analysis of the literature", *Educational Research Review*, Vol. 31, 100355, https://doi.org/10.1016/j.edurev.2020.100355.</w:t>
      </w:r>
    </w:p>
    <w:p w14:paraId="069A9483" w14:textId="77777777" w:rsidR="00F40E91" w:rsidRDefault="00A42790">
      <w:pPr>
        <w:spacing w:after="70"/>
        <w:ind w:left="280" w:hanging="280"/>
      </w:pPr>
      <w:r>
        <w:rPr>
          <w:sz w:val="20"/>
          <w:szCs w:val="20"/>
        </w:rPr>
        <w:t>Nguyen, T. D., C. D. Lam and P. Bruno (2024), "What do we know about the extent of teacher shortages nationwide? A systematic examination of reports of U.S. teacher shortages", *AERA Open*, Vol. 10, https://doi.org/10.1177/23328584241276512.</w:t>
      </w:r>
    </w:p>
    <w:p w14:paraId="73402B45" w14:textId="77777777" w:rsidR="00F40E91" w:rsidRDefault="00A42790">
      <w:pPr>
        <w:spacing w:after="70"/>
        <w:ind w:left="280" w:hanging="280"/>
      </w:pPr>
      <w:r>
        <w:rPr>
          <w:sz w:val="20"/>
          <w:szCs w:val="20"/>
          <w:lang w:val="fr-FR"/>
        </w:rPr>
        <w:t xml:space="preserve">Nguyen, T. D. et al. </w:t>
      </w:r>
      <w:r>
        <w:rPr>
          <w:sz w:val="20"/>
          <w:szCs w:val="20"/>
        </w:rPr>
        <w:t>(2025), "Teacher turnover intentions and actual turnover: Evidence from nationally representative data", *AERA Open*. [Full bibliographic details to be completed before publication.]</w:t>
      </w:r>
    </w:p>
    <w:p w14:paraId="7FC8F36B" w14:textId="77777777" w:rsidR="00F40E91" w:rsidRDefault="00A42790">
      <w:pPr>
        <w:spacing w:after="70"/>
        <w:ind w:left="280" w:hanging="280"/>
      </w:pPr>
      <w:r>
        <w:rPr>
          <w:sz w:val="20"/>
          <w:szCs w:val="20"/>
        </w:rPr>
        <w:t>Ni, S. and M. Podgursky (2016), "How teachers respond to pension system incentives: New estimates and policy applications", *Journal of Labor Economics*, Vol. 34/4, pp. 1075-1104, https://doi.org/10.1086/686263.</w:t>
      </w:r>
    </w:p>
    <w:p w14:paraId="5B2F4BBA" w14:textId="77777777" w:rsidR="00F40E91" w:rsidRDefault="00A42790">
      <w:pPr>
        <w:spacing w:after="70"/>
        <w:ind w:left="280" w:hanging="280"/>
      </w:pPr>
      <w:r>
        <w:rPr>
          <w:sz w:val="20"/>
          <w:szCs w:val="20"/>
        </w:rPr>
        <w:t>Ni, S., M. Podgursky and F. Wang (2022), "How much are public school teachers willing to pay for their retirement benefits? Comment", *American Economic Journal: Economic Policy*, Vol. 14/3, pp. 478-493, https://doi.org/10.1257/pol.20200763.</w:t>
      </w:r>
    </w:p>
    <w:p w14:paraId="40790226" w14:textId="77777777" w:rsidR="00F40E91" w:rsidRDefault="00A42790">
      <w:pPr>
        <w:spacing w:after="70"/>
        <w:ind w:left="280" w:hanging="280"/>
      </w:pPr>
      <w:r>
        <w:rPr>
          <w:sz w:val="20"/>
          <w:szCs w:val="20"/>
        </w:rPr>
        <w:t>Nickow, A., P. Oreopoulos and V. Quan (2024), "The promise of tutoring for PreK-12 learning: A systematic review and meta-analysis of the experimental evidence", *American Educational Research Journal*, Vol. 61/1, pp. 74-107, https://doi.org/10.3102/00028312231208687.</w:t>
      </w:r>
    </w:p>
    <w:p w14:paraId="7D545500" w14:textId="77777777" w:rsidR="00F40E91" w:rsidRDefault="00A42790">
      <w:pPr>
        <w:spacing w:after="70"/>
        <w:ind w:left="280" w:hanging="280"/>
      </w:pPr>
      <w:r>
        <w:rPr>
          <w:sz w:val="20"/>
          <w:szCs w:val="20"/>
        </w:rPr>
        <w:t>NŠA (2025), teacher demand and supply forecast, Nacionalinė švietimo agentūra, Vilnius. [Full bibliographic details to be completed before publication.]</w:t>
      </w:r>
    </w:p>
    <w:p w14:paraId="274DE21A" w14:textId="77777777" w:rsidR="00F40E91" w:rsidRDefault="00A42790">
      <w:pPr>
        <w:spacing w:after="70"/>
        <w:ind w:left="280" w:hanging="280"/>
      </w:pPr>
      <w:r>
        <w:rPr>
          <w:sz w:val="20"/>
          <w:szCs w:val="20"/>
        </w:rPr>
        <w:t>OECD (2025a), "What is the profile of the teaching workforce and how has it evolved?", in *Education at a Glance 2025: OECD Indicators*, Indicator D8, Table D8.4, OECD Publishing, Paris, https://doi.org/10.1787/f7b0b326-en.</w:t>
      </w:r>
    </w:p>
    <w:p w14:paraId="71E7D815" w14:textId="77777777" w:rsidR="00F40E91" w:rsidRDefault="00A42790">
      <w:pPr>
        <w:spacing w:after="70"/>
        <w:ind w:left="280" w:hanging="280"/>
      </w:pPr>
      <w:r>
        <w:rPr>
          <w:sz w:val="20"/>
          <w:szCs w:val="20"/>
        </w:rPr>
        <w:t>OECD (2025b), *Results from TALIS 2024*, OECD Publishing, Paris, https://doi.org/10.1787/90df6235-en.</w:t>
      </w:r>
    </w:p>
    <w:p w14:paraId="66599942" w14:textId="77777777" w:rsidR="00F40E91" w:rsidRDefault="00A42790">
      <w:pPr>
        <w:spacing w:after="70"/>
        <w:ind w:left="280" w:hanging="280"/>
      </w:pPr>
      <w:r>
        <w:rPr>
          <w:sz w:val="20"/>
          <w:szCs w:val="20"/>
        </w:rPr>
        <w:t>OECD (2025c), *Results from TALIS 2024, Country Notes: Japan, France and the Netherlands*, OECD Publishing, Paris, https://doi.org/10.1787/e127f9e2-en.</w:t>
      </w:r>
    </w:p>
    <w:p w14:paraId="16596E18" w14:textId="77777777" w:rsidR="00F40E91" w:rsidRDefault="00A42790">
      <w:pPr>
        <w:spacing w:after="70"/>
        <w:ind w:left="280" w:hanging="280"/>
      </w:pPr>
      <w:r>
        <w:rPr>
          <w:sz w:val="20"/>
          <w:szCs w:val="20"/>
        </w:rPr>
        <w:t>OECD (2025d), "How much are teachers and school heads paid?", in *Education at a Glance 2025: OECD Indicators*, Indicator D3, Table D3.2, OECD Publishing, Paris, https://doi.org/10.1787/1c0d9c79-en.</w:t>
      </w:r>
    </w:p>
    <w:p w14:paraId="7FE13E85" w14:textId="77777777" w:rsidR="00F40E91" w:rsidRDefault="00A42790">
      <w:pPr>
        <w:spacing w:after="70"/>
        <w:ind w:left="280" w:hanging="280"/>
      </w:pPr>
      <w:r>
        <w:rPr>
          <w:sz w:val="20"/>
          <w:szCs w:val="20"/>
        </w:rPr>
        <w:t>OECD (2025e), *Pensions at a Glance 2025: OECD and G20 Indicators*, OECD Publishing, Paris.</w:t>
      </w:r>
    </w:p>
    <w:p w14:paraId="7F28702B" w14:textId="77777777" w:rsidR="00F40E91" w:rsidRDefault="00A42790">
      <w:pPr>
        <w:spacing w:after="70"/>
        <w:ind w:left="280" w:hanging="280"/>
      </w:pPr>
      <w:r>
        <w:rPr>
          <w:sz w:val="20"/>
          <w:szCs w:val="20"/>
        </w:rPr>
        <w:t>Papay, J. P., E. S. Taylor, J. H. Tyler and M. E. Laski (2020), "Learning job skills from colleagues at work: Evidence from a field experiment using teacher performance data", *American Economic Journal: Economic Policy*, Vol. 12/1, pp. 359-388, https://doi.org/10.1257/pol.20170709.</w:t>
      </w:r>
    </w:p>
    <w:p w14:paraId="4D642B90" w14:textId="77777777" w:rsidR="00F40E91" w:rsidRDefault="00A42790">
      <w:pPr>
        <w:spacing w:after="70"/>
        <w:ind w:left="280" w:hanging="280"/>
      </w:pPr>
      <w:r>
        <w:rPr>
          <w:sz w:val="20"/>
          <w:szCs w:val="20"/>
        </w:rPr>
        <w:t>Perryman, J. et al. (2025), "'A tipping point' in teacher retention and accountability: The case of inspection", *British Journal of Educational Studies*, Vol. 73/2, pp. 181-200, https://doi.org/10.1080/00071005.2024.2439791.</w:t>
      </w:r>
    </w:p>
    <w:p w14:paraId="16E81C97" w14:textId="77777777" w:rsidR="00F40E91" w:rsidRDefault="00A42790">
      <w:pPr>
        <w:spacing w:after="70"/>
        <w:ind w:left="280" w:hanging="280"/>
      </w:pPr>
      <w:r>
        <w:rPr>
          <w:sz w:val="20"/>
          <w:szCs w:val="20"/>
        </w:rPr>
        <w:t>Podgursky, M., R. Monroe and D. Watson (2004), "The academic quality of public school teachers: An analysis of entry and exit behavior", *Economics of Education Review*, Vol. 23/5, pp. 507-518, https://doi.org/10.1016/j.econedurev.2004.01.005.</w:t>
      </w:r>
    </w:p>
    <w:p w14:paraId="619D8832" w14:textId="77777777" w:rsidR="00F40E91" w:rsidRDefault="00A42790">
      <w:pPr>
        <w:spacing w:after="70"/>
        <w:ind w:left="280" w:hanging="280"/>
      </w:pPr>
      <w:r>
        <w:rPr>
          <w:sz w:val="20"/>
          <w:szCs w:val="20"/>
        </w:rPr>
        <w:t>Quinby, L. and G. Wettstein (2021), "Do deferred benefit cuts for current employees increase separation?", *Labour Economics*, Vol. 73, 102081, https://doi.org/10.1016/j.labeco.2021.102081.</w:t>
      </w:r>
    </w:p>
    <w:p w14:paraId="737EE0F8" w14:textId="77777777" w:rsidR="00F40E91" w:rsidRDefault="00A42790">
      <w:pPr>
        <w:spacing w:after="70"/>
        <w:ind w:left="280" w:hanging="280"/>
      </w:pPr>
      <w:r>
        <w:rPr>
          <w:sz w:val="20"/>
          <w:szCs w:val="20"/>
        </w:rPr>
        <w:t>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pPr>
        <w:spacing w:after="70"/>
        <w:ind w:left="280" w:hanging="280"/>
        <w:rPr>
          <w:ins w:id="9352" w:author="Claude" w:date="2026-10-05T13:25:41Z"/>
        </w:rPr>
      </w:pPr>
      <w:ins w:id="9353" w:author="Claude" w:date="2026-10-05T13:25:41Z">
        <w:r>
          <w:rPr>
            <w:sz w:val="20"/>
            <w:szCs w:val="20"/>
          </w:rPr>
          <w:t xml:space="preserve">Redding, C. and T. M. Smith (2016), "Easy in, easy out: Are alternatively certified teachers turning over at increased rates?", </w:t>
        </w:r>
        <w:r>
          <w:rPr>
            <w:i/>
            <w:iCs/>
            <w:sz w:val="20"/>
            <w:szCs w:val="20"/>
          </w:rPr>
          <w:t xml:space="preserve">American Educational Research Journal</w:t>
        </w:r>
        <w:r>
          <w:rPr>
            <w:sz w:val="20"/>
            <w:szCs w:val="20"/>
          </w:rPr>
          <w:t xml:space="preserve">, Vol. 53/4, pp. 1086-1125, https://doi.org/10.3102/0002831216653206.</w:t>
        </w:r>
      </w:ins>
    </w:p>
    <w:p w14:paraId="65897F21" w14:textId="77777777" w:rsidR="00F40E91" w:rsidRDefault="00A42790">
      <w:pPr>
        <w:spacing w:after="70"/>
        <w:ind w:left="280" w:hanging="280"/>
      </w:pPr>
      <w:r>
        <w:rPr>
          <w:sz w:val="20"/>
          <w:szCs w:val="20"/>
        </w:rPr>
        <w:t>Republic of Korea (2023), *Special Act on the Improvement of Teachers' Status and the Protection of Their Educational Activities*, as amended by Act No. 19735 of 27 September 2023, Korea Legislation Research Institute, Seoul, https://elaw.klri.re.kr/eng_mobile/viewer.do?hseq=69754.</w:t>
      </w:r>
    </w:p>
    <w:p w14:paraId="66DF0AB3" w14:textId="77777777" w:rsidR="00F40E91" w:rsidRDefault="00A42790">
      <w:pPr>
        <w:spacing w:after="70"/>
        <w:ind w:left="280" w:hanging="280"/>
      </w:pPr>
      <w:r>
        <w:rPr>
          <w:sz w:val="20"/>
          <w:szCs w:val="20"/>
        </w:rPr>
        <w:t>ROCKWOOL Fonden (2025), *Folkeskolelærere, der forlader deres job, går ned i løn og søger mod job med færre sygemeldinger*, ROCKWOOL Fondens Forskningsenhed, Copenhagen, https://rockwoolfonden.dk/. [Full working-paper reference to be confirmed.]</w:t>
      </w:r>
    </w:p>
    <w:p>
      <w:pPr>
        <w:spacing w:after="70"/>
        <w:ind w:left="280" w:hanging="280"/>
        <w:rPr>
          <w:ins w:id="9354" w:author="Claude" w:date="2026-10-05T13:25:41Z"/>
        </w:rPr>
      </w:pPr>
      <w:ins w:id="9355" w:author="Claude" w:date="2026-10-05T13:25:41Z">
        <w:r>
          <w:rPr>
            <w:sz w:val="20"/>
            <w:szCs w:val="20"/>
          </w:rPr>
          <w:t xml:space="preserve">Ryan, S. V. et al. (2017), "Leaving the teaching profession: The role of teacher stress and educational accountability policies on turnover intent", </w:t>
        </w:r>
        <w:r>
          <w:rPr>
            <w:i/>
            <w:iCs/>
            <w:sz w:val="20"/>
            <w:szCs w:val="20"/>
          </w:rPr>
          <w:t xml:space="preserve">Teaching and Teacher Education</w:t>
        </w:r>
        <w:r>
          <w:rPr>
            <w:sz w:val="20"/>
            <w:szCs w:val="20"/>
          </w:rPr>
          <w:t xml:space="preserve">, Vol. 66, pp. 1-11.</w:t>
        </w:r>
      </w:ins>
    </w:p>
    <w:p w14:paraId="15AA5C95" w14:textId="77777777" w:rsidR="00F40E91" w:rsidRDefault="00A42790">
      <w:pPr>
        <w:spacing w:after="70"/>
        <w:ind w:left="280" w:hanging="280"/>
      </w:pPr>
      <w:r>
        <w:rPr>
          <w:sz w:val="20"/>
          <w:szCs w:val="20"/>
        </w:rPr>
        <w:t>Samuelson, P. A. (1938), "A note on the pure theory of consumer's behaviour", *Economica*, Vol. 5/17, pp. 61-71, https://doi.org/10.2307/2548836.</w:t>
      </w:r>
    </w:p>
    <w:p w14:paraId="43AE74A7" w14:textId="77777777" w:rsidR="00F40E91" w:rsidRDefault="00A42790">
      <w:pPr>
        <w:spacing w:after="70"/>
        <w:ind w:left="280" w:hanging="280"/>
      </w:pPr>
      <w:r>
        <w:rPr>
          <w:sz w:val="20"/>
          <w:szCs w:val="20"/>
        </w:rPr>
        <w:lastRenderedPageBreak/>
        <w:t>Scafidi, B., D. L. Sjoquist and T. R. Stinebrickner (2006), "Do teachers really leave for higher paying jobs in alternative occupations?", *The B.E. Journal of Economic Analysis and Policy*, Vol. 6/1, https://doi.org/10.2202/1538-0645.1604.</w:t>
      </w:r>
    </w:p>
    <w:p w14:paraId="16BE112C" w14:textId="77777777" w:rsidR="00F40E91" w:rsidRDefault="00A42790">
      <w:pPr>
        <w:spacing w:after="70"/>
        <w:ind w:left="280" w:hanging="280"/>
      </w:pPr>
      <w:r>
        <w:rPr>
          <w:sz w:val="20"/>
          <w:szCs w:val="20"/>
        </w:rPr>
        <w:t>See, B. H., R. Morris, S. Gorard and N. El Soufi (2020), "Teacher recruitment and retention: A critical review of international evidence of most promising interventions", *Education Sciences*, Vol. 10/10, 262, https://doi.org/10.3390/educsci10100262.</w:t>
      </w:r>
    </w:p>
    <w:p>
      <w:pPr>
        <w:spacing w:after="70"/>
        <w:ind w:left="280" w:hanging="280"/>
        <w:rPr>
          <w:ins w:id="9356" w:author="Claude" w:date="2026-10-05T13:25:41Z"/>
        </w:rPr>
      </w:pPr>
      <w:ins w:id="9357" w:author="Claude" w:date="2026-10-05T13:25:41Z">
        <w:r>
          <w:rPr>
            <w:sz w:val="20"/>
            <w:szCs w:val="20"/>
          </w:rPr>
          <w:t xml:space="preserve">Simon, N. S. and S. M. Johnson (2015), "Teacher turnover in high-poverty schools: What we know and can do", </w:t>
        </w:r>
        <w:r>
          <w:rPr>
            <w:i/>
            <w:iCs/>
            <w:sz w:val="20"/>
            <w:szCs w:val="20"/>
          </w:rPr>
          <w:t xml:space="preserve">Teachers College Record</w:t>
        </w:r>
        <w:r>
          <w:rPr>
            <w:sz w:val="20"/>
            <w:szCs w:val="20"/>
          </w:rPr>
          <w:t xml:space="preserve">, Vol. 117/3, pp. 1-36.</w:t>
        </w:r>
      </w:ins>
    </w:p>
    <w:p w14:paraId="14A58B0C" w14:textId="77777777" w:rsidR="00F40E91" w:rsidRDefault="00A42790">
      <w:pPr>
        <w:spacing w:after="70"/>
        <w:ind w:left="280" w:hanging="280"/>
      </w:pPr>
      <w:r>
        <w:rPr>
          <w:sz w:val="20"/>
          <w:szCs w:val="20"/>
        </w:rPr>
        <w:t>Sims, S. (2016), *High-stakes Accountability and Teacher Turnover: How Do Different School Inspection Judgements Affect Teachers' Decisions to Leave Their School?*, Department of Quantitative Social Science Working Paper No. 16-14, UCL Institute of Education, London, https://ideas.repec.org/p/qss/dqsswp/1614.html.</w:t>
      </w:r>
    </w:p>
    <w:p w14:paraId="2DD3F878" w14:textId="77777777" w:rsidR="00F40E91" w:rsidRDefault="00A42790">
      <w:pPr>
        <w:spacing w:after="70"/>
        <w:ind w:left="280" w:hanging="280"/>
      </w:pPr>
      <w:r>
        <w:rPr>
          <w:sz w:val="20"/>
          <w:szCs w:val="20"/>
        </w:rPr>
        <w:t>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14:paraId="37EFD468" w14:textId="77777777" w:rsidR="00F40E91" w:rsidRDefault="00A42790">
      <w:pPr>
        <w:spacing w:after="70"/>
        <w:ind w:left="280" w:hanging="280"/>
      </w:pPr>
      <w:r>
        <w:rPr>
          <w:sz w:val="20"/>
          <w:szCs w:val="20"/>
        </w:rPr>
        <w:t>Sims, S. and J. Jerrim (2020), *TALIS 2018: Teacher Working Conditions, Turnover and Attrition*, Statistical Working Paper, Department for Education, London, https://www.gov.uk/government/publications/talis-2018-teacher-working-conditions-turnover-and-attrition.</w:t>
      </w:r>
    </w:p>
    <w:p w14:paraId="06B47832" w14:textId="77777777" w:rsidR="00F40E91" w:rsidRDefault="00A42790">
      <w:pPr>
        <w:spacing w:after="70"/>
        <w:ind w:left="280" w:hanging="280"/>
      </w:pPr>
      <w:r>
        <w:rPr>
          <w:sz w:val="20"/>
          <w:szCs w:val="20"/>
        </w:rPr>
        <w:t>Sims, S., B. Lowes-Belk and A. Routledge (2026), "Teacher preferences for pay and working conditions: A systematic review of discrete-choice experiments", *Economics of Education Review*. [Full bibliographic details to be completed before publication.]</w:t>
      </w:r>
    </w:p>
    <w:p w14:paraId="5473C48B" w14:textId="77777777" w:rsidR="00F40E91" w:rsidRDefault="00A42790">
      <w:pPr>
        <w:spacing w:after="70"/>
        <w:ind w:left="280" w:hanging="280"/>
      </w:pPr>
      <w:r>
        <w:rPr>
          <w:sz w:val="20"/>
          <w:szCs w:val="20"/>
        </w:rPr>
        <w:t>Somers, M. et al. (2024a), *Loont het om leraren financieel te prikkelen? De voltijdbonus onderzocht*, ROA, Maastricht University, Maastricht, https://roa.maastrichtuniversity.nl/.</w:t>
      </w:r>
    </w:p>
    <w:p w14:paraId="7847F30A" w14:textId="77777777" w:rsidR="00F40E91" w:rsidRDefault="00A42790">
      <w:pPr>
        <w:spacing w:after="70"/>
        <w:ind w:left="280" w:hanging="280"/>
      </w:pPr>
      <w:r>
        <w:rPr>
          <w:sz w:val="20"/>
          <w:szCs w:val="20"/>
        </w:rPr>
        <w:t>Somers, M. et al. (2024b), *De stille reserve aan leraren buiten het onderwijs*, ROA, Maastricht University, Maastricht, https://roa.maastrichtuniversity.nl/.</w:t>
      </w:r>
    </w:p>
    <w:p>
      <w:pPr>
        <w:spacing w:after="70"/>
        <w:ind w:left="280" w:hanging="280"/>
        <w:rPr>
          <w:ins w:id="9358" w:author="Claude" w:date="2026-10-05T13:25:41Z"/>
        </w:rPr>
      </w:pPr>
      <w:ins w:id="9359" w:author="Claude" w:date="2026-10-05T13:25:41Z">
        <w:r>
          <w:rPr>
            <w:sz w:val="20"/>
            <w:szCs w:val="20"/>
          </w:rPr>
          <w:t xml:space="preserve">Springer, M. G., W. A. Swain and L. A. Rodriguez (2016), "Effective teacher retention bonuses: Evidence from Tennessee", </w:t>
        </w:r>
        <w:r>
          <w:rPr>
            <w:i/>
            <w:iCs/>
            <w:sz w:val="20"/>
            <w:szCs w:val="20"/>
          </w:rPr>
          <w:t xml:space="preserve">Educational Evaluation and Policy Analysis</w:t>
        </w:r>
        <w:r>
          <w:rPr>
            <w:sz w:val="20"/>
            <w:szCs w:val="20"/>
          </w:rPr>
          <w:t xml:space="preserve">, Vol. 38/2, pp. 199-221.</w:t>
        </w:r>
      </w:ins>
    </w:p>
    <w:p w14:paraId="7B43D212" w14:textId="77777777" w:rsidR="00F40E91" w:rsidRDefault="00A42790">
      <w:pPr>
        <w:spacing w:after="70"/>
        <w:ind w:left="280" w:hanging="280"/>
      </w:pPr>
      <w:r>
        <w:rPr>
          <w:sz w:val="20"/>
          <w:szCs w:val="20"/>
        </w:rPr>
        <w:t>Statistics Norway (2025), articles on the labour-market attachment of trained teachers, Statistisk sentralbyrå, Oslo, https://www.ssb.no/. [Full bibliographic details to be completed before publication.]</w:t>
      </w:r>
    </w:p>
    <w:p w14:paraId="73DEFE16" w14:textId="77777777" w:rsidR="00F40E91" w:rsidRDefault="00A42790">
      <w:pPr>
        <w:spacing w:after="70"/>
        <w:ind w:left="280" w:hanging="280"/>
      </w:pPr>
      <w:r>
        <w:rPr>
          <w:sz w:val="20"/>
          <w:szCs w:val="20"/>
        </w:rPr>
        <w:t>Statistics Sweden (2023), *Lärare utanför yrket 2022/2023*, Statistiska centralbyrån, Stockholm, https://www.scb.se/.</w:t>
      </w:r>
    </w:p>
    <w:p w14:paraId="4CC69471" w14:textId="77777777" w:rsidR="00F40E91" w:rsidRDefault="00A42790">
      <w:pPr>
        <w:spacing w:after="70"/>
        <w:ind w:left="280" w:hanging="280"/>
      </w:pPr>
      <w:r>
        <w:rPr>
          <w:sz w:val="20"/>
          <w:szCs w:val="20"/>
        </w:rPr>
        <w:t>Stinebrickner, T. R. (2001), "A dynamic model of teacher labor supply", *Journal of Labor Economics*, Vol. 19/1, pp. 196-230, https://doi.org/10.1086/209985.</w:t>
      </w:r>
    </w:p>
    <w:p w14:paraId="79399607" w14:textId="77777777" w:rsidR="00F40E91" w:rsidRDefault="00A42790">
      <w:pPr>
        <w:spacing w:after="70"/>
        <w:ind w:left="280" w:hanging="280"/>
      </w:pPr>
      <w:r>
        <w:rPr>
          <w:sz w:val="20"/>
          <w:szCs w:val="20"/>
        </w:rPr>
        <w:t>Stinebrickner, T. R. (2002), "An analysis of occupational change and departure from the labor force: Evidence of the reasons that teachers leave", *Journal of Human Resources*, Vol. 37/1, pp. 192-216, https://doi.org/10.2307/3069608.</w:t>
      </w:r>
    </w:p>
    <w:p w14:paraId="313D88B9" w14:textId="77777777" w:rsidR="00F40E91" w:rsidRDefault="00A42790">
      <w:pPr>
        <w:spacing w:after="70"/>
        <w:ind w:left="280" w:hanging="280"/>
      </w:pPr>
      <w:r>
        <w:rPr>
          <w:sz w:val="20"/>
          <w:szCs w:val="20"/>
        </w:rPr>
        <w:t>UNESCO (2024), *Global Report on Teachers: Addressing Teacher Shortages and Transforming the Profession*, UNESCO and the International Task Force on Teachers for Education 2030, Paris, https://doi.org/10.54675/FIGU8035.</w:t>
      </w:r>
    </w:p>
    <w:p w14:paraId="20B2F68D" w14:textId="77777777" w:rsidR="00F40E91" w:rsidRDefault="00A42790">
      <w:pPr>
        <w:spacing w:after="70"/>
        <w:ind w:left="280" w:hanging="280"/>
      </w:pPr>
      <w:r>
        <w:rPr>
          <w:sz w:val="20"/>
          <w:szCs w:val="20"/>
        </w:rPr>
        <w:t>United Kingdom (1996), *Employment Rights Act 1996*, Part 8A (Flexible Working), sections 80F-80G, as amended, London, https://www.legislation.gov.uk/ukpga/1996/18/part/8A.</w:t>
      </w:r>
    </w:p>
    <w:p w14:paraId="0CA954CB" w14:textId="77777777" w:rsidR="00F40E91" w:rsidRDefault="00A42790">
      <w:pPr>
        <w:spacing w:after="70"/>
        <w:ind w:left="280" w:hanging="280"/>
      </w:pPr>
      <w:r>
        <w:rPr>
          <w:sz w:val="20"/>
          <w:szCs w:val="20"/>
        </w:rPr>
        <w:t>United States (2013), *Family and Medical Leave Act Regulations*, 29 CFR Part 825, Subpart F, Washington, DC, https://www.ecfr.gov/current/title-29/subtitle-B/chapter-V/subchapter-C/part-825/subpart-F.</w:t>
      </w:r>
    </w:p>
    <w:p w14:paraId="5726B3DB" w14:textId="77777777" w:rsidR="00F40E91" w:rsidRPr="00F15A52" w:rsidRDefault="00A42790">
      <w:pPr>
        <w:spacing w:after="70"/>
        <w:ind w:left="280" w:hanging="280"/>
        <w:rPr>
          <w:lang w:val="es-CL"/>
        </w:rPr>
      </w:pPr>
      <w:r>
        <w:rPr>
          <w:sz w:val="20"/>
          <w:szCs w:val="20"/>
          <w:lang w:val="es-CL"/>
        </w:rPr>
        <w:t>Van Casteren, W. et al. (2023), *Vertrekredenen leraren en docenten in het po, vo en mbo*, ResearchNed, Nijmegen, https://www.voion.nl/publicaties/vertrekredenen-leraren-en-docenten-in-het-po-vo-en-mbo/.</w:t>
      </w:r>
    </w:p>
    <w:p w14:paraId="02CEB6AC" w14:textId="77777777" w:rsidR="00F40E91" w:rsidRDefault="00A42790">
      <w:pPr>
        <w:spacing w:after="70"/>
        <w:ind w:left="280" w:hanging="280"/>
      </w:pPr>
      <w:r>
        <w:rPr>
          <w:sz w:val="20"/>
          <w:szCs w:val="20"/>
        </w:rPr>
        <w:t>Vansteenkiste, S. (2025), *De in- en uitstroom in het lerarenberoep vanuit vergelijkend perspectief*, Steunpunt Onderwijsonderzoek, Leuven.</w:t>
      </w:r>
    </w:p>
    <w:p w14:paraId="4F429D5B" w14:textId="77777777" w:rsidR="00F40E91" w:rsidRDefault="00A42790">
      <w:pPr>
        <w:spacing w:after="70"/>
        <w:ind w:left="280" w:hanging="280"/>
      </w:pPr>
      <w:r>
        <w:rPr>
          <w:sz w:val="20"/>
          <w:szCs w:val="20"/>
        </w:rPr>
        <w:t>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14:paraId="499B80BB" w14:textId="77777777" w:rsidR="00F40E91" w:rsidRDefault="00A42790">
      <w:pPr>
        <w:spacing w:after="70"/>
        <w:ind w:left="280" w:hanging="280"/>
      </w:pPr>
      <w:r>
        <w:rPr>
          <w:sz w:val="20"/>
          <w:szCs w:val="20"/>
        </w:rPr>
        <w:t>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14:paraId="6DA65A27" w14:textId="77777777" w:rsidR="00F40E91" w:rsidRDefault="00A42790">
      <w:pPr>
        <w:spacing w:after="70"/>
        <w:ind w:left="280" w:hanging="280"/>
      </w:pPr>
      <w:r>
        <w:rPr>
          <w:sz w:val="20"/>
          <w:szCs w:val="20"/>
        </w:rPr>
        <w:t>Worth, J. and D. McLean (2022), *Teacher Labour Market in England: Annual Report and Earnings Analysis*, National Foundation for Educational Research, Slough, https://www.nfer.ac.uk/. [Exact report title to be confirmed against the earnings analysis cited.]</w:t>
      </w:r>
    </w:p>
    <w:sectPr w:rsidR="00F40E91">
      <w:headerReference w:type="default" r:id="rId17"/>
      <w:footerReference w:type="even" r:id="rId18"/>
      <w:footerReference w:type="default" r:id="rId19"/>
      <w:footerReference w:type="first" r:id="rId20"/>
      <w:pgSz w:w="11906" w:h="16838"/>
      <w:pgMar w:top="1417" w:right="1417" w:bottom="1417" w:left="1417"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TORRES José Manuel, EDU/IMEP" w:date="2026-09-18T10:07:00Z" w:initials="JT">
    <w:p w14:paraId="68D3E113" w14:textId="77777777" w:rsidR="00347EB0" w:rsidRDefault="00347EB0" w:rsidP="00347EB0">
      <w:pPr>
        <w:pStyle w:val="CommentText"/>
      </w:pPr>
      <w:r>
        <w:rPr>
          <w:rStyle w:val="CommentReference"/>
        </w:rPr>
        <w:annotationRef/>
      </w:r>
      <w:r>
        <w:rPr>
          <w:lang w:val="en-GB"/>
        </w:rPr>
        <w:t>General comments:</w:t>
      </w:r>
    </w:p>
    <w:p w14:paraId="236E8027" w14:textId="77777777" w:rsidR="00347EB0" w:rsidRDefault="00347EB0" w:rsidP="00347EB0">
      <w:pPr>
        <w:pStyle w:val="CommentText"/>
        <w:ind w:left="300"/>
      </w:pPr>
      <w:r>
        <w:rPr>
          <w:lang w:val="en-GB"/>
        </w:rPr>
        <w:t>Table 1 taxonomy is great and works well. Doubting about the order, although the current one (from intrinsic to extrinsic) also works.</w:t>
      </w:r>
    </w:p>
    <w:p w14:paraId="6137215F" w14:textId="77777777" w:rsidR="00347EB0" w:rsidRDefault="00347EB0" w:rsidP="00347EB0">
      <w:pPr>
        <w:pStyle w:val="CommentText"/>
        <w:ind w:left="300"/>
      </w:pPr>
      <w:r>
        <w:rPr>
          <w:lang w:val="en-GB"/>
        </w:rPr>
        <w:t>Scope/cover of the literature reviewed is perfect.</w:t>
      </w:r>
    </w:p>
    <w:p w14:paraId="1B08251C" w14:textId="77777777" w:rsidR="00347EB0" w:rsidRDefault="00347EB0" w:rsidP="00347EB0">
      <w:pPr>
        <w:pStyle w:val="CommentText"/>
        <w:ind w:left="300"/>
      </w:pPr>
      <w:r>
        <w:rPr>
          <w:lang w:val="en-GB"/>
        </w:rPr>
        <w:t>We usually don’t use footnotes on OECD publications, and currently there are plenty of them and they carry too much substantive content. They should be moved into the text.</w:t>
      </w:r>
    </w:p>
    <w:p w14:paraId="5087C117" w14:textId="77777777" w:rsidR="00347EB0" w:rsidRDefault="00347EB0" w:rsidP="00347EB0">
      <w:pPr>
        <w:pStyle w:val="CommentText"/>
        <w:ind w:left="300"/>
      </w:pPr>
      <w:r>
        <w:rPr>
          <w:lang w:val="en-GB"/>
        </w:rPr>
        <w:t>Some sentences are very long and carry too many ideas. Let’s try to shorten and smoothen them.</w:t>
      </w:r>
    </w:p>
  </w:comment>
  <w:comment w:id="7" w:author="TORRES José Manuel, EDU/IMEP" w:date="2026-09-18T09:25:00Z" w:initials="JT">
    <w:p w14:paraId="56AAA5F9" w14:textId="77777777" w:rsidR="00A552FF" w:rsidRDefault="00A552FF" w:rsidP="00A552FF">
      <w:pPr>
        <w:pStyle w:val="CommentText"/>
      </w:pPr>
      <w:r>
        <w:rPr>
          <w:rStyle w:val="CommentReference"/>
        </w:rPr>
        <w:annotationRef/>
      </w:r>
      <w:r>
        <w:rPr>
          <w:lang w:val="en-GB"/>
        </w:rPr>
        <w:t>This is useful and has a potential to be used afterwards, but mostly disappears in the following sections. Let’s see where to use them.</w:t>
      </w:r>
    </w:p>
  </w:comment>
  <w:comment w:id="10" w:author="TORRES José Manuel, EDU/IMEP" w:date="2026-09-17T16:56:00Z" w:initials="JT">
    <w:p w14:paraId="7B65540A" w14:textId="77777777" w:rsidR="00084A2D" w:rsidRDefault="00FB011F" w:rsidP="00084A2D">
      <w:pPr>
        <w:pStyle w:val="CommentText"/>
      </w:pPr>
      <w:r>
        <w:rPr>
          <w:rStyle w:val="CommentReference"/>
        </w:rPr>
        <w:annotationRef/>
      </w:r>
      <w:r w:rsidR="00084A2D">
        <w:rPr>
          <w:lang w:val="en-GB"/>
        </w:rPr>
        <w:t>I’d put this upfront, as it’s the main reason as to why we’re studying this.</w:t>
      </w:r>
    </w:p>
    <w:p w14:paraId="3F84AB5E" w14:textId="77777777" w:rsidR="00084A2D" w:rsidRDefault="00084A2D" w:rsidP="00084A2D">
      <w:pPr>
        <w:pStyle w:val="CommentText"/>
      </w:pPr>
      <w:r>
        <w:rPr>
          <w:lang w:val="en-GB"/>
        </w:rPr>
        <w:t>I mean, this would probably be part of the Introduction.</w:t>
      </w:r>
    </w:p>
  </w:comment>
  <w:comment w:id="11" w:author="TORRES José Manuel, EDU/IMEP" w:date="2026-09-18T09:25:00Z" w:initials="JT">
    <w:p w14:paraId="5FFA4E51" w14:textId="77777777" w:rsidR="00EA6F7F" w:rsidRDefault="00EA6F7F" w:rsidP="00EA6F7F">
      <w:pPr>
        <w:pStyle w:val="CommentText"/>
      </w:pPr>
      <w:r>
        <w:rPr>
          <w:rStyle w:val="CommentReference"/>
        </w:rPr>
        <w:annotationRef/>
      </w:r>
      <w:r>
        <w:rPr>
          <w:lang w:val="en-GB"/>
        </w:rPr>
        <w:t>And then we would need a smoother transition from 2.1 to 2.2.</w:t>
      </w:r>
    </w:p>
  </w:comment>
  <w:comment w:id="13" w:author="DURÁN ROA José Elías, EDU/IMEP" w:date="2026-09-15T15:24:00Z" w:initials="JD">
    <w:p w14:paraId="51D09100" w14:textId="77777777" w:rsidR="00520C8B" w:rsidRDefault="00F10B26" w:rsidP="00520C8B">
      <w:pPr>
        <w:pStyle w:val="CommentText"/>
      </w:pPr>
      <w:r>
        <w:rPr>
          <w:rStyle w:val="CommentReference"/>
        </w:rPr>
        <w:annotationRef/>
      </w:r>
      <w:r w:rsidR="00520C8B">
        <w:rPr>
          <w:lang w:val="en-GB"/>
        </w:rPr>
        <w:t>Otra opción sería eliminar la tabla y dejar las areas como subtitulos en el texto, ya que al final menciono todo su contenido, en orden, en el cuerpo del texto.</w:t>
      </w:r>
    </w:p>
  </w:comment>
  <w:comment w:id="14" w:author="TORRES José Manuel, EDU/IMEP" w:date="2026-09-17T17:03:00Z" w:initials="JT">
    <w:p w14:paraId="4C75C3AD" w14:textId="77777777" w:rsidR="00880588" w:rsidRDefault="00880588" w:rsidP="00880588">
      <w:pPr>
        <w:pStyle w:val="CommentText"/>
      </w:pPr>
      <w:r>
        <w:rPr>
          <w:rStyle w:val="CommentReference"/>
        </w:rPr>
        <w:annotationRef/>
      </w:r>
      <w:r>
        <w:rPr>
          <w:lang w:val="en-GB"/>
        </w:rPr>
        <w:t>Siempre es bueno dejar algo más user-friendly</w:t>
      </w:r>
    </w:p>
  </w:comment>
  <w:comment w:id="44" w:author="TORRES José Manuel, EDU/IMEP" w:date="2026-09-17T17:17:00Z" w:initials="JT">
    <w:p w14:paraId="07B35EFF" w14:textId="77777777" w:rsidR="003F3306" w:rsidRDefault="003F3306" w:rsidP="003F3306">
      <w:pPr>
        <w:pStyle w:val="CommentText"/>
      </w:pPr>
      <w:r>
        <w:rPr>
          <w:rStyle w:val="CommentReference"/>
        </w:rPr>
        <w:annotationRef/>
      </w:r>
      <w:r>
        <w:rPr>
          <w:lang w:val="en-GB"/>
        </w:rPr>
        <w:t xml:space="preserve">If (and most likely when) needed, I’d prune this bit. </w:t>
      </w:r>
    </w:p>
  </w:comment>
  <w:comment w:id="45" w:author="TORRES José Manuel, EDU/IMEP" w:date="2026-09-18T09:48:00Z" w:initials="JT">
    <w:p w14:paraId="1D396AC3" w14:textId="77777777" w:rsidR="009D2F35" w:rsidRDefault="009D2F35" w:rsidP="009D2F35">
      <w:pPr>
        <w:pStyle w:val="CommentText"/>
      </w:pPr>
      <w:r>
        <w:rPr>
          <w:rStyle w:val="CommentReference"/>
        </w:rPr>
        <w:annotationRef/>
      </w:r>
      <w:r>
        <w:rPr>
          <w:lang w:val="en-GB"/>
        </w:rPr>
        <w:t>Love the implications for re-entry angle, but let’s make them consistent across the different areas (some areas show them, others don’t).</w:t>
      </w:r>
    </w:p>
  </w:comment>
  <w:comment w:id="46" w:author="TORRES José Manuel, EDU/IMEP" w:date="2026-09-17T17:27:00Z" w:initials="JT">
    <w:p w14:paraId="2E2FD1BF" w14:textId="77777777" w:rsidR="006C2144" w:rsidRDefault="006C2144" w:rsidP="006C2144">
      <w:pPr>
        <w:pStyle w:val="CommentText"/>
      </w:pPr>
      <w:r>
        <w:rPr>
          <w:rStyle w:val="CommentReference"/>
        </w:rPr>
        <w:annotationRef/>
      </w:r>
      <w:r>
        <w:rPr>
          <w:lang w:val="en-GB"/>
        </w:rPr>
        <w:t>The definition should come before</w:t>
      </w:r>
    </w:p>
  </w:comment>
  <w:comment w:id="47" w:author="TORRES José Manuel, EDU/IMEP" w:date="2026-09-17T17:27:00Z" w:initials="JT">
    <w:p w14:paraId="4988E326" w14:textId="77777777" w:rsidR="00F45E4A" w:rsidRDefault="00F45E4A" w:rsidP="00F45E4A">
      <w:pPr>
        <w:pStyle w:val="CommentText"/>
      </w:pPr>
      <w:r>
        <w:rPr>
          <w:rStyle w:val="CommentReference"/>
        </w:rPr>
        <w:annotationRef/>
      </w:r>
      <w:r>
        <w:rPr>
          <w:lang w:val="en-GB"/>
        </w:rPr>
        <w:t>Let’s be aware that working conditions of teachers may not be “worse” than those of other sectors/professions</w:t>
      </w:r>
    </w:p>
  </w:comment>
  <w:comment w:id="48" w:author="TORRES José Manuel, EDU/IMEP" w:date="2026-09-17T17:29:00Z" w:initials="JT">
    <w:p w14:paraId="2BE8211D" w14:textId="77777777" w:rsidR="00793F59" w:rsidRDefault="00793F59" w:rsidP="00793F59">
      <w:pPr>
        <w:pStyle w:val="CommentText"/>
      </w:pPr>
      <w:r>
        <w:rPr>
          <w:rStyle w:val="CommentReference"/>
        </w:rPr>
        <w:annotationRef/>
      </w:r>
      <w:r>
        <w:rPr>
          <w:lang w:val="en-GB"/>
        </w:rPr>
        <w:t>Check WP on second-career teachers</w:t>
      </w:r>
    </w:p>
  </w:comment>
  <w:comment w:id="49" w:author="TORRES José Manuel, EDU/IMEP" w:date="2026-09-17T17:33:00Z" w:initials="JT">
    <w:p w14:paraId="1179A352" w14:textId="77777777" w:rsidR="00220E2C" w:rsidRDefault="00220E2C" w:rsidP="00220E2C">
      <w:pPr>
        <w:pStyle w:val="CommentText"/>
      </w:pPr>
      <w:r>
        <w:rPr>
          <w:rStyle w:val="CommentReference"/>
        </w:rPr>
        <w:annotationRef/>
      </w:r>
      <w:r>
        <w:rPr>
          <w:lang w:val="en-GB"/>
        </w:rPr>
        <w:t>Questionable, we would need to back it with refs.</w:t>
      </w:r>
    </w:p>
    <w:p w14:paraId="57949457" w14:textId="77777777" w:rsidR="00220E2C" w:rsidRDefault="00220E2C" w:rsidP="00220E2C">
      <w:pPr>
        <w:pStyle w:val="CommentText"/>
      </w:pPr>
      <w:r>
        <w:rPr>
          <w:lang w:val="en-GB"/>
        </w:rPr>
        <w:t>Schools in more vulnerable contexts / with less resources can be even more effective in terms of educational quality than schools in less vulnerable contexts / with more resources, differentiating by SE</w:t>
      </w:r>
    </w:p>
  </w:comment>
  <w:comment w:id="50" w:author="TORRES José Manuel, EDU/IMEP" w:date="2026-09-17T17:41:00Z" w:initials="JT">
    <w:p w14:paraId="17D90F6E" w14:textId="77777777" w:rsidR="00C40700" w:rsidRDefault="00073FD8" w:rsidP="00C40700">
      <w:pPr>
        <w:pStyle w:val="CommentText"/>
      </w:pPr>
      <w:r>
        <w:rPr>
          <w:rStyle w:val="CommentReference"/>
        </w:rPr>
        <w:annotationRef/>
      </w:r>
      <w:r w:rsidR="00C40700">
        <w:rPr>
          <w:lang w:val="en-GB"/>
        </w:rPr>
        <w:t>We should update this with the newest TALIS data (2024)</w:t>
      </w:r>
    </w:p>
  </w:comment>
  <w:comment w:id="51" w:author="TORRES José Manuel, EDU/IMEP" w:date="2026-09-18T09:30:00Z" w:initials="JT">
    <w:p w14:paraId="5290F8E1" w14:textId="77777777" w:rsidR="00400CB5" w:rsidRDefault="00C14D39" w:rsidP="00400CB5">
      <w:pPr>
        <w:pStyle w:val="CommentText"/>
      </w:pPr>
      <w:r>
        <w:rPr>
          <w:rStyle w:val="CommentReference"/>
        </w:rPr>
        <w:annotationRef/>
      </w:r>
      <w:r w:rsidR="00400CB5">
        <w:rPr>
          <w:lang w:val="en-GB"/>
        </w:rPr>
        <w:t xml:space="preserve">In the table, we mention certification as a reason to leave, but we don’t mention it here. </w:t>
      </w:r>
    </w:p>
    <w:p w14:paraId="4A97938F" w14:textId="77777777" w:rsidR="00400CB5" w:rsidRDefault="00400CB5" w:rsidP="00400CB5">
      <w:pPr>
        <w:pStyle w:val="CommentText"/>
      </w:pPr>
      <w:r>
        <w:rPr>
          <w:lang w:val="en-GB"/>
        </w:rPr>
        <w:t>I understand the logic behind re-certification though (and it’s quite good!), but that relates to re-entry, not leaving.</w:t>
      </w:r>
    </w:p>
  </w:comment>
  <w:comment w:id="52" w:author="TORRES José Manuel, EDU/IMEP" w:date="2026-09-17T17:46:00Z" w:initials="JT">
    <w:p w14:paraId="20C8EAA4" w14:textId="77777777" w:rsidR="00AC5EA8" w:rsidRDefault="00AC5EA8" w:rsidP="00AC5EA8">
      <w:pPr>
        <w:pStyle w:val="CommentText"/>
      </w:pPr>
      <w:r>
        <w:rPr>
          <w:rStyle w:val="CommentReference"/>
        </w:rPr>
        <w:annotationRef/>
      </w:r>
      <w:r>
        <w:rPr>
          <w:lang w:val="en-GB"/>
        </w:rPr>
        <w:t>For the same reason, we should present it before</w:t>
      </w:r>
    </w:p>
  </w:comment>
  <w:comment w:id="53" w:author="TORRES José Manuel, EDU/IMEP" w:date="2026-09-17T17:54:00Z" w:initials="JT">
    <w:p w14:paraId="1BE2B3D6" w14:textId="77777777" w:rsidR="00B45863" w:rsidRDefault="00B45863" w:rsidP="00B45863">
      <w:pPr>
        <w:pStyle w:val="CommentText"/>
      </w:pPr>
      <w:r>
        <w:rPr>
          <w:rStyle w:val="CommentReference"/>
        </w:rPr>
        <w:annotationRef/>
      </w:r>
      <w:r>
        <w:rPr>
          <w:lang w:val="en-GB"/>
        </w:rPr>
        <w:t xml:space="preserve">We can add a figure of the US data, which is quite telling </w:t>
      </w:r>
    </w:p>
  </w:comment>
  <w:comment w:id="54" w:author="TORRES José Manuel, EDU/IMEP" w:date="2026-09-17T17:55:00Z" w:initials="JT">
    <w:p w14:paraId="25D58660" w14:textId="77777777" w:rsidR="00212246" w:rsidRDefault="00212246" w:rsidP="00212246">
      <w:pPr>
        <w:pStyle w:val="CommentText"/>
      </w:pPr>
      <w:r>
        <w:rPr>
          <w:rStyle w:val="CommentReference"/>
        </w:rPr>
        <w:annotationRef/>
      </w:r>
      <w:r>
        <w:rPr>
          <w:lang w:val="en-GB"/>
        </w:rPr>
        <w:t>Double ‘while’</w:t>
      </w:r>
    </w:p>
  </w:comment>
  <w:comment w:id="55" w:author="DURÁN ROA José Elías, EDU/IMEP" w:date="2026-09-16T12:02:00Z" w:initials="JD">
    <w:p w14:paraId="37AE38B7" w14:textId="77777777" w:rsidR="003D32AA" w:rsidRDefault="003D32AA" w:rsidP="003D32AA">
      <w:pPr>
        <w:pStyle w:val="CommentText"/>
      </w:pPr>
      <w:r>
        <w:rPr>
          <w:rStyle w:val="CommentReference"/>
        </w:rPr>
        <w:annotationRef/>
      </w:r>
      <w:r>
        <w:rPr>
          <w:lang w:val="en-GB"/>
        </w:rPr>
        <w:t>No sé bien como funcionan las blue pages, pero aquí se podría hacer una de 1 página, un cierre, con lo que aprendemos y será útil para las políticas de re atracting former teachers</w:t>
      </w:r>
    </w:p>
  </w:comment>
  <w:comment w:id="56" w:author="DURÁN ROA José Elías, EDU/IMEP" w:date="2026-09-16T12:03:00Z" w:initials="JD">
    <w:p w14:paraId="6F61083B" w14:textId="77777777" w:rsidR="00D80668" w:rsidRDefault="003D32AA" w:rsidP="00D80668">
      <w:pPr>
        <w:pStyle w:val="CommentText"/>
      </w:pPr>
      <w:r>
        <w:rPr>
          <w:rStyle w:val="CommentReference"/>
        </w:rPr>
        <w:annotationRef/>
      </w:r>
      <w:r w:rsidR="00D80668">
        <w:rPr>
          <w:lang w:val="en-GB"/>
        </w:rPr>
        <w:t>Crees que tiene sentido? Tipo razón A - afecta mainly a swtchers… aprendemos X… razón B - afecta tanto a leavers como a swicthers y aprendemos… O crees que con los dos párrafos de cierre basta?</w:t>
      </w:r>
    </w:p>
  </w:comment>
  <w:comment w:id="57" w:author="TORRES José Manuel, EDU/IMEP" w:date="2026-09-17T17:58:00Z" w:initials="JT">
    <w:p w14:paraId="385ADF2B" w14:textId="77777777" w:rsidR="00501279" w:rsidRDefault="00501279" w:rsidP="00501279">
      <w:pPr>
        <w:pStyle w:val="CommentText"/>
      </w:pPr>
      <w:r>
        <w:rPr>
          <w:rStyle w:val="CommentReference"/>
        </w:rPr>
        <w:annotationRef/>
      </w:r>
      <w:r>
        <w:rPr>
          <w:lang w:val="en-GB"/>
        </w:rPr>
        <w:t>Hablémoslo, puede ser interesante, dependiendo de qué tan granular lo queramos hacer.</w:t>
      </w:r>
    </w:p>
    <w:p w14:paraId="70E514C7" w14:textId="77777777" w:rsidR="00501279" w:rsidRDefault="00501279" w:rsidP="00501279">
      <w:pPr>
        <w:pStyle w:val="CommentText"/>
      </w:pPr>
      <w:r>
        <w:rPr>
          <w:lang w:val="en-GB"/>
        </w:rPr>
        <w:t xml:space="preserve">En ese caso podemos borrar la tabla inicial y solo tener un infographic / blue page. </w:t>
      </w:r>
    </w:p>
  </w:comment>
  <w:comment w:id="58" w:author="TORRES José Manuel, EDU/IMEP" w:date="2026-09-17T18:01:00Z" w:initials="JT">
    <w:p w14:paraId="07DB48E4" w14:textId="77777777" w:rsidR="009D0DE9" w:rsidRDefault="009D0DE9" w:rsidP="009D0DE9">
      <w:pPr>
        <w:pStyle w:val="CommentText"/>
      </w:pPr>
      <w:r>
        <w:rPr>
          <w:rStyle w:val="CommentReference"/>
        </w:rPr>
        <w:annotationRef/>
      </w:r>
      <w:r>
        <w:rPr>
          <w:lang w:val="en-GB"/>
        </w:rPr>
        <w:t>Will depend though on how (and/or in which role) we want to re-attract the former teachers into the education systems</w:t>
      </w:r>
    </w:p>
  </w:comment>
  <w:comment w:id="59" w:author="TORRES José Manuel, EDU/IMEP" w:date="2026-09-17T18:00:00Z" w:initials="JT">
    <w:p w14:paraId="3969CF95" w14:textId="77777777" w:rsidR="00F817BC" w:rsidRDefault="00F817BC" w:rsidP="00F817BC">
      <w:pPr>
        <w:pStyle w:val="CommentText"/>
      </w:pPr>
      <w:r>
        <w:rPr>
          <w:rStyle w:val="CommentReference"/>
        </w:rPr>
        <w:annotationRef/>
      </w:r>
      <w:r>
        <w:rPr>
          <w:lang w:val="en-GB"/>
        </w:rPr>
        <w:t xml:space="preserve">Ref </w:t>
      </w:r>
    </w:p>
  </w:comment>
  <w:comment w:id="60" w:author="Claude" w:date="2026-10-05T13:25:41Z" w:initials="C">
    <w:p w14:paraId="3504F7C8" w14:textId="77777777">
      <w:r>
        <w:rPr>
          <w:rStyle w:val="CommentReference"/>
        </w:rPr>
        <w:annotationRef/>
      </w:r>
      <w:r>
        <w:rPr>
          <w:color w:val="000000"/>
          <w:sz w:val="20"/>
          <w:szCs w:val="20"/>
        </w:rPr>
        <w:t xml:space="preserve">Done. The table is gone and the six areas are subtitles (JD's suggestion, accepted in the thread on the blue page); Box 1 at the end of 2.2 is now the user-friendly element. Order changed to the weight of the evidence: working conditions, organisational, financial, professional, personal and life-course, accountability and regulation. All twelve footnotes were moved into the text or dropped (footnote 4 on the appendix table, not yet built; footnote 5 pruned as asked). Long sentences split throughout. Everything is a tracked change, so blocks can be accepted or rejected separately. References added for citations that were missing from the list (Béteille et al. 2012, Eurydice 2021, Feng and Sass 2018, Grissom 2011, Grissom and Reininger 2012, Johnson et al. 2012, Ladd 2011, NCES 2014, OECD 2020, Redding and Smith 2016, Ryan et al. 2017, Simon and Johnson 2015, Springer et al. 2016); still missing: Ministère de l'Éducation nationale 2023, Victorian Institute of Teaching 2025, Teaching Council of Aotearoa New Zealand 2016.</w:t>
      </w:r>
    </w:p>
  </w:comment>
  <w:comment w:id="61" w:author="Claude" w:date="2026-10-05T13:25:41Z" w:initials="C">
    <w:p w14:paraId="11C45C83" w14:textId="77777777">
      <w:r>
        <w:rPr>
          <w:rStyle w:val="CommentReference"/>
        </w:rPr>
        <w:annotationRef/>
      </w:r>
      <w:r>
        <w:rPr>
          <w:color w:val="000000"/>
          <w:sz w:val="20"/>
          <w:szCs w:val="20"/>
        </w:rPr>
        <w:t xml:space="preserve">Done. The three profiles are announced here as the thread running through 2.2: each area closes with an implications paragraph that names the profile it mainly concerns, and Box 1 lists them.</w:t>
      </w:r>
    </w:p>
  </w:comment>
  <w:comment w:id="62" w:author="Claude" w:date="2026-10-05T13:25:41Z" w:initials="C">
    <w:p w14:paraId="65D581D3" w14:textId="77777777">
      <w:r>
        <w:rPr>
          <w:rStyle w:val="CommentReference"/>
        </w:rPr>
        <w:annotationRef/>
      </w:r>
      <w:r>
        <w:rPr>
          <w:color w:val="000000"/>
          <w:sz w:val="20"/>
          <w:szCs w:val="20"/>
        </w:rPr>
        <w:t xml:space="preserve">Done. Moved to the Introduction as its opening paragraph, lightly edited. A new transition paragraph closes 2.1 and leads into 2.2.</w:t>
      </w:r>
    </w:p>
  </w:comment>
  <w:comment w:id="63" w:author="Claude" w:date="2026-10-05T13:25:41Z" w:initials="C">
    <w:p w14:paraId="18B12FFD" w14:textId="77777777">
      <w:r>
        <w:rPr>
          <w:rStyle w:val="CommentReference"/>
        </w:rPr>
        <w:annotationRef/>
      </w:r>
      <w:r>
        <w:rPr>
          <w:color w:val="000000"/>
          <w:sz w:val="20"/>
          <w:szCs w:val="20"/>
        </w:rPr>
        <w:t xml:space="preserve">Done as agreed in the thread below: the table is removed, the areas are subtitles, and Box 1 provides the user-friendly summary.</w:t>
      </w:r>
    </w:p>
  </w:comment>
  <w:comment w:id="64" w:author="Claude" w:date="2026-10-05T13:25:42Z" w:initials="C">
    <w:p w14:paraId="72BEDC86" w14:textId="77777777">
      <w:r>
        <w:rPr>
          <w:rStyle w:val="CommentReference"/>
        </w:rPr>
        <w:annotationRef/>
      </w:r>
      <w:r>
        <w:rPr>
          <w:color w:val="000000"/>
          <w:sz w:val="20"/>
          <w:szCs w:val="20"/>
        </w:rPr>
        <w:t xml:space="preserve">Pruned, together with footnote 5.</w:t>
      </w:r>
    </w:p>
  </w:comment>
  <w:comment w:id="65" w:author="Claude" w:date="2026-10-05T13:25:42Z" w:initials="C">
    <w:p w14:paraId="636D322E" w14:textId="77777777">
      <w:r>
        <w:rPr>
          <w:rStyle w:val="CommentReference"/>
        </w:rPr>
        <w:annotationRef/>
      </w:r>
      <w:r>
        <w:rPr>
          <w:color w:val="000000"/>
          <w:sz w:val="20"/>
          <w:szCs w:val="20"/>
        </w:rPr>
        <w:t xml:space="preserve">Done. Every area now closes with a paragraph of implications for re-entry, consistently phrased and naming the profile concerned.</w:t>
      </w:r>
    </w:p>
  </w:comment>
  <w:comment w:id="66" w:author="Claude" w:date="2026-10-05T13:25:42Z" w:initials="C">
    <w:p w14:paraId="1CCA4411" w14:textId="77777777">
      <w:r>
        <w:rPr>
          <w:rStyle w:val="CommentReference"/>
        </w:rPr>
        <w:annotationRef/>
      </w:r>
      <w:r>
        <w:rPr>
          <w:color w:val="000000"/>
          <w:sz w:val="20"/>
          <w:szCs w:val="20"/>
        </w:rPr>
        <w:t xml:space="preserve">Done. Workload is defined at its first mention, in the opening paragraph of Working conditions.</w:t>
      </w:r>
    </w:p>
  </w:comment>
  <w:comment w:id="67" w:author="Claude" w:date="2026-10-05T13:25:42Z" w:initials="C">
    <w:p w14:paraId="080D094B" w14:textId="77777777">
      <w:r>
        <w:rPr>
          <w:rStyle w:val="CommentReference"/>
        </w:rPr>
        <w:annotationRef/>
      </w:r>
      <w:r>
        <w:rPr>
          <w:color w:val="000000"/>
          <w:sz w:val="20"/>
          <w:szCs w:val="20"/>
        </w:rPr>
        <w:t xml:space="preserve">Added a paragraph: compared with similarly qualified workers in the Survey of Adult Skills, teachers report fewer weekly hours in 13 of 26 systems and no clear difference in 11 (TALIS 2024). Please check the exact figures against the 'demands of teaching' chapter. I could not open the second-career working paper (No. 347) from this environment; if it has a direct comparison, that is the place to add it.</w:t>
      </w:r>
    </w:p>
  </w:comment>
  <w:comment w:id="68" w:author="Claude" w:date="2026-10-05T13:25:42Z" w:initials="C">
    <w:p w14:paraId="50545517" w14:textId="77777777">
      <w:r>
        <w:rPr>
          <w:rStyle w:val="CommentReference"/>
        </w:rPr>
        <w:annotationRef/>
      </w:r>
      <w:r>
        <w:rPr>
          <w:color w:val="000000"/>
          <w:sz w:val="20"/>
          <w:szCs w:val="20"/>
        </w:rPr>
        <w:t xml:space="preserve">Rewritten. The sorting argument now rests on Béteille, Kalogrides and Loeb (2012), who show that principals move towards more advantaged schools, and on Grissom (2011), who finds that effective principals reduce turnover most in disadvantaged schools, which is your point. Both added to the references.</w:t>
      </w:r>
    </w:p>
  </w:comment>
  <w:comment w:id="69" w:author="Claude" w:date="2026-10-05T13:25:42Z" w:initials="C">
    <w:p w14:paraId="7046A5A2" w14:textId="77777777">
      <w:r>
        <w:rPr>
          <w:rStyle w:val="CommentReference"/>
        </w:rPr>
        <w:annotationRef/>
      </w:r>
      <w:r>
        <w:rPr>
          <w:color w:val="000000"/>
          <w:sz w:val="20"/>
          <w:szCs w:val="20"/>
        </w:rPr>
        <w:t xml:space="preserve">Updated: 26% of novice teachers had an assigned mentor in 2024, and four in five work in schools with a mentoring programme (OECD, 2025b). TALIS 2024 facts are now cited to OECD (2025b), the Results volume, rather than to the country notes (2025c).</w:t>
      </w:r>
    </w:p>
  </w:comment>
  <w:comment w:id="70" w:author="Claude" w:date="2026-10-05T13:25:42Z" w:initials="C">
    <w:p w14:paraId="07984086" w14:textId="77777777">
      <w:r>
        <w:rPr>
          <w:rStyle w:val="CommentReference"/>
        </w:rPr>
        <w:annotationRef/>
      </w:r>
      <w:r>
        <w:rPr>
          <w:color w:val="000000"/>
          <w:sz w:val="20"/>
          <w:szCs w:val="20"/>
        </w:rPr>
        <w:t xml:space="preserve">Rewritten. Licensing now appears as a reason for leaving where it is documented (teachers without full certification, Redding and Smith, 2016) and is otherwise presented as a barrier to re-entry rather than a cause of leaving. Inspection as a reason to leave is added with Sims (2016) and Perryman et al. (2025), which were in the reference list but not cited.</w:t>
      </w:r>
    </w:p>
  </w:comment>
  <w:comment w:id="71" w:author="Claude" w:date="2026-10-05T13:25:42Z" w:initials="C">
    <w:p w14:paraId="61846B81" w14:textId="77777777">
      <w:r>
        <w:rPr>
          <w:rStyle w:val="CommentReference"/>
        </w:rPr>
        <w:annotationRef/>
      </w:r>
      <w:r>
        <w:rPr>
          <w:color w:val="000000"/>
          <w:sz w:val="20"/>
          <w:szCs w:val="20"/>
        </w:rPr>
        <w:t xml:space="preserve">Done. Financial factors now come third, after working conditions and organisational factors.</w:t>
      </w:r>
    </w:p>
  </w:comment>
  <w:comment w:id="72" w:author="Claude" w:date="2026-10-05T13:25:42Z" w:initials="C">
    <w:p w14:paraId="32DA5527" w14:textId="77777777">
      <w:r>
        <w:rPr>
          <w:rStyle w:val="CommentReference"/>
        </w:rPr>
        <w:annotationRef/>
      </w:r>
      <w:r>
        <w:rPr>
          <w:color w:val="000000"/>
          <w:sz w:val="20"/>
          <w:szCs w:val="20"/>
        </w:rPr>
        <w:t xml:space="preserve">Added as Figure 3, from the project's own CPS analysis (non-returning leavers by age, 2005-2014 against 2015-2024), with caption, note and source. Please check the wording of the note against the brief.</w:t>
      </w:r>
    </w:p>
  </w:comment>
  <w:comment w:id="73" w:author="Claude" w:date="2026-10-05T13:25:42Z" w:initials="C">
    <w:p w14:paraId="46CC2193" w14:textId="77777777">
      <w:r>
        <w:rPr>
          <w:rStyle w:val="CommentReference"/>
        </w:rPr>
        <w:annotationRef/>
      </w:r>
      <w:r>
        <w:rPr>
          <w:color w:val="000000"/>
          <w:sz w:val="20"/>
          <w:szCs w:val="20"/>
        </w:rPr>
        <w:t xml:space="preserve">Fixed.</w:t>
      </w:r>
    </w:p>
  </w:comment>
  <w:comment w:id="74" w:author="Claude" w:date="2026-10-05T13:25:43Z" w:initials="C">
    <w:p w14:paraId="6C91CB27" w14:textId="77777777">
      <w:r>
        <w:rPr>
          <w:rStyle w:val="CommentReference"/>
        </w:rPr>
        <w:annotationRef/>
      </w:r>
      <w:r>
        <w:rPr>
          <w:color w:val="000000"/>
          <w:sz w:val="20"/>
          <w:szCs w:val="20"/>
        </w:rPr>
        <w:t xml:space="preserve">Done: Box 1 closes the section, one entry per area with the profile it mainly affects and the lesson for re-attraction, plus an overall line. The initial table is gone, as JT suggested.</w:t>
      </w:r>
    </w:p>
  </w:comment>
  <w:comment w:id="75" w:author="Claude" w:date="2026-10-05T13:25:43Z" w:initials="C">
    <w:p w14:paraId="776C484D" w14:textId="77777777">
      <w:r>
        <w:rPr>
          <w:rStyle w:val="CommentReference"/>
        </w:rPr>
        <w:annotationRef/>
      </w:r>
      <w:r>
        <w:rPr>
          <w:color w:val="000000"/>
          <w:sz w:val="20"/>
          <w:szCs w:val="20"/>
        </w:rPr>
        <w:t xml:space="preserve">Added: the closing paragraph now says that exposure to these conditions depends on the role in which former teachers return (a mentor or tutor for a few hours against a full classroom load in a hard-to-staff school).</w:t>
      </w:r>
    </w:p>
  </w:comment>
  <w:comment w:id="76" w:author="Claude" w:date="2026-10-05T13:25:43Z" w:initials="C">
    <w:p w14:paraId="2F7E36C0" w14:textId="77777777">
      <w:r>
        <w:rPr>
          <w:rStyle w:val="CommentReference"/>
        </w:rPr>
        <w:annotationRef/>
      </w:r>
      <w:r>
        <w:rPr>
          <w:color w:val="000000"/>
          <w:sz w:val="20"/>
          <w:szCs w:val="20"/>
        </w:rPr>
        <w:t xml:space="preserve">Added: Sims and Jerrim (2020) and Kraft, Marinell and Shen-Wei Yee (2016).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87C117" w15:done="0"/>
  <w15:commentEx w15:paraId="56AAA5F9" w15:done="0"/>
  <w15:commentEx w15:paraId="3F84AB5E" w15:done="0"/>
  <w15:commentEx w15:paraId="5FFA4E51" w15:paraIdParent="3F84AB5E" w15:done="0"/>
  <w15:commentEx w15:paraId="51D09100" w15:done="0"/>
  <w15:commentEx w15:paraId="4C75C3AD" w15:paraIdParent="51D09100" w15:done="0"/>
  <w15:commentEx w15:paraId="07B35EFF" w15:done="0"/>
  <w15:commentEx w15:paraId="1D396AC3" w15:done="0"/>
  <w15:commentEx w15:paraId="2E2FD1BF" w15:done="0"/>
  <w15:commentEx w15:paraId="4988E326" w15:done="0"/>
  <w15:commentEx w15:paraId="2BE8211D" w15:paraIdParent="4988E326" w15:done="0"/>
  <w15:commentEx w15:paraId="57949457" w15:done="0"/>
  <w15:commentEx w15:paraId="17D90F6E" w15:done="0"/>
  <w15:commentEx w15:paraId="4A97938F" w15:done="0"/>
  <w15:commentEx w15:paraId="20C8EAA4" w15:done="0"/>
  <w15:commentEx w15:paraId="1BE2B3D6" w15:done="0"/>
  <w15:commentEx w15:paraId="25D58660" w15:done="0"/>
  <w15:commentEx w15:paraId="37AE38B7" w15:done="0"/>
  <w15:commentEx w15:paraId="6F61083B" w15:paraIdParent="37AE38B7" w15:done="0"/>
  <w15:commentEx w15:paraId="70E514C7" w15:paraIdParent="37AE38B7" w15:done="0"/>
  <w15:commentEx w15:paraId="07DB48E4" w15:done="0"/>
  <w15:commentEx w15:paraId="3969CF95" w15:done="0"/>
  <w15:commentEx w15:paraId="3504F7C8" w15:paraIdParent="68D3E113" w15:done="0"/>
  <w15:commentEx w15:paraId="11C45C83" w15:paraIdParent="56AAA5F9" w15:done="0"/>
  <w15:commentEx w15:paraId="65D581D3" w15:paraIdParent="7B65540A" w15:done="0"/>
  <w15:commentEx w15:paraId="18B12FFD" w15:paraIdParent="51D09100" w15:done="0"/>
  <w15:commentEx w15:paraId="72BEDC86" w15:paraIdParent="07B35EFF" w15:done="0"/>
  <w15:commentEx w15:paraId="636D322E" w15:paraIdParent="1D396AC3" w15:done="0"/>
  <w15:commentEx w15:paraId="1CCA4411" w15:paraIdParent="2E2FD1BF" w15:done="0"/>
  <w15:commentEx w15:paraId="080D094B" w15:paraIdParent="4988E326" w15:done="0"/>
  <w15:commentEx w15:paraId="50545517" w15:paraIdParent="1179A352" w15:done="0"/>
  <w15:commentEx w15:paraId="7046A5A2" w15:paraIdParent="17D90F6E" w15:done="0"/>
  <w15:commentEx w15:paraId="07984086" w15:paraIdParent="5290F8E1" w15:done="0"/>
  <w15:commentEx w15:paraId="61846B81" w15:paraIdParent="20C8EAA4" w15:done="0"/>
  <w15:commentEx w15:paraId="32DA5527" w15:paraIdParent="1BE2B3D6" w15:done="0"/>
  <w15:commentEx w15:paraId="46CC2193" w15:paraIdParent="25D58660" w15:done="0"/>
  <w15:commentEx w15:paraId="6C91CB27" w15:paraIdParent="37AE38B7" w15:done="0"/>
  <w15:commentEx w15:paraId="776C484D" w15:paraIdParent="07DB48E4" w15:done="0"/>
  <w15:commentEx w15:paraId="2F7E36C0" w15:paraIdParent="3969CF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D5DBD91" w16cex:dateUtc="2026-09-18T08:07:00Z"/>
  <w16cex:commentExtensible w16cex:durableId="26E7CA92" w16cex:dateUtc="2026-09-18T07:25:00Z"/>
  <w16cex:commentExtensible w16cex:durableId="79A1E460" w16cex:dateUtc="2026-09-17T14:56:00Z"/>
  <w16cex:commentExtensible w16cex:durableId="3CA2A8AA" w16cex:dateUtc="2026-09-18T07:25:00Z"/>
  <w16cex:commentExtensible w16cex:durableId="4455A082" w16cex:dateUtc="2026-09-15T13:24:00Z"/>
  <w16cex:commentExtensible w16cex:durableId="38368CFB" w16cex:dateUtc="2026-09-17T15:03:00Z"/>
  <w16cex:commentExtensible w16cex:durableId="36401AE9" w16cex:dateUtc="2026-09-17T15:17:00Z"/>
  <w16cex:commentExtensible w16cex:durableId="3DD0316A" w16cex:dateUtc="2026-09-18T07:48:00Z"/>
  <w16cex:commentExtensible w16cex:durableId="4C0BE44A" w16cex:dateUtc="2026-09-17T15:27:00Z"/>
  <w16cex:commentExtensible w16cex:durableId="63DF760B" w16cex:dateUtc="2026-09-17T15:27:00Z"/>
  <w16cex:commentExtensible w16cex:durableId="1CFC8F1F" w16cex:dateUtc="2026-09-17T15:29:00Z"/>
  <w16cex:commentExtensible w16cex:durableId="51E508FE" w16cex:dateUtc="2026-09-17T15:33:00Z"/>
  <w16cex:commentExtensible w16cex:durableId="0329D5A0" w16cex:dateUtc="2026-09-17T15:41:00Z"/>
  <w16cex:commentExtensible w16cex:durableId="5B7C8814" w16cex:dateUtc="2026-09-18T07:30:00Z"/>
  <w16cex:commentExtensible w16cex:durableId="6E1477F9" w16cex:dateUtc="2026-09-17T15:46:00Z"/>
  <w16cex:commentExtensible w16cex:durableId="2E18A0DE" w16cex:dateUtc="2026-09-17T15:54:00Z"/>
  <w16cex:commentExtensible w16cex:durableId="7C183C5C" w16cex:dateUtc="2026-09-17T15:55:00Z"/>
  <w16cex:commentExtensible w16cex:durableId="3C297BB5" w16cex:dateUtc="2026-09-16T10:02:00Z"/>
  <w16cex:commentExtensible w16cex:durableId="0CED5071" w16cex:dateUtc="2026-09-16T10:03:00Z"/>
  <w16cex:commentExtensible w16cex:durableId="3CFE0293" w16cex:dateUtc="2026-09-17T15:58:00Z"/>
  <w16cex:commentExtensible w16cex:durableId="682208B7" w16cex:dateUtc="2026-09-17T16:01:00Z"/>
  <w16cex:commentExtensible w16cex:durableId="1DEDFF9D" w16cex:dateUtc="2026-09-17T16:00:00Z"/>
  <w16cex:commentExtensible w16cex:durableId="04093FDC" w16cex:dateUtc="2026-10-05T13:25:41Z"/>
  <w16cex:commentExtensible w16cex:durableId="53F4F662" w16cex:dateUtc="2026-10-05T13:25:41Z"/>
  <w16cex:commentExtensible w16cex:durableId="368EF496" w16cex:dateUtc="2026-10-05T13:25:41Z"/>
  <w16cex:commentExtensible w16cex:durableId="3427EFD3" w16cex:dateUtc="2026-10-05T13:25:41Z"/>
  <w16cex:commentExtensible w16cex:durableId="5F5164F8" w16cex:dateUtc="2026-10-05T13:25:42Z"/>
  <w16cex:commentExtensible w16cex:durableId="536E1C34" w16cex:dateUtc="2026-10-05T13:25:42Z"/>
  <w16cex:commentExtensible w16cex:durableId="57067F6A" w16cex:dateUtc="2026-10-05T13:25:42Z"/>
  <w16cex:commentExtensible w16cex:durableId="148F52A6" w16cex:dateUtc="2026-10-05T13:25:42Z"/>
  <w16cex:commentExtensible w16cex:durableId="7F0EDB5E" w16cex:dateUtc="2026-10-05T13:25:42Z"/>
  <w16cex:commentExtensible w16cex:durableId="3FF25602" w16cex:dateUtc="2026-10-05T13:25:42Z"/>
  <w16cex:commentExtensible w16cex:durableId="79D43AF6" w16cex:dateUtc="2026-10-05T13:25:42Z"/>
  <w16cex:commentExtensible w16cex:durableId="51B9D5A7" w16cex:dateUtc="2026-10-05T13:25:42Z"/>
  <w16cex:commentExtensible w16cex:durableId="5631673A" w16cex:dateUtc="2026-10-05T13:25:42Z"/>
  <w16cex:commentExtensible w16cex:durableId="498359B0" w16cex:dateUtc="2026-10-05T13:25:42Z"/>
  <w16cex:commentExtensible w16cex:durableId="14B51B61" w16cex:dateUtc="2026-10-05T13:25:43Z"/>
  <w16cex:commentExtensible w16cex:durableId="7D8FC4B8" w16cex:dateUtc="2026-10-05T13:25:43Z"/>
  <w16cex:commentExtensible w16cex:durableId="76821A07" w16cex:dateUtc="2026-10-05T13:25:4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87C117" w16cid:durableId="1D5DBD91"/>
  <w16cid:commentId w16cid:paraId="56AAA5F9" w16cid:durableId="26E7CA92"/>
  <w16cid:commentId w16cid:paraId="3F84AB5E" w16cid:durableId="79A1E460"/>
  <w16cid:commentId w16cid:paraId="5FFA4E51" w16cid:durableId="3CA2A8AA"/>
  <w16cid:commentId w16cid:paraId="51D09100" w16cid:durableId="4455A082"/>
  <w16cid:commentId w16cid:paraId="4C75C3AD" w16cid:durableId="38368CFB"/>
  <w16cid:commentId w16cid:paraId="07B35EFF" w16cid:durableId="36401AE9"/>
  <w16cid:commentId w16cid:paraId="1D396AC3" w16cid:durableId="3DD0316A"/>
  <w16cid:commentId w16cid:paraId="2E2FD1BF" w16cid:durableId="4C0BE44A"/>
  <w16cid:commentId w16cid:paraId="4988E326" w16cid:durableId="63DF760B"/>
  <w16cid:commentId w16cid:paraId="2BE8211D" w16cid:durableId="1CFC8F1F"/>
  <w16cid:commentId w16cid:paraId="57949457" w16cid:durableId="51E508FE"/>
  <w16cid:commentId w16cid:paraId="17D90F6E" w16cid:durableId="0329D5A0"/>
  <w16cid:commentId w16cid:paraId="4A97938F" w16cid:durableId="5B7C8814"/>
  <w16cid:commentId w16cid:paraId="20C8EAA4" w16cid:durableId="6E1477F9"/>
  <w16cid:commentId w16cid:paraId="1BE2B3D6" w16cid:durableId="2E18A0DE"/>
  <w16cid:commentId w16cid:paraId="25D58660" w16cid:durableId="7C183C5C"/>
  <w16cid:commentId w16cid:paraId="37AE38B7" w16cid:durableId="3C297BB5"/>
  <w16cid:commentId w16cid:paraId="6F61083B" w16cid:durableId="0CED5071"/>
  <w16cid:commentId w16cid:paraId="70E514C7" w16cid:durableId="3CFE0293"/>
  <w16cid:commentId w16cid:paraId="07DB48E4" w16cid:durableId="682208B7"/>
  <w16cid:commentId w16cid:paraId="3969CF95" w16cid:durableId="1DEDFF9D"/>
  <w16cid:commentId w16cid:paraId="3504F7C8" w16cid:durableId="04093FDC"/>
  <w16cid:commentId w16cid:paraId="11C45C83" w16cid:durableId="53F4F662"/>
  <w16cid:commentId w16cid:paraId="65D581D3" w16cid:durableId="368EF496"/>
  <w16cid:commentId w16cid:paraId="18B12FFD" w16cid:durableId="3427EFD3"/>
  <w16cid:commentId w16cid:paraId="72BEDC86" w16cid:durableId="5F5164F8"/>
  <w16cid:commentId w16cid:paraId="636D322E" w16cid:durableId="536E1C34"/>
  <w16cid:commentId w16cid:paraId="1CCA4411" w16cid:durableId="57067F6A"/>
  <w16cid:commentId w16cid:paraId="080D094B" w16cid:durableId="148F52A6"/>
  <w16cid:commentId w16cid:paraId="50545517" w16cid:durableId="7F0EDB5E"/>
  <w16cid:commentId w16cid:paraId="7046A5A2" w16cid:durableId="3FF25602"/>
  <w16cid:commentId w16cid:paraId="07984086" w16cid:durableId="79D43AF6"/>
  <w16cid:commentId w16cid:paraId="61846B81" w16cid:durableId="51B9D5A7"/>
  <w16cid:commentId w16cid:paraId="32DA5527" w16cid:durableId="5631673A"/>
  <w16cid:commentId w16cid:paraId="46CC2193" w16cid:durableId="498359B0"/>
  <w16cid:commentId w16cid:paraId="6C91CB27" w16cid:durableId="14B51B61"/>
  <w16cid:commentId w16cid:paraId="776C484D" w16cid:durableId="7D8FC4B8"/>
  <w16cid:commentId w16cid:paraId="2F7E36C0" w16cid:durableId="76821A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A6C01" w14:textId="77777777" w:rsidR="00847FC0" w:rsidRDefault="00847FC0">
      <w:r>
        <w:separator/>
      </w:r>
    </w:p>
  </w:endnote>
  <w:endnote w:type="continuationSeparator" w:id="0">
    <w:p w14:paraId="4A997806" w14:textId="77777777" w:rsidR="00847FC0" w:rsidRDefault="00847F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altName w:val="Cambria"/>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FB19" w14:textId="3C7D59BB" w:rsidR="00D80802" w:rsidRDefault="00270706">
    <w:pPr>
      <w:pStyle w:val="Footer"/>
    </w:pPr>
    <w:r>
      <w:rPr>
        <w:noProof/>
      </w:rPr>
      <mc:AlternateContent>
        <mc:Choice Requires="wps">
          <w:drawing>
            <wp:anchor distT="0" distB="0" distL="0" distR="0" simplePos="0" relativeHeight="251658241" behindDoc="0" locked="0" layoutInCell="1" allowOverlap="1" wp14:anchorId="2FE82111" wp14:editId="1CED8B06">
              <wp:simplePos x="635" y="635"/>
              <wp:positionH relativeFrom="page">
                <wp:align>center</wp:align>
              </wp:positionH>
              <wp:positionV relativeFrom="page">
                <wp:align>bottom</wp:align>
              </wp:positionV>
              <wp:extent cx="1244600" cy="335915"/>
              <wp:effectExtent l="0" t="0" r="12700" b="0"/>
              <wp:wrapNone/>
              <wp:docPr id="1901018723" name="Text Box 2"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E82111" id="_x0000_t202" coordsize="21600,21600" o:spt="202" path="m,l,21600r21600,l21600,xe">
              <v:stroke joinstyle="miter"/>
              <v:path gradientshapeok="t" o:connecttype="rect"/>
            </v:shapetype>
            <v:shape id="Text Box 2" o:spid="_x0000_s1026" type="#_x0000_t202" alt="Unclassified - Non classifié" style="position:absolute;margin-left:0;margin-top:0;width:98pt;height:26.4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" filled="f" stroked="f">
              <v:textbox style="mso-fit-shape-to-text:t" inset="0,0,0,15pt">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CCD1" w14:textId="3F440136" w:rsidR="00F40E91" w:rsidRDefault="00270706">
    <w:pPr>
      <w:jc w:val="center"/>
    </w:pPr>
    <w:r>
      <w:rPr>
        <w:noProof/>
        <w:color w:val="8C8C8C"/>
        <w:sz w:val="16"/>
        <w:szCs w:val="16"/>
      </w:rPr>
      <mc:AlternateContent>
        <mc:Choice Requires="wps">
          <w:drawing>
            <wp:anchor distT="0" distB="0" distL="0" distR="0" simplePos="0" relativeHeight="251658242" behindDoc="0" locked="0" layoutInCell="1" allowOverlap="1" wp14:anchorId="2EEF40AC" wp14:editId="1EDD88D8">
              <wp:simplePos x="904973" y="10124388"/>
              <wp:positionH relativeFrom="page">
                <wp:align>center</wp:align>
              </wp:positionH>
              <wp:positionV relativeFrom="page">
                <wp:align>bottom</wp:align>
              </wp:positionV>
              <wp:extent cx="1244600" cy="335915"/>
              <wp:effectExtent l="0" t="0" r="12700" b="0"/>
              <wp:wrapNone/>
              <wp:docPr id="628671698" name="Text Box 3"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EF40AC" id="_x0000_t202" coordsize="21600,21600" o:spt="202" path="m,l,21600r21600,l21600,xe">
              <v:stroke joinstyle="miter"/>
              <v:path gradientshapeok="t" o:connecttype="rect"/>
            </v:shapetype>
            <v:shape id="Text Box 3" o:spid="_x0000_s1027" type="#_x0000_t202" alt="Unclassified - Non classifié" style="position:absolute;left:0;text-align:left;margin-left:0;margin-top:0;width:98pt;height:26.45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" filled="f" stroked="f">
              <v:textbox style="mso-fit-shape-to-text:t" inset="0,0,0,15pt">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r w:rsidR="00D80802">
      <w:rPr>
        <w:color w:val="8C8C8C"/>
        <w:sz w:val="16"/>
        <w:szCs w:val="16"/>
      </w:rPr>
      <w:t>FOR OFFICIAL USE — DRAFT, NOT FOR CIRCULATION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BE6A" w14:textId="3160FF73" w:rsidR="00D80802" w:rsidRDefault="00270706">
    <w:pPr>
      <w:pStyle w:val="Footer"/>
    </w:pPr>
    <w:r>
      <w:rPr>
        <w:noProof/>
      </w:rPr>
      <mc:AlternateContent>
        <mc:Choice Requires="wps">
          <w:drawing>
            <wp:anchor distT="0" distB="0" distL="0" distR="0" simplePos="0" relativeHeight="251658240" behindDoc="0" locked="0" layoutInCell="1" allowOverlap="1" wp14:anchorId="7134BD69" wp14:editId="63E109A1">
              <wp:simplePos x="635" y="635"/>
              <wp:positionH relativeFrom="page">
                <wp:align>center</wp:align>
              </wp:positionH>
              <wp:positionV relativeFrom="page">
                <wp:align>bottom</wp:align>
              </wp:positionV>
              <wp:extent cx="1244600" cy="335915"/>
              <wp:effectExtent l="0" t="0" r="12700" b="0"/>
              <wp:wrapNone/>
              <wp:docPr id="1592837960" name="Text Box 1"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34BD69" id="_x0000_t202" coordsize="21600,21600" o:spt="202" path="m,l,21600r21600,l21600,xe">
              <v:stroke joinstyle="miter"/>
              <v:path gradientshapeok="t" o:connecttype="rect"/>
            </v:shapetype>
            <v:shape id="Text Box 1" o:spid="_x0000_s1028" type="#_x0000_t202" alt="Unclassified - Non classifié" style="position:absolute;margin-left:0;margin-top:0;width:98pt;height:26.4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" filled="f" stroked="f">
              <v:textbox style="mso-fit-shape-to-text:t" inset="0,0,0,15pt">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0FB2F" w14:textId="77777777" w:rsidR="00847FC0" w:rsidRDefault="00847FC0">
      <w:r>
        <w:separator/>
      </w:r>
    </w:p>
  </w:footnote>
  <w:footnote w:type="continuationSeparator" w:id="0">
    <w:p w14:paraId="7BE7CBBF" w14:textId="77777777" w:rsidR="00847FC0" w:rsidRDefault="00847FC0">
      <w:r>
        <w:continuationSeparator/>
      </w:r>
    </w:p>
  </w:footnote>
  <w:footnote w:id="1">
    <w:p w14:paraId="6182760D" w14:textId="283A6035" w:rsidR="00843159" w:rsidRDefault="00843159" w:rsidP="000839D1">
      <w:pPr>
        <w:spacing w:after="50"/>
        <w:jc w:val="both"/>
      </w:pPr>
      <w:r>
        <w:rPr>
          <w:rStyle w:val="FootnoteReference"/>
        </w:rPr>
        <w:footnoteRef/>
      </w:r>
      <w:r>
        <w:rPr>
          <w:sz w:val="18"/>
          <w:szCs w:val="18"/>
        </w:rPr>
        <w:t>The two</w:t>
      </w:r>
      <w:r w:rsidR="005F520B">
        <w:rPr>
          <w:sz w:val="18"/>
          <w:szCs w:val="18"/>
        </w:rPr>
        <w:t xml:space="preserve"> only </w:t>
      </w:r>
      <w:r>
        <w:rPr>
          <w:sz w:val="18"/>
          <w:szCs w:val="18"/>
        </w:rPr>
        <w:t xml:space="preserve">exceptions are Austria and Estonia, whose rate nearly doubled during the same interval </w:t>
      </w:r>
      <w:r>
        <w:rPr>
          <w:color w:val="0563C1"/>
          <w:sz w:val="18"/>
          <w:szCs w:val="18"/>
        </w:rPr>
        <w:t>(OECD, 2025a)</w:t>
      </w:r>
      <w:r>
        <w:rPr>
          <w:sz w:val="18"/>
          <w:szCs w:val="18"/>
        </w:rPr>
        <w:t>.</w:t>
      </w:r>
    </w:p>
  </w:footnote>
  <w:footnote w:id="2">
    <w:p w14:paraId="64F7C097" w14:textId="77777777" w:rsidR="00843159" w:rsidRDefault="00843159" w:rsidP="000839D1">
      <w:pPr>
        <w:spacing w:after="50"/>
        <w:jc w:val="both"/>
      </w:pPr>
      <w:r>
        <w:rPr>
          <w:rStyle w:val="FootnoteReference"/>
        </w:rPr>
        <w:footnoteRef/>
      </w:r>
      <w:r>
        <w:rPr>
          <w:sz w:val="18"/>
          <w:szCs w:val="18"/>
        </w:rPr>
        <w:t xml:space="preserve">The American figures come from the Teacher Follow-up Survey (TFS), which re-interviews one year later a sample of teachers drawn from the Schools and Staffing Survey (SASS) and its successor the National Teacher and Principal Survey (NTPS); the waves are three to five years apart, so the series is discontinuous but covers 1988 to 2022 under one definition. A continuous annual measure built from the Current Population Survey (CPS) gives consistent results </w:t>
      </w:r>
      <w:r>
        <w:rPr>
          <w:color w:val="0563C1"/>
          <w:sz w:val="18"/>
          <w:szCs w:val="18"/>
        </w:rPr>
        <w:t>(Harris and Adams, 2007; Aldeman and Yi, 2025)</w:t>
      </w:r>
      <w:r>
        <w:rPr>
          <w:sz w:val="18"/>
          <w:szCs w:val="18"/>
        </w:rPr>
        <w:t>.</w:t>
      </w:r>
    </w:p>
  </w:footnote>
  <w:footnote w:id="3">
    <w:p w14:paraId="0FA441F7" w14:textId="77777777" w:rsidR="00843159" w:rsidRDefault="00843159" w:rsidP="00843159">
      <w:pPr>
        <w:spacing w:after="60"/>
        <w:jc w:val="both"/>
      </w:pPr>
      <w:r>
        <w:rPr>
          <w:rStyle w:val="FootnoteReference"/>
        </w:rPr>
        <w:footnoteRef/>
      </w:r>
      <w:r>
        <w:rPr>
          <w:sz w:val="18"/>
          <w:szCs w:val="18"/>
        </w:rPr>
        <w:t xml:space="preserve">For most countries no historical data exists, as such series require longitudinally linked teacher registers. Shorter series move both ways, upward in Denmark, Estonia, Lithuania and Korea and downward in Australia and Chile </w:t>
      </w:r>
      <w:r>
        <w:rPr>
          <w:color w:val="0563C1"/>
          <w:sz w:val="18"/>
          <w:szCs w:val="18"/>
        </w:rPr>
        <w:t>(AE, 2024; Kindsiko, 2023; NŠA, 2025; Ministry of Education Korea, 2023; Buckley and Griselda, 2025; CIAE, 2025)</w:t>
      </w:r>
      <w:r>
        <w:rPr>
          <w:sz w:val="18"/>
          <w:szCs w:val="18"/>
        </w:rPr>
        <w:t>.</w:t>
      </w:r>
    </w:p>
  </w:footnote>
  <w:footnote w:id="4">
    <w:p w14:paraId="783E4505" w14:textId="5D8A12DA" w:rsidR="00EB10F8" w:rsidRPr="00EB10F8" w:rsidRDefault="00EB10F8">
      <w:pPr>
        <w:pStyle w:val="FootnoteText"/>
      </w:pPr>
      <w:r>
        <w:rPr>
          <w:rStyle w:val="FootnoteReference"/>
        </w:rPr>
        <w:footnoteRef/>
      </w:r>
      <w:r>
        <w:t xml:space="preserve"> </w:t>
      </w:r>
      <w:r w:rsidRPr="00F10B26">
        <w:rPr>
          <w:color w:val="FF0000"/>
          <w:sz w:val="18"/>
          <w:szCs w:val="18"/>
        </w:rPr>
        <w:t xml:space="preserve">See table A1 in the Appendix to observe the comparison of our </w:t>
      </w:r>
      <w:r w:rsidR="003A3EA3" w:rsidRPr="00F10B26">
        <w:rPr>
          <w:color w:val="FF0000"/>
          <w:sz w:val="18"/>
          <w:szCs w:val="18"/>
        </w:rPr>
        <w:t>area definitions</w:t>
      </w:r>
      <w:r w:rsidRPr="00F10B26">
        <w:rPr>
          <w:color w:val="FF0000"/>
          <w:sz w:val="18"/>
          <w:szCs w:val="18"/>
        </w:rPr>
        <w:t xml:space="preserve"> and the </w:t>
      </w:r>
      <w:r w:rsidR="00FE4777" w:rsidRPr="00F10B26">
        <w:rPr>
          <w:color w:val="FF0000"/>
          <w:sz w:val="18"/>
          <w:szCs w:val="18"/>
        </w:rPr>
        <w:t>most used</w:t>
      </w:r>
      <w:r w:rsidRPr="00F10B26">
        <w:rPr>
          <w:color w:val="FF0000"/>
          <w:sz w:val="18"/>
          <w:szCs w:val="18"/>
        </w:rPr>
        <w:t xml:space="preserve"> in the main meta-analysis of teaching turnover (por construir!)</w:t>
      </w:r>
    </w:p>
  </w:footnote>
  <w:footnote w:id="5">
    <w:p w14:paraId="1045C04F" w14:textId="014A0FFC" w:rsidR="00C45034" w:rsidRPr="00BD2158" w:rsidRDefault="00C45034" w:rsidP="00C45034">
      <w:pPr>
        <w:pStyle w:val="FootnoteText"/>
        <w:rPr>
          <w:sz w:val="18"/>
          <w:szCs w:val="18"/>
        </w:rPr>
      </w:pPr>
      <w:r w:rsidRPr="00412188">
        <w:rPr>
          <w:rStyle w:val="FootnoteReference"/>
          <w:color w:val="000000" w:themeColor="text1"/>
        </w:rPr>
        <w:footnoteRef/>
      </w:r>
      <w:r w:rsidRPr="00412188">
        <w:rPr>
          <w:color w:val="000000" w:themeColor="text1"/>
        </w:rPr>
        <w:t xml:space="preserve"> </w:t>
      </w:r>
      <w:r w:rsidR="00BD2AB1">
        <w:rPr>
          <w:sz w:val="18"/>
          <w:szCs w:val="18"/>
        </w:rPr>
        <w:t>Declared i</w:t>
      </w:r>
      <w:r w:rsidRPr="00736366">
        <w:rPr>
          <w:sz w:val="18"/>
          <w:szCs w:val="18"/>
        </w:rPr>
        <w:t xml:space="preserve">ntentions </w:t>
      </w:r>
      <w:r w:rsidR="00BD2AB1">
        <w:rPr>
          <w:sz w:val="18"/>
          <w:szCs w:val="18"/>
        </w:rPr>
        <w:t xml:space="preserve">to leave </w:t>
      </w:r>
      <w:r w:rsidRPr="00736366">
        <w:rPr>
          <w:sz w:val="18"/>
          <w:szCs w:val="18"/>
        </w:rPr>
        <w:t>are an imperfect proxy for departure. One of the largest meta-</w:t>
      </w:r>
      <w:r w:rsidR="000C61AF" w:rsidRPr="00736366">
        <w:rPr>
          <w:sz w:val="18"/>
          <w:szCs w:val="18"/>
        </w:rPr>
        <w:t>analyses</w:t>
      </w:r>
      <w:r w:rsidRPr="00736366">
        <w:rPr>
          <w:sz w:val="18"/>
          <w:szCs w:val="18"/>
        </w:rPr>
        <w:t xml:space="preserve"> of the field, which pools 3430 coefficients from 186 studies of teacher turnover, found that the antecedents of intended departure</w:t>
      </w:r>
      <w:r w:rsidR="00614028" w:rsidRPr="00736366">
        <w:rPr>
          <w:sz w:val="18"/>
          <w:szCs w:val="18"/>
        </w:rPr>
        <w:t xml:space="preserve"> are not the ones that </w:t>
      </w:r>
      <w:r w:rsidR="00EE7295" w:rsidRPr="00736366">
        <w:rPr>
          <w:sz w:val="18"/>
          <w:szCs w:val="18"/>
        </w:rPr>
        <w:t>weigh</w:t>
      </w:r>
      <w:r w:rsidR="00736366" w:rsidRPr="00736366">
        <w:rPr>
          <w:sz w:val="18"/>
          <w:szCs w:val="18"/>
        </w:rPr>
        <w:t xml:space="preserve"> most to predict the actual leaving decision </w:t>
      </w:r>
      <w:r w:rsidRPr="00736366">
        <w:rPr>
          <w:color w:val="0070C0"/>
          <w:sz w:val="18"/>
          <w:szCs w:val="18"/>
        </w:rPr>
        <w:t>(Gundlach, Slemp and Hattie, 2024).</w:t>
      </w:r>
    </w:p>
  </w:footnote>
  <w:footnote w:id="6">
    <w:p w14:paraId="0DBBE715" w14:textId="4930FB3B" w:rsidR="000D7270" w:rsidRDefault="000D7270" w:rsidP="000D7270">
      <w:pPr>
        <w:spacing w:after="60"/>
        <w:jc w:val="both"/>
      </w:pPr>
      <w:r>
        <w:rPr>
          <w:rStyle w:val="FootnoteReference"/>
        </w:rPr>
        <w:footnoteRef/>
      </w:r>
      <w:r>
        <w:rPr>
          <w:sz w:val="18"/>
          <w:szCs w:val="18"/>
        </w:rPr>
        <w:t xml:space="preserve"> In the 2018 round of TALIS, 73% of surveyed English teachers consented to linkage with the School Workforce Census, the administrative register of state-school staff, yielding 2 684 linked records at an 84% match rate </w:t>
      </w:r>
      <w:r>
        <w:rPr>
          <w:color w:val="0563C1"/>
          <w:sz w:val="18"/>
          <w:szCs w:val="18"/>
        </w:rPr>
        <w:t>(Sims and Jerrim, 2020)</w:t>
      </w:r>
      <w:r>
        <w:rPr>
          <w:sz w:val="18"/>
          <w:szCs w:val="18"/>
        </w:rPr>
        <w:t>.</w:t>
      </w:r>
    </w:p>
  </w:footnote>
  <w:footnote w:id="7">
    <w:p w14:paraId="78C0C468" w14:textId="22C1AAD7" w:rsidR="00A10B98" w:rsidRPr="00A10B98" w:rsidRDefault="00A10B98" w:rsidP="000D7270">
      <w:pPr>
        <w:pStyle w:val="FootnoteText"/>
        <w:jc w:val="both"/>
      </w:pPr>
      <w:r>
        <w:rPr>
          <w:rStyle w:val="FootnoteReference"/>
        </w:rPr>
        <w:footnoteRef/>
      </w:r>
      <w:r w:rsidR="000B791D" w:rsidRPr="000B791D">
        <w:rPr>
          <w:sz w:val="18"/>
          <w:szCs w:val="18"/>
        </w:rPr>
        <w:t xml:space="preserve">The discipline climate </w:t>
      </w:r>
      <w:r w:rsidR="009D316F">
        <w:rPr>
          <w:sz w:val="18"/>
          <w:szCs w:val="18"/>
        </w:rPr>
        <w:t>was</w:t>
      </w:r>
      <w:r w:rsidR="000B791D" w:rsidRPr="000B791D">
        <w:rPr>
          <w:sz w:val="18"/>
          <w:szCs w:val="18"/>
        </w:rPr>
        <w:t xml:space="preserve"> </w:t>
      </w:r>
      <w:r w:rsidR="009D316F">
        <w:rPr>
          <w:sz w:val="18"/>
          <w:szCs w:val="18"/>
        </w:rPr>
        <w:t>measured as an</w:t>
      </w:r>
      <w:r w:rsidR="000B791D">
        <w:rPr>
          <w:sz w:val="18"/>
          <w:szCs w:val="18"/>
        </w:rPr>
        <w:t xml:space="preserve"> </w:t>
      </w:r>
      <w:r w:rsidR="00566AFD">
        <w:rPr>
          <w:sz w:val="18"/>
          <w:szCs w:val="18"/>
        </w:rPr>
        <w:t>standardized</w:t>
      </w:r>
      <w:r w:rsidR="000B791D" w:rsidRPr="000B791D">
        <w:rPr>
          <w:sz w:val="18"/>
          <w:szCs w:val="18"/>
        </w:rPr>
        <w:t xml:space="preserve"> index built from teachers' reports on how far they can control disruptive </w:t>
      </w:r>
      <w:r w:rsidR="00566AFD" w:rsidRPr="000B791D">
        <w:rPr>
          <w:sz w:val="18"/>
          <w:szCs w:val="18"/>
        </w:rPr>
        <w:t>behavior</w:t>
      </w:r>
      <w:r w:rsidR="000B791D" w:rsidRPr="000B791D">
        <w:rPr>
          <w:sz w:val="18"/>
          <w:szCs w:val="18"/>
        </w:rPr>
        <w:t xml:space="preserve">, how consistently their school enforces rules and how much stress pupil </w:t>
      </w:r>
      <w:r w:rsidR="00566AFD" w:rsidRPr="000B791D">
        <w:rPr>
          <w:sz w:val="18"/>
          <w:szCs w:val="18"/>
        </w:rPr>
        <w:t>behavior</w:t>
      </w:r>
      <w:r w:rsidR="000B791D" w:rsidRPr="000B791D">
        <w:rPr>
          <w:sz w:val="18"/>
          <w:szCs w:val="18"/>
        </w:rPr>
        <w:t xml:space="preserve"> causes them</w:t>
      </w:r>
      <w:r w:rsidRPr="000D7270">
        <w:rPr>
          <w:sz w:val="18"/>
          <w:szCs w:val="18"/>
        </w:rPr>
        <w:t xml:space="preserve">. </w:t>
      </w:r>
      <w:r w:rsidR="00C53F8F" w:rsidRPr="00C53F8F">
        <w:rPr>
          <w:sz w:val="18"/>
          <w:szCs w:val="18"/>
        </w:rPr>
        <w:t xml:space="preserve">The </w:t>
      </w:r>
      <w:r w:rsidR="00007D03">
        <w:rPr>
          <w:sz w:val="18"/>
          <w:szCs w:val="18"/>
        </w:rPr>
        <w:t xml:space="preserve">magnitude </w:t>
      </w:r>
      <w:r w:rsidR="00C53F8F" w:rsidRPr="00C53F8F">
        <w:rPr>
          <w:sz w:val="18"/>
          <w:szCs w:val="18"/>
        </w:rPr>
        <w:t xml:space="preserve">is large for this literature, where one standard deviation in a school leadership index lowers annual departures from the school by around 10% in North Carolina primary schools </w:t>
      </w:r>
      <w:r w:rsidR="00C53F8F" w:rsidRPr="00C53F8F">
        <w:rPr>
          <w:color w:val="0563C1"/>
          <w:sz w:val="18"/>
          <w:szCs w:val="18"/>
        </w:rPr>
        <w:t>(Ladd, 2011)</w:t>
      </w:r>
      <w:r w:rsidR="00C53F8F" w:rsidRPr="00C53F8F">
        <w:rPr>
          <w:sz w:val="18"/>
          <w:szCs w:val="18"/>
        </w:rPr>
        <w:t xml:space="preserve">, and one in each of four indices covering leadership, academic expectations, teacher relationships and safety lowers them by 25% in New York middle schools </w:t>
      </w:r>
      <w:r w:rsidR="00C53F8F" w:rsidRPr="00C53F8F">
        <w:rPr>
          <w:color w:val="0563C1"/>
          <w:sz w:val="18"/>
          <w:szCs w:val="18"/>
        </w:rPr>
        <w:t>(Kraft, Marinell and Shen-Wei Yee, 2016)</w:t>
      </w:r>
      <w:r w:rsidR="00C53F8F" w:rsidRPr="00C53F8F">
        <w:rPr>
          <w:sz w:val="18"/>
          <w:szCs w:val="18"/>
        </w:rPr>
        <w:t>.</w:t>
      </w:r>
    </w:p>
  </w:footnote>
  <w:footnote w:id="8">
    <w:p w14:paraId="2BB3C306" w14:textId="10797E54" w:rsidR="00FC1564" w:rsidRPr="00FC1564" w:rsidRDefault="00FC1564" w:rsidP="00FC1564">
      <w:pPr>
        <w:pStyle w:val="FootnoteText"/>
        <w:jc w:val="both"/>
      </w:pPr>
      <w:r>
        <w:rPr>
          <w:rStyle w:val="FootnoteReference"/>
        </w:rPr>
        <w:footnoteRef/>
      </w:r>
      <w:r>
        <w:t xml:space="preserve"> </w:t>
      </w:r>
      <w:r w:rsidR="00443026" w:rsidRPr="00443026">
        <w:rPr>
          <w:sz w:val="18"/>
          <w:szCs w:val="18"/>
        </w:rPr>
        <w:t xml:space="preserve">The obligation consists either of completing training, which ranges from 8 hours a year in Luxembourg to 35 in Scotland and from three to five days in Belgium, Finland, Cyprus, Lithuania and Slovenia </w:t>
      </w:r>
      <w:r w:rsidR="00443026" w:rsidRPr="00443026">
        <w:rPr>
          <w:color w:val="0563C1"/>
          <w:sz w:val="18"/>
          <w:szCs w:val="18"/>
        </w:rPr>
        <w:t>(European Commission/EACEA/Eurydice, 2021)</w:t>
      </w:r>
      <w:r w:rsidR="00443026" w:rsidRPr="00443026">
        <w:rPr>
          <w:sz w:val="18"/>
          <w:szCs w:val="18"/>
        </w:rPr>
        <w:t xml:space="preserve">, or of a minimum amount of teaching, </w:t>
      </w:r>
      <w:r w:rsidR="00AE4A79">
        <w:rPr>
          <w:sz w:val="18"/>
          <w:szCs w:val="18"/>
        </w:rPr>
        <w:t xml:space="preserve">such as </w:t>
      </w:r>
      <w:r w:rsidR="00443026" w:rsidRPr="00443026">
        <w:rPr>
          <w:sz w:val="18"/>
          <w:szCs w:val="18"/>
        </w:rPr>
        <w:t xml:space="preserve">20 days a year in </w:t>
      </w:r>
      <w:r w:rsidR="00D66BFE">
        <w:rPr>
          <w:sz w:val="18"/>
          <w:szCs w:val="18"/>
        </w:rPr>
        <w:t>Australia</w:t>
      </w:r>
      <w:r w:rsidR="00443026" w:rsidRPr="00443026">
        <w:rPr>
          <w:sz w:val="18"/>
          <w:szCs w:val="18"/>
        </w:rPr>
        <w:t xml:space="preserve"> or two years of classroom practice in New Zealand </w:t>
      </w:r>
      <w:r w:rsidR="00443026" w:rsidRPr="00443026">
        <w:rPr>
          <w:color w:val="0563C1"/>
          <w:sz w:val="18"/>
          <w:szCs w:val="18"/>
        </w:rPr>
        <w:t>(Victorian Institute of Teaching, 2025; Teaching Council of Aotearoa New Zealand, 2016).</w:t>
      </w:r>
    </w:p>
  </w:footnote>
  <w:footnote w:id="9">
    <w:p w14:paraId="07DB213C" w14:textId="661B37FD" w:rsidR="00B75580" w:rsidRPr="00B75580" w:rsidRDefault="00B75580" w:rsidP="00480AF8">
      <w:pPr>
        <w:pStyle w:val="FootnoteText"/>
        <w:spacing w:after="40"/>
      </w:pPr>
      <w:r>
        <w:rPr>
          <w:rStyle w:val="FootnoteReference"/>
        </w:rPr>
        <w:footnoteRef/>
      </w:r>
      <w:r>
        <w:t xml:space="preserve"> </w:t>
      </w:r>
      <w:r w:rsidR="00E06D8E" w:rsidRPr="00E06D8E">
        <w:rPr>
          <w:sz w:val="18"/>
          <w:szCs w:val="18"/>
        </w:rPr>
        <w:t xml:space="preserve">The causal evidence rests on a small number of studies exploiting policy discontinuities, with three main conclusions. Financial incentives are effective when the payment is large and teachers are aware of their eligibility </w:t>
      </w:r>
      <w:r w:rsidR="00E06D8E" w:rsidRPr="00E06D8E">
        <w:rPr>
          <w:color w:val="0563C1"/>
          <w:sz w:val="18"/>
          <w:szCs w:val="18"/>
        </w:rPr>
        <w:t>(Falch, 2011; Clotfelter et al., 2008)</w:t>
      </w:r>
      <w:r w:rsidR="00E06D8E" w:rsidRPr="00E06D8E">
        <w:rPr>
          <w:sz w:val="18"/>
          <w:szCs w:val="18"/>
        </w:rPr>
        <w:t xml:space="preserve">. Their effect is confined to the teachers they target and is negligible for the rest </w:t>
      </w:r>
      <w:r w:rsidR="00E06D8E" w:rsidRPr="00E06D8E">
        <w:rPr>
          <w:color w:val="0563C1"/>
          <w:sz w:val="18"/>
          <w:szCs w:val="18"/>
        </w:rPr>
        <w:t>(Springer, Swain and Rodriguez, 2016)</w:t>
      </w:r>
      <w:r w:rsidR="00E06D8E" w:rsidRPr="00E06D8E">
        <w:rPr>
          <w:sz w:val="18"/>
          <w:szCs w:val="18"/>
        </w:rPr>
        <w:t xml:space="preserve">. One-off bonuses produce larger short-run effects than permanent increases, which indicates that the retention gain does not persist beyond the payment period </w:t>
      </w:r>
      <w:r w:rsidR="00E06D8E" w:rsidRPr="00E06D8E">
        <w:rPr>
          <w:color w:val="0563C1"/>
          <w:sz w:val="18"/>
          <w:szCs w:val="18"/>
        </w:rPr>
        <w:t>(Feng and Sass, 2018)</w:t>
      </w:r>
      <w:r w:rsidR="00E06D8E" w:rsidRPr="00E06D8E">
        <w:rPr>
          <w:sz w:val="18"/>
          <w:szCs w:val="18"/>
        </w:rPr>
        <w:t>.</w:t>
      </w:r>
    </w:p>
  </w:footnote>
  <w:footnote w:id="10">
    <w:p w14:paraId="20C5B835" w14:textId="23FA98A1" w:rsidR="00817375" w:rsidRPr="00817375" w:rsidRDefault="00817375" w:rsidP="009D01EF">
      <w:pPr>
        <w:pStyle w:val="FootnoteText"/>
        <w:spacing w:after="40"/>
        <w:jc w:val="both"/>
      </w:pPr>
      <w:r>
        <w:rPr>
          <w:rStyle w:val="FootnoteReference"/>
        </w:rPr>
        <w:footnoteRef/>
      </w:r>
      <w:r>
        <w:t xml:space="preserve"> </w:t>
      </w:r>
      <w:r w:rsidR="00480AF8" w:rsidRPr="00480AF8">
        <w:rPr>
          <w:sz w:val="18"/>
          <w:szCs w:val="18"/>
        </w:rPr>
        <w:t xml:space="preserve">The retirement age generally falls between 62 and 67, averaging 64.7 for men and 63.9 for women across the OECD. It stands at 62 in Greece and Slovenia, at 67 in Australia, Denmark, Iceland, Israel, the Netherlands and Norway, and in between everywhere else </w:t>
      </w:r>
      <w:r w:rsidR="00480AF8" w:rsidRPr="009D01EF">
        <w:rPr>
          <w:color w:val="0563C1"/>
          <w:sz w:val="18"/>
          <w:szCs w:val="18"/>
        </w:rPr>
        <w:t>(OECD, 2025f).</w:t>
      </w:r>
      <w:r w:rsidR="00480AF8" w:rsidRPr="00480AF8">
        <w:rPr>
          <w:sz w:val="18"/>
          <w:szCs w:val="18"/>
        </w:rPr>
        <w:t xml:space="preserve"> The systems with the lowest ages for teachers are France and Spain, where retirement is possible from 59 for the former primary corps and from 60 for civil-servant teachers with thirty years of service </w:t>
      </w:r>
      <w:r w:rsidR="00480AF8" w:rsidRPr="009D01EF">
        <w:rPr>
          <w:color w:val="0563C1"/>
          <w:sz w:val="18"/>
          <w:szCs w:val="18"/>
        </w:rPr>
        <w:t>(Ministère de l'Éducation nationale, 2023; Government of Spain, 2015).</w:t>
      </w:r>
    </w:p>
  </w:footnote>
  <w:footnote w:id="11">
    <w:p w14:paraId="211991F5" w14:textId="0F350D6A" w:rsidR="00D75A88" w:rsidRPr="00F71798" w:rsidRDefault="00D75A88" w:rsidP="00F71798">
      <w:pPr>
        <w:pStyle w:val="FootnoteText"/>
        <w:spacing w:after="40"/>
        <w:rPr>
          <w:sz w:val="18"/>
          <w:szCs w:val="18"/>
        </w:rPr>
      </w:pPr>
      <w:r>
        <w:rPr>
          <w:rStyle w:val="FootnoteReference"/>
        </w:rPr>
        <w:footnoteRef/>
      </w:r>
      <w:r>
        <w:t xml:space="preserve"> </w:t>
      </w:r>
      <w:r w:rsidR="00F71798" w:rsidRPr="00F71798">
        <w:rPr>
          <w:sz w:val="18"/>
          <w:szCs w:val="18"/>
        </w:rPr>
        <w:t>Women make up around seven in ten lower secondary teachers across the OECD</w:t>
      </w:r>
      <w:r w:rsidR="00F71798">
        <w:rPr>
          <w:sz w:val="18"/>
          <w:szCs w:val="18"/>
        </w:rPr>
        <w:t xml:space="preserve"> in ANO</w:t>
      </w:r>
      <w:r w:rsidR="00F71798" w:rsidRPr="00F71798">
        <w:rPr>
          <w:sz w:val="18"/>
          <w:szCs w:val="18"/>
        </w:rPr>
        <w:t xml:space="preserve">. The proportion is highest in Latvia, Lithuania and Estonia, at 84% to 86%, and among OECD members it falls below half only in Japan, at 41% </w:t>
      </w:r>
      <w:r w:rsidR="00F71798" w:rsidRPr="00F71798">
        <w:rPr>
          <w:color w:val="0070C0"/>
          <w:sz w:val="18"/>
          <w:szCs w:val="18"/>
        </w:rPr>
        <w:t>(OECD, 2025c</w:t>
      </w:r>
      <w:r w:rsidR="00F71798" w:rsidRPr="00F71798">
        <w:rPr>
          <w:sz w:val="18"/>
          <w:szCs w:val="18"/>
        </w:rPr>
        <w:t>)</w:t>
      </w:r>
    </w:p>
  </w:footnote>
  <w:footnote w:id="12">
    <w:p w14:paraId="4E1867B4" w14:textId="77777777" w:rsidR="00D80668" w:rsidRPr="00F31987" w:rsidRDefault="00D80668" w:rsidP="00D80668">
      <w:pPr>
        <w:pStyle w:val="FootnoteText"/>
        <w:spacing w:after="40"/>
      </w:pPr>
      <w:r>
        <w:rPr>
          <w:rStyle w:val="FootnoteReference"/>
        </w:rPr>
        <w:footnoteRef/>
      </w:r>
      <w:r>
        <w:t xml:space="preserve"> </w:t>
      </w:r>
      <w:r w:rsidRPr="00F31987">
        <w:rPr>
          <w:sz w:val="18"/>
          <w:szCs w:val="18"/>
        </w:rPr>
        <w:t xml:space="preserve">Both studies synthesize the broader literature on teacher turnover, which counts every departure from the school and therefore combines teachers who leave the profession with teachers who move between schools. </w:t>
      </w:r>
      <w:r w:rsidRPr="00F31987">
        <w:rPr>
          <w:color w:val="0070C0"/>
          <w:sz w:val="18"/>
          <w:szCs w:val="18"/>
        </w:rPr>
        <w:t xml:space="preserve">Nguyen et al. (2020) </w:t>
      </w:r>
      <w:r w:rsidRPr="00F31987">
        <w:rPr>
          <w:sz w:val="18"/>
          <w:szCs w:val="18"/>
        </w:rPr>
        <w:t xml:space="preserve">pool 120 studies of observed turnover in the United States, while </w:t>
      </w:r>
      <w:r w:rsidRPr="00F31987">
        <w:rPr>
          <w:color w:val="0070C0"/>
          <w:sz w:val="18"/>
          <w:szCs w:val="18"/>
        </w:rPr>
        <w:t xml:space="preserve">Gundlach, Slemp and Hattie (2024) </w:t>
      </w:r>
      <w:r w:rsidRPr="00F31987">
        <w:rPr>
          <w:sz w:val="18"/>
          <w:szCs w:val="18"/>
        </w:rPr>
        <w:t>pool 3 430 coefficients on close to 70 antecedents and estimate attrition, migration and retention separately, for intentions as well as for observed behaviour.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F49F" w14:textId="77777777" w:rsidR="00F40E91" w:rsidRDefault="00A42790">
    <w:pPr>
      <w:jc w:val="right"/>
    </w:pPr>
    <w:r>
      <w:rPr>
        <w:color w:val="8C8C8C"/>
        <w:sz w:val="16"/>
        <w:szCs w:val="16"/>
      </w:rPr>
      <w:t xml:space="preserve">FORMER TEACHERS — WORKING DRAFT  |  </w:t>
    </w:r>
    <w:r>
      <w:rPr>
        <w:color w:val="8C8C8C"/>
        <w:sz w:val="16"/>
        <w:szCs w:val="16"/>
      </w:rPr>
      <w:fldChar w:fldCharType="begin"/>
    </w:r>
    <w:r>
      <w:rPr>
        <w:color w:val="8C8C8C"/>
        <w:sz w:val="16"/>
        <w:szCs w:val="16"/>
      </w:rPr>
      <w:instrText>PAGE</w:instrText>
    </w:r>
    <w:r>
      <w:rPr>
        <w:color w:val="8C8C8C"/>
        <w:sz w:val="16"/>
        <w:szCs w:val="16"/>
      </w:rPr>
      <w:fldChar w:fldCharType="separate"/>
    </w:r>
    <w:r w:rsidR="00F15A52">
      <w:rPr>
        <w:noProof/>
        <w:color w:val="8C8C8C"/>
        <w:sz w:val="16"/>
        <w:szCs w:val="16"/>
      </w:rPr>
      <w:t>1</w:t>
    </w:r>
    <w:r>
      <w:rPr>
        <w:color w:val="8C8C8C"/>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928"/>
    <w:multiLevelType w:val="hybridMultilevel"/>
    <w:tmpl w:val="C3C624BE"/>
    <w:lvl w:ilvl="0" w:tplc="0D500A96">
      <w:start w:val="1"/>
      <w:numFmt w:val="bullet"/>
      <w:lvlText w:val="●"/>
      <w:lvlJc w:val="left"/>
      <w:pPr>
        <w:ind w:left="720" w:hanging="360"/>
      </w:pPr>
    </w:lvl>
    <w:lvl w:ilvl="1" w:tplc="65EC76E0">
      <w:start w:val="1"/>
      <w:numFmt w:val="bullet"/>
      <w:lvlText w:val="○"/>
      <w:lvlJc w:val="left"/>
      <w:pPr>
        <w:ind w:left="1440" w:hanging="360"/>
      </w:pPr>
    </w:lvl>
    <w:lvl w:ilvl="2" w:tplc="CBD06D68">
      <w:start w:val="1"/>
      <w:numFmt w:val="bullet"/>
      <w:lvlText w:val="■"/>
      <w:lvlJc w:val="left"/>
      <w:pPr>
        <w:ind w:left="2160" w:hanging="360"/>
      </w:pPr>
    </w:lvl>
    <w:lvl w:ilvl="3" w:tplc="C8CCB644">
      <w:start w:val="1"/>
      <w:numFmt w:val="bullet"/>
      <w:lvlText w:val="●"/>
      <w:lvlJc w:val="left"/>
      <w:pPr>
        <w:ind w:left="2880" w:hanging="360"/>
      </w:pPr>
    </w:lvl>
    <w:lvl w:ilvl="4" w:tplc="CA72EA98">
      <w:start w:val="1"/>
      <w:numFmt w:val="bullet"/>
      <w:lvlText w:val="○"/>
      <w:lvlJc w:val="left"/>
      <w:pPr>
        <w:ind w:left="3600" w:hanging="360"/>
      </w:pPr>
    </w:lvl>
    <w:lvl w:ilvl="5" w:tplc="5310E16A">
      <w:start w:val="1"/>
      <w:numFmt w:val="bullet"/>
      <w:lvlText w:val="■"/>
      <w:lvlJc w:val="left"/>
      <w:pPr>
        <w:ind w:left="4320" w:hanging="360"/>
      </w:pPr>
    </w:lvl>
    <w:lvl w:ilvl="6" w:tplc="2AA6782C">
      <w:start w:val="1"/>
      <w:numFmt w:val="bullet"/>
      <w:lvlText w:val="●"/>
      <w:lvlJc w:val="left"/>
      <w:pPr>
        <w:ind w:left="5040" w:hanging="360"/>
      </w:pPr>
    </w:lvl>
    <w:lvl w:ilvl="7" w:tplc="B7C47A0C">
      <w:start w:val="1"/>
      <w:numFmt w:val="bullet"/>
      <w:lvlText w:val="●"/>
      <w:lvlJc w:val="left"/>
      <w:pPr>
        <w:ind w:left="5760" w:hanging="360"/>
      </w:pPr>
    </w:lvl>
    <w:lvl w:ilvl="8" w:tplc="A72A5EAA">
      <w:start w:val="1"/>
      <w:numFmt w:val="bullet"/>
      <w:lvlText w:val="●"/>
      <w:lvlJc w:val="left"/>
      <w:pPr>
        <w:ind w:left="6480" w:hanging="360"/>
      </w:pPr>
    </w:lvl>
  </w:abstractNum>
  <w:abstractNum w:abstractNumId="1" w15:restartNumberingAfterBreak="0">
    <w:nsid w:val="1B2939B0"/>
    <w:multiLevelType w:val="hybridMultilevel"/>
    <w:tmpl w:val="899EE8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284AC1"/>
    <w:multiLevelType w:val="hybridMultilevel"/>
    <w:tmpl w:val="2400A06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8E0BFC"/>
    <w:multiLevelType w:val="hybridMultilevel"/>
    <w:tmpl w:val="AE94065C"/>
    <w:lvl w:ilvl="0" w:tplc="32F8BA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120874"/>
    <w:multiLevelType w:val="hybridMultilevel"/>
    <w:tmpl w:val="0474390A"/>
    <w:lvl w:ilvl="0" w:tplc="6ABC2642">
      <w:start w:val="2"/>
      <w:numFmt w:val="bullet"/>
      <w:lvlText w:val=""/>
      <w:lvlJc w:val="left"/>
      <w:pPr>
        <w:ind w:left="720" w:hanging="360"/>
      </w:pPr>
      <w:rPr>
        <w:rFonts w:ascii="Symbol" w:eastAsia="Garamond" w:hAnsi="Symbol"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8794139">
    <w:abstractNumId w:val="0"/>
    <w:lvlOverride w:ilvl="0">
      <w:startOverride w:val="1"/>
    </w:lvlOverride>
  </w:num>
  <w:num w:numId="2" w16cid:durableId="1326014313">
    <w:abstractNumId w:val="2"/>
  </w:num>
  <w:num w:numId="3" w16cid:durableId="969170164">
    <w:abstractNumId w:val="4"/>
  </w:num>
  <w:num w:numId="4" w16cid:durableId="79563750">
    <w:abstractNumId w:val="3"/>
  </w:num>
  <w:num w:numId="5" w16cid:durableId="162708215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RRES José Manuel, EDU/IMEP">
    <w15:presenceInfo w15:providerId="AD" w15:userId="S::JoseManuel.TORRES@oecd.org::d7fd3618-e390-4724-95be-a346805e458e"/>
  </w15:person>
  <w15:person w15:author="DURÁN ROA José Elías, EDU/IMEP">
    <w15:presenceInfo w15:providerId="AD" w15:userId="S::JoseElias.DURANROA@oecd.org::143a056d-beac-4d27-9201-e13b90a5b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OECDDocumentId" w:val="14645CF658E7244B8ACB41AD9CB08C14461E012D75E7176195CD6A2F4337FAEB"/>
  </w:docVars>
  <w:rsids>
    <w:rsidRoot w:val="00F40E91"/>
    <w:rsid w:val="00000FCB"/>
    <w:rsid w:val="00007D03"/>
    <w:rsid w:val="00011189"/>
    <w:rsid w:val="00012E3D"/>
    <w:rsid w:val="00013F52"/>
    <w:rsid w:val="00015DC9"/>
    <w:rsid w:val="00016741"/>
    <w:rsid w:val="00020D38"/>
    <w:rsid w:val="00026EC7"/>
    <w:rsid w:val="0003125C"/>
    <w:rsid w:val="00037930"/>
    <w:rsid w:val="00040906"/>
    <w:rsid w:val="00043FAB"/>
    <w:rsid w:val="000442B0"/>
    <w:rsid w:val="00045A78"/>
    <w:rsid w:val="00046A56"/>
    <w:rsid w:val="00054334"/>
    <w:rsid w:val="00055D13"/>
    <w:rsid w:val="00070329"/>
    <w:rsid w:val="00072F4E"/>
    <w:rsid w:val="00073FD8"/>
    <w:rsid w:val="00080071"/>
    <w:rsid w:val="000825FA"/>
    <w:rsid w:val="000839D1"/>
    <w:rsid w:val="00084763"/>
    <w:rsid w:val="00084A2D"/>
    <w:rsid w:val="00091964"/>
    <w:rsid w:val="0009341A"/>
    <w:rsid w:val="00095B86"/>
    <w:rsid w:val="00097155"/>
    <w:rsid w:val="000A06D1"/>
    <w:rsid w:val="000A3DAD"/>
    <w:rsid w:val="000B3B1C"/>
    <w:rsid w:val="000B791D"/>
    <w:rsid w:val="000C0A82"/>
    <w:rsid w:val="000C61AF"/>
    <w:rsid w:val="000C79CF"/>
    <w:rsid w:val="000D34C8"/>
    <w:rsid w:val="000D3DE4"/>
    <w:rsid w:val="000D4542"/>
    <w:rsid w:val="000D57AA"/>
    <w:rsid w:val="000D6FEC"/>
    <w:rsid w:val="000D7270"/>
    <w:rsid w:val="000D74F6"/>
    <w:rsid w:val="000E5010"/>
    <w:rsid w:val="000E7496"/>
    <w:rsid w:val="000F6DCA"/>
    <w:rsid w:val="000F79B4"/>
    <w:rsid w:val="00100266"/>
    <w:rsid w:val="0010429C"/>
    <w:rsid w:val="00104F6F"/>
    <w:rsid w:val="00111A18"/>
    <w:rsid w:val="00113846"/>
    <w:rsid w:val="0012528A"/>
    <w:rsid w:val="00126856"/>
    <w:rsid w:val="0012699D"/>
    <w:rsid w:val="001272F3"/>
    <w:rsid w:val="001305E1"/>
    <w:rsid w:val="0014284F"/>
    <w:rsid w:val="00150219"/>
    <w:rsid w:val="00152130"/>
    <w:rsid w:val="001559BB"/>
    <w:rsid w:val="001644A3"/>
    <w:rsid w:val="00173884"/>
    <w:rsid w:val="00174080"/>
    <w:rsid w:val="0017447D"/>
    <w:rsid w:val="001760EE"/>
    <w:rsid w:val="001821A2"/>
    <w:rsid w:val="00184BF3"/>
    <w:rsid w:val="00186E1B"/>
    <w:rsid w:val="001A3D83"/>
    <w:rsid w:val="001B6682"/>
    <w:rsid w:val="001C3E75"/>
    <w:rsid w:val="001C556B"/>
    <w:rsid w:val="001D60A1"/>
    <w:rsid w:val="001D6BCA"/>
    <w:rsid w:val="001E0C13"/>
    <w:rsid w:val="001E1B1A"/>
    <w:rsid w:val="001E2539"/>
    <w:rsid w:val="001F3AB6"/>
    <w:rsid w:val="001F3B7A"/>
    <w:rsid w:val="001F6A7E"/>
    <w:rsid w:val="001F7637"/>
    <w:rsid w:val="001F7D6B"/>
    <w:rsid w:val="002007AE"/>
    <w:rsid w:val="00202593"/>
    <w:rsid w:val="00203C81"/>
    <w:rsid w:val="002044D4"/>
    <w:rsid w:val="00206AC3"/>
    <w:rsid w:val="00211433"/>
    <w:rsid w:val="00212246"/>
    <w:rsid w:val="002156EE"/>
    <w:rsid w:val="002174E7"/>
    <w:rsid w:val="00220E2C"/>
    <w:rsid w:val="002233E0"/>
    <w:rsid w:val="0022493E"/>
    <w:rsid w:val="00224F86"/>
    <w:rsid w:val="00226C8B"/>
    <w:rsid w:val="00231912"/>
    <w:rsid w:val="00234230"/>
    <w:rsid w:val="00237103"/>
    <w:rsid w:val="00243CC3"/>
    <w:rsid w:val="00243FA8"/>
    <w:rsid w:val="00243FDC"/>
    <w:rsid w:val="00245270"/>
    <w:rsid w:val="00253C6A"/>
    <w:rsid w:val="0025705E"/>
    <w:rsid w:val="002614CD"/>
    <w:rsid w:val="00270706"/>
    <w:rsid w:val="00273734"/>
    <w:rsid w:val="0029004B"/>
    <w:rsid w:val="0029224E"/>
    <w:rsid w:val="00296F3A"/>
    <w:rsid w:val="002977D8"/>
    <w:rsid w:val="002A4C7B"/>
    <w:rsid w:val="002A636D"/>
    <w:rsid w:val="002B0FDD"/>
    <w:rsid w:val="002B5E3C"/>
    <w:rsid w:val="002C3A62"/>
    <w:rsid w:val="002C3E55"/>
    <w:rsid w:val="002C5100"/>
    <w:rsid w:val="002C6282"/>
    <w:rsid w:val="002C78C1"/>
    <w:rsid w:val="002D2C43"/>
    <w:rsid w:val="002D3700"/>
    <w:rsid w:val="002D3DB5"/>
    <w:rsid w:val="002E2F7E"/>
    <w:rsid w:val="0030189D"/>
    <w:rsid w:val="00304306"/>
    <w:rsid w:val="003204C8"/>
    <w:rsid w:val="00334214"/>
    <w:rsid w:val="00340EDF"/>
    <w:rsid w:val="003423F0"/>
    <w:rsid w:val="00342566"/>
    <w:rsid w:val="00342582"/>
    <w:rsid w:val="00343176"/>
    <w:rsid w:val="003455F5"/>
    <w:rsid w:val="00347EB0"/>
    <w:rsid w:val="003528B7"/>
    <w:rsid w:val="00354CE7"/>
    <w:rsid w:val="00354FD1"/>
    <w:rsid w:val="003608F9"/>
    <w:rsid w:val="00362E72"/>
    <w:rsid w:val="00363CD0"/>
    <w:rsid w:val="00365378"/>
    <w:rsid w:val="003673B7"/>
    <w:rsid w:val="00373628"/>
    <w:rsid w:val="0037463F"/>
    <w:rsid w:val="00375310"/>
    <w:rsid w:val="00377D75"/>
    <w:rsid w:val="00380246"/>
    <w:rsid w:val="003850C4"/>
    <w:rsid w:val="003851B5"/>
    <w:rsid w:val="00387842"/>
    <w:rsid w:val="003905F2"/>
    <w:rsid w:val="003A2ED9"/>
    <w:rsid w:val="003A3EA3"/>
    <w:rsid w:val="003A41E4"/>
    <w:rsid w:val="003B3B0C"/>
    <w:rsid w:val="003B41FD"/>
    <w:rsid w:val="003B55ED"/>
    <w:rsid w:val="003C2D1A"/>
    <w:rsid w:val="003C3469"/>
    <w:rsid w:val="003C619C"/>
    <w:rsid w:val="003D212B"/>
    <w:rsid w:val="003D32AA"/>
    <w:rsid w:val="003D4C99"/>
    <w:rsid w:val="003D4EB7"/>
    <w:rsid w:val="003D74F2"/>
    <w:rsid w:val="003E4536"/>
    <w:rsid w:val="003F0D02"/>
    <w:rsid w:val="003F3306"/>
    <w:rsid w:val="004000A1"/>
    <w:rsid w:val="00400CB5"/>
    <w:rsid w:val="004029F5"/>
    <w:rsid w:val="004041BB"/>
    <w:rsid w:val="00412188"/>
    <w:rsid w:val="00413574"/>
    <w:rsid w:val="00415426"/>
    <w:rsid w:val="00417819"/>
    <w:rsid w:val="004208CA"/>
    <w:rsid w:val="00422B45"/>
    <w:rsid w:val="00425215"/>
    <w:rsid w:val="004279BD"/>
    <w:rsid w:val="00443026"/>
    <w:rsid w:val="0044348B"/>
    <w:rsid w:val="004479BC"/>
    <w:rsid w:val="00447F0B"/>
    <w:rsid w:val="004624D8"/>
    <w:rsid w:val="0046744F"/>
    <w:rsid w:val="004755C9"/>
    <w:rsid w:val="00477F9A"/>
    <w:rsid w:val="00480AF8"/>
    <w:rsid w:val="00484654"/>
    <w:rsid w:val="004867D4"/>
    <w:rsid w:val="00487C3A"/>
    <w:rsid w:val="004A07D4"/>
    <w:rsid w:val="004A333B"/>
    <w:rsid w:val="004B4F45"/>
    <w:rsid w:val="004B6C1E"/>
    <w:rsid w:val="004D4035"/>
    <w:rsid w:val="004D6A5C"/>
    <w:rsid w:val="004D7968"/>
    <w:rsid w:val="004E3AD6"/>
    <w:rsid w:val="004E3ED5"/>
    <w:rsid w:val="004F27EC"/>
    <w:rsid w:val="004F4CB6"/>
    <w:rsid w:val="004F4F07"/>
    <w:rsid w:val="00501279"/>
    <w:rsid w:val="00502E0E"/>
    <w:rsid w:val="00506E9B"/>
    <w:rsid w:val="00520C8B"/>
    <w:rsid w:val="0052472D"/>
    <w:rsid w:val="00533647"/>
    <w:rsid w:val="005370F6"/>
    <w:rsid w:val="00537141"/>
    <w:rsid w:val="005433B4"/>
    <w:rsid w:val="00554DEE"/>
    <w:rsid w:val="005628C0"/>
    <w:rsid w:val="0056656C"/>
    <w:rsid w:val="00566AFD"/>
    <w:rsid w:val="0056717D"/>
    <w:rsid w:val="00573D68"/>
    <w:rsid w:val="00576D64"/>
    <w:rsid w:val="00582E20"/>
    <w:rsid w:val="005918D9"/>
    <w:rsid w:val="0059314A"/>
    <w:rsid w:val="005942F1"/>
    <w:rsid w:val="005976A2"/>
    <w:rsid w:val="005A0F0E"/>
    <w:rsid w:val="005A16FA"/>
    <w:rsid w:val="005A330A"/>
    <w:rsid w:val="005A3DFD"/>
    <w:rsid w:val="005B02F9"/>
    <w:rsid w:val="005B3DCB"/>
    <w:rsid w:val="005C4F9B"/>
    <w:rsid w:val="005C6ABF"/>
    <w:rsid w:val="005D04F1"/>
    <w:rsid w:val="005D140C"/>
    <w:rsid w:val="005D52B5"/>
    <w:rsid w:val="005D52C7"/>
    <w:rsid w:val="005D5A9F"/>
    <w:rsid w:val="005D7737"/>
    <w:rsid w:val="005E3834"/>
    <w:rsid w:val="005E519D"/>
    <w:rsid w:val="005E52AB"/>
    <w:rsid w:val="005E578F"/>
    <w:rsid w:val="005F245E"/>
    <w:rsid w:val="005F2F20"/>
    <w:rsid w:val="005F4653"/>
    <w:rsid w:val="005F520B"/>
    <w:rsid w:val="00605373"/>
    <w:rsid w:val="00611770"/>
    <w:rsid w:val="006123A0"/>
    <w:rsid w:val="0061240E"/>
    <w:rsid w:val="00614028"/>
    <w:rsid w:val="00616200"/>
    <w:rsid w:val="006206E6"/>
    <w:rsid w:val="0062158A"/>
    <w:rsid w:val="00632ADD"/>
    <w:rsid w:val="00634188"/>
    <w:rsid w:val="006346FF"/>
    <w:rsid w:val="00640F52"/>
    <w:rsid w:val="00660E58"/>
    <w:rsid w:val="0066137C"/>
    <w:rsid w:val="006718A6"/>
    <w:rsid w:val="00671ED4"/>
    <w:rsid w:val="00671F3F"/>
    <w:rsid w:val="00672106"/>
    <w:rsid w:val="00675EF1"/>
    <w:rsid w:val="00680FC2"/>
    <w:rsid w:val="0068263A"/>
    <w:rsid w:val="00685BEF"/>
    <w:rsid w:val="006940BC"/>
    <w:rsid w:val="006A5EFD"/>
    <w:rsid w:val="006A6766"/>
    <w:rsid w:val="006B05E7"/>
    <w:rsid w:val="006B168E"/>
    <w:rsid w:val="006B2EEC"/>
    <w:rsid w:val="006B5620"/>
    <w:rsid w:val="006B5BA0"/>
    <w:rsid w:val="006C069A"/>
    <w:rsid w:val="006C088D"/>
    <w:rsid w:val="006C08BF"/>
    <w:rsid w:val="006C2144"/>
    <w:rsid w:val="006C2E48"/>
    <w:rsid w:val="006C4815"/>
    <w:rsid w:val="006C717F"/>
    <w:rsid w:val="006D35EF"/>
    <w:rsid w:val="006D4F6E"/>
    <w:rsid w:val="006D5065"/>
    <w:rsid w:val="006D56B9"/>
    <w:rsid w:val="006D7A7C"/>
    <w:rsid w:val="006E21ED"/>
    <w:rsid w:val="006E3EC6"/>
    <w:rsid w:val="006E55A7"/>
    <w:rsid w:val="00702959"/>
    <w:rsid w:val="00702B1B"/>
    <w:rsid w:val="00710FE9"/>
    <w:rsid w:val="00711708"/>
    <w:rsid w:val="007121FC"/>
    <w:rsid w:val="007140A7"/>
    <w:rsid w:val="007155A3"/>
    <w:rsid w:val="0071625C"/>
    <w:rsid w:val="00722112"/>
    <w:rsid w:val="00723D45"/>
    <w:rsid w:val="007265F4"/>
    <w:rsid w:val="00727D1C"/>
    <w:rsid w:val="00730AE6"/>
    <w:rsid w:val="00731A34"/>
    <w:rsid w:val="00736366"/>
    <w:rsid w:val="007423A6"/>
    <w:rsid w:val="00745B05"/>
    <w:rsid w:val="00762601"/>
    <w:rsid w:val="007640E8"/>
    <w:rsid w:val="007643C1"/>
    <w:rsid w:val="007704C7"/>
    <w:rsid w:val="00773020"/>
    <w:rsid w:val="007744EF"/>
    <w:rsid w:val="00775BB7"/>
    <w:rsid w:val="00780711"/>
    <w:rsid w:val="007830C8"/>
    <w:rsid w:val="0078577A"/>
    <w:rsid w:val="00785E4D"/>
    <w:rsid w:val="007877F0"/>
    <w:rsid w:val="007906A8"/>
    <w:rsid w:val="00792890"/>
    <w:rsid w:val="00793553"/>
    <w:rsid w:val="00793F59"/>
    <w:rsid w:val="0079685D"/>
    <w:rsid w:val="007A125A"/>
    <w:rsid w:val="007A38BF"/>
    <w:rsid w:val="007A5292"/>
    <w:rsid w:val="007B1065"/>
    <w:rsid w:val="007B5956"/>
    <w:rsid w:val="007B67A0"/>
    <w:rsid w:val="007B7135"/>
    <w:rsid w:val="007C15FB"/>
    <w:rsid w:val="007C28C2"/>
    <w:rsid w:val="007C7386"/>
    <w:rsid w:val="007D15AD"/>
    <w:rsid w:val="007D2976"/>
    <w:rsid w:val="007E7B7F"/>
    <w:rsid w:val="007F27B4"/>
    <w:rsid w:val="007F421F"/>
    <w:rsid w:val="007F6D30"/>
    <w:rsid w:val="0080128E"/>
    <w:rsid w:val="00801EBD"/>
    <w:rsid w:val="0080387B"/>
    <w:rsid w:val="008062D9"/>
    <w:rsid w:val="00807453"/>
    <w:rsid w:val="0081260D"/>
    <w:rsid w:val="00815B2F"/>
    <w:rsid w:val="00817375"/>
    <w:rsid w:val="00822240"/>
    <w:rsid w:val="008233E5"/>
    <w:rsid w:val="00832DDB"/>
    <w:rsid w:val="00837709"/>
    <w:rsid w:val="00841893"/>
    <w:rsid w:val="00842847"/>
    <w:rsid w:val="00843159"/>
    <w:rsid w:val="00847FC0"/>
    <w:rsid w:val="008536A5"/>
    <w:rsid w:val="0085440B"/>
    <w:rsid w:val="00854A87"/>
    <w:rsid w:val="00854CD7"/>
    <w:rsid w:val="0085701A"/>
    <w:rsid w:val="00862B0B"/>
    <w:rsid w:val="008650B8"/>
    <w:rsid w:val="0086527B"/>
    <w:rsid w:val="00865AF8"/>
    <w:rsid w:val="00874EF2"/>
    <w:rsid w:val="008769CB"/>
    <w:rsid w:val="00880588"/>
    <w:rsid w:val="008835E0"/>
    <w:rsid w:val="00885D58"/>
    <w:rsid w:val="00893EA4"/>
    <w:rsid w:val="008972DB"/>
    <w:rsid w:val="008A00DF"/>
    <w:rsid w:val="008A2346"/>
    <w:rsid w:val="008B146E"/>
    <w:rsid w:val="008B3B15"/>
    <w:rsid w:val="008B547A"/>
    <w:rsid w:val="008B6D08"/>
    <w:rsid w:val="008C4BA2"/>
    <w:rsid w:val="008D0C43"/>
    <w:rsid w:val="008D1818"/>
    <w:rsid w:val="008D2821"/>
    <w:rsid w:val="008E1677"/>
    <w:rsid w:val="008E6603"/>
    <w:rsid w:val="008F4C0E"/>
    <w:rsid w:val="00902271"/>
    <w:rsid w:val="00906A65"/>
    <w:rsid w:val="00906F1B"/>
    <w:rsid w:val="00921086"/>
    <w:rsid w:val="00924DBE"/>
    <w:rsid w:val="0092640C"/>
    <w:rsid w:val="00932063"/>
    <w:rsid w:val="009337BA"/>
    <w:rsid w:val="009351A2"/>
    <w:rsid w:val="00936961"/>
    <w:rsid w:val="0094096C"/>
    <w:rsid w:val="00943589"/>
    <w:rsid w:val="0094360E"/>
    <w:rsid w:val="00944A2B"/>
    <w:rsid w:val="00946AD2"/>
    <w:rsid w:val="0096522D"/>
    <w:rsid w:val="00965EE1"/>
    <w:rsid w:val="00972F8E"/>
    <w:rsid w:val="00975B11"/>
    <w:rsid w:val="00975F46"/>
    <w:rsid w:val="00977870"/>
    <w:rsid w:val="00986392"/>
    <w:rsid w:val="00987410"/>
    <w:rsid w:val="00992A4E"/>
    <w:rsid w:val="0099711E"/>
    <w:rsid w:val="009A43B1"/>
    <w:rsid w:val="009B35C9"/>
    <w:rsid w:val="009B36BC"/>
    <w:rsid w:val="009C4CDA"/>
    <w:rsid w:val="009D01EF"/>
    <w:rsid w:val="009D0DE9"/>
    <w:rsid w:val="009D2F35"/>
    <w:rsid w:val="009D316F"/>
    <w:rsid w:val="009D41B5"/>
    <w:rsid w:val="009E36A5"/>
    <w:rsid w:val="009E7410"/>
    <w:rsid w:val="009F329B"/>
    <w:rsid w:val="009F6E3D"/>
    <w:rsid w:val="00A002D8"/>
    <w:rsid w:val="00A02739"/>
    <w:rsid w:val="00A05A51"/>
    <w:rsid w:val="00A06CC0"/>
    <w:rsid w:val="00A10513"/>
    <w:rsid w:val="00A10B98"/>
    <w:rsid w:val="00A14A55"/>
    <w:rsid w:val="00A20956"/>
    <w:rsid w:val="00A23860"/>
    <w:rsid w:val="00A23F3D"/>
    <w:rsid w:val="00A32EED"/>
    <w:rsid w:val="00A354D1"/>
    <w:rsid w:val="00A4013E"/>
    <w:rsid w:val="00A40C5B"/>
    <w:rsid w:val="00A42790"/>
    <w:rsid w:val="00A43F9A"/>
    <w:rsid w:val="00A43FAC"/>
    <w:rsid w:val="00A534D2"/>
    <w:rsid w:val="00A5374A"/>
    <w:rsid w:val="00A542E7"/>
    <w:rsid w:val="00A552FF"/>
    <w:rsid w:val="00A55970"/>
    <w:rsid w:val="00A55E29"/>
    <w:rsid w:val="00A6191E"/>
    <w:rsid w:val="00A64D3B"/>
    <w:rsid w:val="00A7245B"/>
    <w:rsid w:val="00A72AAF"/>
    <w:rsid w:val="00A74720"/>
    <w:rsid w:val="00A930DA"/>
    <w:rsid w:val="00A9517F"/>
    <w:rsid w:val="00A95534"/>
    <w:rsid w:val="00A95685"/>
    <w:rsid w:val="00AA054B"/>
    <w:rsid w:val="00AA72BC"/>
    <w:rsid w:val="00AB1698"/>
    <w:rsid w:val="00AB1856"/>
    <w:rsid w:val="00AB3BDC"/>
    <w:rsid w:val="00AB5608"/>
    <w:rsid w:val="00AB5A22"/>
    <w:rsid w:val="00AC0313"/>
    <w:rsid w:val="00AC1221"/>
    <w:rsid w:val="00AC309E"/>
    <w:rsid w:val="00AC5EA8"/>
    <w:rsid w:val="00AC7FFD"/>
    <w:rsid w:val="00AD18CC"/>
    <w:rsid w:val="00AD1F30"/>
    <w:rsid w:val="00AD5E15"/>
    <w:rsid w:val="00AE1444"/>
    <w:rsid w:val="00AE4A79"/>
    <w:rsid w:val="00AF1913"/>
    <w:rsid w:val="00AF1F60"/>
    <w:rsid w:val="00AF5A06"/>
    <w:rsid w:val="00AF7D32"/>
    <w:rsid w:val="00B0149F"/>
    <w:rsid w:val="00B0592A"/>
    <w:rsid w:val="00B11902"/>
    <w:rsid w:val="00B12D26"/>
    <w:rsid w:val="00B1511A"/>
    <w:rsid w:val="00B16350"/>
    <w:rsid w:val="00B20A62"/>
    <w:rsid w:val="00B21448"/>
    <w:rsid w:val="00B24A10"/>
    <w:rsid w:val="00B30D15"/>
    <w:rsid w:val="00B32098"/>
    <w:rsid w:val="00B3522D"/>
    <w:rsid w:val="00B367B6"/>
    <w:rsid w:val="00B4244C"/>
    <w:rsid w:val="00B4358E"/>
    <w:rsid w:val="00B44265"/>
    <w:rsid w:val="00B45863"/>
    <w:rsid w:val="00B55BC2"/>
    <w:rsid w:val="00B57637"/>
    <w:rsid w:val="00B63000"/>
    <w:rsid w:val="00B65B91"/>
    <w:rsid w:val="00B75580"/>
    <w:rsid w:val="00B840E9"/>
    <w:rsid w:val="00B8486C"/>
    <w:rsid w:val="00B873ED"/>
    <w:rsid w:val="00B91343"/>
    <w:rsid w:val="00BA3E0D"/>
    <w:rsid w:val="00BA5651"/>
    <w:rsid w:val="00BA727B"/>
    <w:rsid w:val="00BC04C3"/>
    <w:rsid w:val="00BC2D8A"/>
    <w:rsid w:val="00BC2E5A"/>
    <w:rsid w:val="00BC4EF6"/>
    <w:rsid w:val="00BC7EFB"/>
    <w:rsid w:val="00BD0016"/>
    <w:rsid w:val="00BD1CF2"/>
    <w:rsid w:val="00BD2158"/>
    <w:rsid w:val="00BD2AB1"/>
    <w:rsid w:val="00BE048D"/>
    <w:rsid w:val="00BE5A38"/>
    <w:rsid w:val="00BE6659"/>
    <w:rsid w:val="00BE74FF"/>
    <w:rsid w:val="00BF1ED1"/>
    <w:rsid w:val="00BF39C4"/>
    <w:rsid w:val="00BF628A"/>
    <w:rsid w:val="00C02FD5"/>
    <w:rsid w:val="00C05CD7"/>
    <w:rsid w:val="00C10869"/>
    <w:rsid w:val="00C14D39"/>
    <w:rsid w:val="00C16489"/>
    <w:rsid w:val="00C24767"/>
    <w:rsid w:val="00C2526D"/>
    <w:rsid w:val="00C2529C"/>
    <w:rsid w:val="00C25D4F"/>
    <w:rsid w:val="00C30DE5"/>
    <w:rsid w:val="00C315C9"/>
    <w:rsid w:val="00C40700"/>
    <w:rsid w:val="00C41994"/>
    <w:rsid w:val="00C433F1"/>
    <w:rsid w:val="00C44524"/>
    <w:rsid w:val="00C45034"/>
    <w:rsid w:val="00C5048B"/>
    <w:rsid w:val="00C52B63"/>
    <w:rsid w:val="00C52E93"/>
    <w:rsid w:val="00C53DD4"/>
    <w:rsid w:val="00C53E48"/>
    <w:rsid w:val="00C53F8F"/>
    <w:rsid w:val="00C57CFB"/>
    <w:rsid w:val="00C7200F"/>
    <w:rsid w:val="00C77FF7"/>
    <w:rsid w:val="00C85E44"/>
    <w:rsid w:val="00C902F9"/>
    <w:rsid w:val="00C90F8D"/>
    <w:rsid w:val="00C9572A"/>
    <w:rsid w:val="00CA030F"/>
    <w:rsid w:val="00CB6798"/>
    <w:rsid w:val="00CC28B6"/>
    <w:rsid w:val="00CC3D01"/>
    <w:rsid w:val="00CD0C79"/>
    <w:rsid w:val="00CD6439"/>
    <w:rsid w:val="00CE0BA0"/>
    <w:rsid w:val="00CE2B14"/>
    <w:rsid w:val="00CF0514"/>
    <w:rsid w:val="00CF0983"/>
    <w:rsid w:val="00CF11B2"/>
    <w:rsid w:val="00CF7D21"/>
    <w:rsid w:val="00D0176E"/>
    <w:rsid w:val="00D0233D"/>
    <w:rsid w:val="00D05946"/>
    <w:rsid w:val="00D06A27"/>
    <w:rsid w:val="00D1061D"/>
    <w:rsid w:val="00D1529A"/>
    <w:rsid w:val="00D156D2"/>
    <w:rsid w:val="00D1684E"/>
    <w:rsid w:val="00D2026C"/>
    <w:rsid w:val="00D20F84"/>
    <w:rsid w:val="00D2205A"/>
    <w:rsid w:val="00D23A0B"/>
    <w:rsid w:val="00D26B8B"/>
    <w:rsid w:val="00D30377"/>
    <w:rsid w:val="00D30505"/>
    <w:rsid w:val="00D3267D"/>
    <w:rsid w:val="00D40161"/>
    <w:rsid w:val="00D4061F"/>
    <w:rsid w:val="00D40B4C"/>
    <w:rsid w:val="00D42F8A"/>
    <w:rsid w:val="00D4462F"/>
    <w:rsid w:val="00D44B68"/>
    <w:rsid w:val="00D5107E"/>
    <w:rsid w:val="00D51379"/>
    <w:rsid w:val="00D547AA"/>
    <w:rsid w:val="00D54CE3"/>
    <w:rsid w:val="00D55A29"/>
    <w:rsid w:val="00D625FF"/>
    <w:rsid w:val="00D65455"/>
    <w:rsid w:val="00D66BFE"/>
    <w:rsid w:val="00D70E74"/>
    <w:rsid w:val="00D75A88"/>
    <w:rsid w:val="00D80668"/>
    <w:rsid w:val="00D80802"/>
    <w:rsid w:val="00D8338A"/>
    <w:rsid w:val="00D86D10"/>
    <w:rsid w:val="00D922EC"/>
    <w:rsid w:val="00D94913"/>
    <w:rsid w:val="00DB04C4"/>
    <w:rsid w:val="00DB3A4D"/>
    <w:rsid w:val="00DC1B58"/>
    <w:rsid w:val="00DC226F"/>
    <w:rsid w:val="00DC2AAA"/>
    <w:rsid w:val="00DC37D9"/>
    <w:rsid w:val="00DD0028"/>
    <w:rsid w:val="00DD2181"/>
    <w:rsid w:val="00DD3DCD"/>
    <w:rsid w:val="00DD4984"/>
    <w:rsid w:val="00DD5104"/>
    <w:rsid w:val="00DE4C1C"/>
    <w:rsid w:val="00DE65E6"/>
    <w:rsid w:val="00DF03F4"/>
    <w:rsid w:val="00DF3EBD"/>
    <w:rsid w:val="00E01A13"/>
    <w:rsid w:val="00E06D35"/>
    <w:rsid w:val="00E06D8E"/>
    <w:rsid w:val="00E12125"/>
    <w:rsid w:val="00E12A0C"/>
    <w:rsid w:val="00E2278F"/>
    <w:rsid w:val="00E25954"/>
    <w:rsid w:val="00E260E9"/>
    <w:rsid w:val="00E31A47"/>
    <w:rsid w:val="00E338C0"/>
    <w:rsid w:val="00E36E21"/>
    <w:rsid w:val="00E37D0C"/>
    <w:rsid w:val="00E40A95"/>
    <w:rsid w:val="00E4334E"/>
    <w:rsid w:val="00E53042"/>
    <w:rsid w:val="00E5650C"/>
    <w:rsid w:val="00E5737D"/>
    <w:rsid w:val="00E7022E"/>
    <w:rsid w:val="00E7094E"/>
    <w:rsid w:val="00E70C80"/>
    <w:rsid w:val="00E71415"/>
    <w:rsid w:val="00E72671"/>
    <w:rsid w:val="00E72A65"/>
    <w:rsid w:val="00E7677E"/>
    <w:rsid w:val="00E843B9"/>
    <w:rsid w:val="00E93985"/>
    <w:rsid w:val="00EA1A67"/>
    <w:rsid w:val="00EA4639"/>
    <w:rsid w:val="00EA4B65"/>
    <w:rsid w:val="00EA56CD"/>
    <w:rsid w:val="00EA6F7F"/>
    <w:rsid w:val="00EB10F8"/>
    <w:rsid w:val="00EB379F"/>
    <w:rsid w:val="00EB39D6"/>
    <w:rsid w:val="00EB7456"/>
    <w:rsid w:val="00EC2F8C"/>
    <w:rsid w:val="00EC388A"/>
    <w:rsid w:val="00EC66D3"/>
    <w:rsid w:val="00ED4D9B"/>
    <w:rsid w:val="00EE6373"/>
    <w:rsid w:val="00EE6A01"/>
    <w:rsid w:val="00EE7295"/>
    <w:rsid w:val="00EF0ECD"/>
    <w:rsid w:val="00EF523A"/>
    <w:rsid w:val="00F0364F"/>
    <w:rsid w:val="00F03EA3"/>
    <w:rsid w:val="00F10673"/>
    <w:rsid w:val="00F10B26"/>
    <w:rsid w:val="00F11368"/>
    <w:rsid w:val="00F15A52"/>
    <w:rsid w:val="00F17FBC"/>
    <w:rsid w:val="00F22355"/>
    <w:rsid w:val="00F22EA5"/>
    <w:rsid w:val="00F237FE"/>
    <w:rsid w:val="00F3195C"/>
    <w:rsid w:val="00F31987"/>
    <w:rsid w:val="00F319C1"/>
    <w:rsid w:val="00F374EA"/>
    <w:rsid w:val="00F37940"/>
    <w:rsid w:val="00F37A75"/>
    <w:rsid w:val="00F40E91"/>
    <w:rsid w:val="00F45E4A"/>
    <w:rsid w:val="00F466C4"/>
    <w:rsid w:val="00F47CDC"/>
    <w:rsid w:val="00F5169E"/>
    <w:rsid w:val="00F54430"/>
    <w:rsid w:val="00F71798"/>
    <w:rsid w:val="00F763F9"/>
    <w:rsid w:val="00F77B00"/>
    <w:rsid w:val="00F817BC"/>
    <w:rsid w:val="00F82C31"/>
    <w:rsid w:val="00F91A3C"/>
    <w:rsid w:val="00F921D2"/>
    <w:rsid w:val="00F967DE"/>
    <w:rsid w:val="00FA48A4"/>
    <w:rsid w:val="00FB011F"/>
    <w:rsid w:val="00FB47D2"/>
    <w:rsid w:val="00FC1564"/>
    <w:rsid w:val="00FC16AA"/>
    <w:rsid w:val="00FC21AA"/>
    <w:rsid w:val="00FD16E5"/>
    <w:rsid w:val="00FD1E90"/>
    <w:rsid w:val="00FD261B"/>
    <w:rsid w:val="00FE1098"/>
    <w:rsid w:val="00FE2965"/>
    <w:rsid w:val="00FE4777"/>
    <w:rsid w:val="00FE5BAB"/>
    <w:rsid w:val="00FF7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FDC46"/>
  <w15:docId w15:val="{15256771-78C7-4A82-8DEE-37112F4B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5A52"/>
    <w:pPr>
      <w:spacing w:after="100"/>
    </w:pPr>
  </w:style>
  <w:style w:type="paragraph" w:styleId="TOC2">
    <w:name w:val="toc 2"/>
    <w:basedOn w:val="Normal"/>
    <w:next w:val="Normal"/>
    <w:autoRedefine/>
    <w:uiPriority w:val="39"/>
    <w:unhideWhenUsed/>
    <w:rsid w:val="00F15A52"/>
    <w:pPr>
      <w:spacing w:after="100"/>
      <w:ind w:left="230"/>
    </w:pPr>
  </w:style>
  <w:style w:type="character" w:styleId="CommentReference">
    <w:name w:val="annotation reference"/>
    <w:basedOn w:val="DefaultParagraphFont"/>
    <w:uiPriority w:val="99"/>
    <w:semiHidden/>
    <w:unhideWhenUsed/>
    <w:rsid w:val="00A354D1"/>
    <w:rPr>
      <w:sz w:val="16"/>
      <w:szCs w:val="16"/>
    </w:rPr>
  </w:style>
  <w:style w:type="paragraph" w:styleId="CommentText">
    <w:name w:val="annotation text"/>
    <w:basedOn w:val="Normal"/>
    <w:link w:val="CommentTextChar"/>
    <w:uiPriority w:val="99"/>
    <w:unhideWhenUsed/>
    <w:rsid w:val="00A354D1"/>
    <w:rPr>
      <w:sz w:val="20"/>
      <w:szCs w:val="20"/>
    </w:rPr>
  </w:style>
  <w:style w:type="character" w:customStyle="1" w:styleId="CommentTextChar">
    <w:name w:val="Comment Text Char"/>
    <w:basedOn w:val="DefaultParagraphFont"/>
    <w:link w:val="CommentText"/>
    <w:uiPriority w:val="99"/>
    <w:rsid w:val="00A354D1"/>
    <w:rPr>
      <w:sz w:val="20"/>
      <w:szCs w:val="20"/>
    </w:rPr>
  </w:style>
  <w:style w:type="paragraph" w:styleId="CommentSubject">
    <w:name w:val="annotation subject"/>
    <w:basedOn w:val="CommentText"/>
    <w:next w:val="CommentText"/>
    <w:link w:val="CommentSubjectChar"/>
    <w:uiPriority w:val="99"/>
    <w:semiHidden/>
    <w:unhideWhenUsed/>
    <w:rsid w:val="00A354D1"/>
    <w:rPr>
      <w:b/>
      <w:bCs/>
    </w:rPr>
  </w:style>
  <w:style w:type="character" w:customStyle="1" w:styleId="CommentSubjectChar">
    <w:name w:val="Comment Subject Char"/>
    <w:basedOn w:val="CommentTextChar"/>
    <w:link w:val="CommentSubject"/>
    <w:uiPriority w:val="99"/>
    <w:semiHidden/>
    <w:rsid w:val="00A354D1"/>
    <w:rPr>
      <w:b/>
      <w:bCs/>
      <w:sz w:val="20"/>
      <w:szCs w:val="20"/>
    </w:rPr>
  </w:style>
  <w:style w:type="paragraph" w:styleId="Footer">
    <w:name w:val="footer"/>
    <w:basedOn w:val="Normal"/>
    <w:link w:val="FooterChar"/>
    <w:uiPriority w:val="99"/>
    <w:unhideWhenUsed/>
    <w:rsid w:val="00D80802"/>
    <w:pPr>
      <w:tabs>
        <w:tab w:val="center" w:pos="4513"/>
        <w:tab w:val="right" w:pos="9026"/>
      </w:tabs>
    </w:pPr>
  </w:style>
  <w:style w:type="character" w:customStyle="1" w:styleId="FooterChar">
    <w:name w:val="Footer Char"/>
    <w:basedOn w:val="DefaultParagraphFont"/>
    <w:link w:val="Footer"/>
    <w:uiPriority w:val="99"/>
    <w:rsid w:val="00D80802"/>
  </w:style>
  <w:style w:type="paragraph" w:styleId="Header">
    <w:name w:val="header"/>
    <w:basedOn w:val="Normal"/>
    <w:link w:val="HeaderChar"/>
    <w:uiPriority w:val="99"/>
    <w:semiHidden/>
    <w:unhideWhenUsed/>
    <w:rsid w:val="005433B4"/>
    <w:pPr>
      <w:tabs>
        <w:tab w:val="center" w:pos="4513"/>
        <w:tab w:val="right" w:pos="9026"/>
      </w:tabs>
    </w:pPr>
  </w:style>
  <w:style w:type="character" w:customStyle="1" w:styleId="HeaderChar">
    <w:name w:val="Header Char"/>
    <w:basedOn w:val="DefaultParagraphFont"/>
    <w:link w:val="Header"/>
    <w:uiPriority w:val="99"/>
    <w:semiHidden/>
    <w:rsid w:val="005433B4"/>
  </w:style>
  <w:style w:type="paragraph" w:styleId="Revision">
    <w:name w:val="Revision"/>
    <w:hidden/>
    <w:uiPriority w:val="99"/>
    <w:semiHidden/>
    <w:rsid w:val="009351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 Id="rId2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6ae1d80a-dbf7-4647-9f04-8202b240e192">
      <Terms xmlns="http://schemas.microsoft.com/office/infopath/2007/PartnerControls"/>
    </lcf76f155ced4ddcb4097134ff3c332f>
    <TaxCatchAll xmlns="e72ee3cb-d66f-403d-9643-355032adc9d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2E2AA806A9E2249AB59A325BFEAFF59" ma:contentTypeVersion="16" ma:contentTypeDescription="Create a new document." ma:contentTypeScope="" ma:versionID="1c01a44bbb90c77df06ee48d737b055a">
  <xsd:schema xmlns:xsd="http://www.w3.org/2001/XMLSchema" xmlns:xs="http://www.w3.org/2001/XMLSchema" xmlns:p="http://schemas.microsoft.com/office/2006/metadata/properties" xmlns:ns2="6ae1d80a-dbf7-4647-9f04-8202b240e192" xmlns:ns3="e72ee3cb-d66f-403d-9643-355032adc9db" targetNamespace="http://schemas.microsoft.com/office/2006/metadata/properties" ma:root="true" ma:fieldsID="6efd90b5521d86adce6a25c0b0bc72d0" ns2:_="" ns3:_="">
    <xsd:import namespace="6ae1d80a-dbf7-4647-9f04-8202b240e192"/>
    <xsd:import namespace="e72ee3cb-d66f-403d-9643-355032adc9d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e1d80a-dbf7-4647-9f04-8202b240e1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b2addfa-c26d-4e3b-b240-f6c3bd38282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2ee3cb-d66f-403d-9643-355032adc9d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aa22aef6-3d80-4c51-abca-bcaa9a60ecc4}" ma:internalName="TaxCatchAll" ma:showField="CatchAllData" ma:web="e72ee3cb-d66f-403d-9643-355032adc9db">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3795D61-7F20-4C3C-BC2A-16111DD0DC1A}">
  <ds:schemaRefs>
    <ds:schemaRef ds:uri="http://schemas.openxmlformats.org/officeDocument/2006/bibliography"/>
  </ds:schemaRefs>
</ds:datastoreItem>
</file>

<file path=customXml/itemProps2.xml><?xml version="1.0" encoding="utf-8"?>
<ds:datastoreItem xmlns:ds="http://schemas.openxmlformats.org/officeDocument/2006/customXml" ds:itemID="{D45EF7D1-91E3-4E46-B01E-653E0CF6B44D}">
  <ds:schemaRefs>
    <ds:schemaRef ds:uri="http://schemas.microsoft.com/office/2006/metadata/properties"/>
    <ds:schemaRef ds:uri="http://schemas.microsoft.com/office/infopath/2007/PartnerControls"/>
    <ds:schemaRef ds:uri="6ae1d80a-dbf7-4647-9f04-8202b240e192"/>
    <ds:schemaRef ds:uri="e72ee3cb-d66f-403d-9643-355032adc9db"/>
  </ds:schemaRefs>
</ds:datastoreItem>
</file>

<file path=customXml/itemProps3.xml><?xml version="1.0" encoding="utf-8"?>
<ds:datastoreItem xmlns:ds="http://schemas.openxmlformats.org/officeDocument/2006/customXml" ds:itemID="{67A6BC3A-5CCA-436A-AB8F-4C08D414D76E}">
  <ds:schemaRefs>
    <ds:schemaRef ds:uri="http://schemas.microsoft.com/sharepoint/v3/contenttype/forms"/>
  </ds:schemaRefs>
</ds:datastoreItem>
</file>

<file path=customXml/itemProps4.xml><?xml version="1.0" encoding="utf-8"?>
<ds:datastoreItem xmlns:ds="http://schemas.openxmlformats.org/officeDocument/2006/customXml" ds:itemID="{85DDB74F-DEEF-432F-B645-7D553A7DF7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e1d80a-dbf7-4647-9f04-8202b240e192"/>
    <ds:schemaRef ds:uri="e72ee3cb-d66f-403d-9643-355032adc9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6481</Words>
  <Characters>40771</Characters>
  <Application>Microsoft Office Word</Application>
  <DocSecurity>0</DocSecurity>
  <Lines>558</Lines>
  <Paragraphs>195</Paragraphs>
  <ScaleCrop>false</ScaleCrop>
  <HeadingPairs>
    <vt:vector size="2" baseType="variant">
      <vt:variant>
        <vt:lpstr>Title</vt:lpstr>
      </vt:variant>
      <vt:variant>
        <vt:i4>1</vt:i4>
      </vt:variant>
    </vt:vector>
  </HeadingPairs>
  <TitlesOfParts>
    <vt:vector size="1" baseType="lpstr">
      <vt:lpstr/>
    </vt:vector>
  </TitlesOfParts>
  <Company>OECD</Company>
  <LinksUpToDate>false</LinksUpToDate>
  <CharactersWithSpaces>47057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DURÁN ROA José Elías, EDU/IMEP</cp:lastModifiedBy>
  <cp:revision>3</cp:revision>
  <dcterms:created xsi:type="dcterms:W3CDTF">2026-10-05T12:05:00Z</dcterms:created>
  <dcterms:modified xsi:type="dcterms:W3CDTF">2026-10-05T12:12:00Z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DocumentId">
    <vt:lpwstr>14645CF658E7244B8ACB41AD9CB08C14461E012D75E7176195CD6A2F4337FAEB</vt:lpwstr>
  </property>
  <property fmtid="{D5CDD505-2E9C-101B-9397-08002B2CF9AE}" pid="3" name="OecdDocumentCoteLangHash">
    <vt:lpwstr/>
  </property>
  <property fmtid="{D5CDD505-2E9C-101B-9397-08002B2CF9AE}" pid="4" name="ContentTypeId">
    <vt:lpwstr>0x010100F2E2AA806A9E2249AB59A325BFEAFF59</vt:lpwstr>
  </property>
  <property fmtid="{D5CDD505-2E9C-101B-9397-08002B2CF9AE}" pid="5" name="MediaServiceImageTags">
    <vt:lpwstr/>
  </property>
  <property fmtid="{D5CDD505-2E9C-101B-9397-08002B2CF9AE}" pid="6" name="ClassificationContentMarkingFooterShapeIds">
    <vt:lpwstr>5ef0c748,714f3e63,2578c4d2</vt:lpwstr>
  </property>
  <property fmtid="{D5CDD505-2E9C-101B-9397-08002B2CF9AE}" pid="7" name="ClassificationContentMarkingFooterFontProps">
    <vt:lpwstr>#0000ff,10,Arial Narrow</vt:lpwstr>
  </property>
  <property fmtid="{D5CDD505-2E9C-101B-9397-08002B2CF9AE}" pid="8" name="ClassificationContentMarkingFooterText">
    <vt:lpwstr>Unclassified - Non classifié</vt:lpwstr>
  </property>
  <property fmtid="{D5CDD505-2E9C-101B-9397-08002B2CF9AE}" pid="9" name="MSIP_Label_0b2d0c28-e13a-4801-bbf0-29bdaa81743b_Enabled">
    <vt:lpwstr>true</vt:lpwstr>
  </property>
  <property fmtid="{D5CDD505-2E9C-101B-9397-08002B2CF9AE}" pid="10" name="MSIP_Label_0b2d0c28-e13a-4801-bbf0-29bdaa81743b_SetDate">
    <vt:lpwstr>2026-10-05T12:27:06Z</vt:lpwstr>
  </property>
  <property fmtid="{D5CDD505-2E9C-101B-9397-08002B2CF9AE}" pid="11" name="MSIP_Label_0b2d0c28-e13a-4801-bbf0-29bdaa81743b_Method">
    <vt:lpwstr>Privileged</vt:lpwstr>
  </property>
  <property fmtid="{D5CDD505-2E9C-101B-9397-08002B2CF9AE}" pid="12" name="MSIP_Label_0b2d0c28-e13a-4801-bbf0-29bdaa81743b_Name">
    <vt:lpwstr>Unclassified</vt:lpwstr>
  </property>
  <property fmtid="{D5CDD505-2E9C-101B-9397-08002B2CF9AE}" pid="13" name="MSIP_Label_0b2d0c28-e13a-4801-bbf0-29bdaa81743b_SiteId">
    <vt:lpwstr>ac41c7d4-1f61-460d-b0f4-fc925a2b471c</vt:lpwstr>
  </property>
  <property fmtid="{D5CDD505-2E9C-101B-9397-08002B2CF9AE}" pid="14" name="MSIP_Label_0b2d0c28-e13a-4801-bbf0-29bdaa81743b_ActionId">
    <vt:lpwstr>dc1ab288-a469-4fac-866f-73ae253939cf</vt:lpwstr>
  </property>
  <property fmtid="{D5CDD505-2E9C-101B-9397-08002B2CF9AE}" pid="15" name="MSIP_Label_0b2d0c28-e13a-4801-bbf0-29bdaa81743b_ContentBits">
    <vt:lpwstr>0</vt:lpwstr>
  </property>
</Properties>
</file>