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Cambria" w:cs="Cambria" w:eastAsia="Cambria" w:hAnsi="Cambria"/>
          <w:b/>
          <w:bCs/>
          <w:color w:val="1F4E46"/>
          <w:sz w:val="56"/>
          <w:szCs w:val="56"/>
        </w:rPr>
        <w:t xml:space="preserve">Re-attracting Former Teachers</w:t>
      </w:r>
    </w:p>
    <w:p>
      <w:pPr>
        <w:spacing w:after="0" w:before="200"/>
      </w:pPr>
      <w:r>
        <w:rPr>
          <w:rFonts w:ascii="Calibri" w:cs="Calibri" w:eastAsia="Calibri" w:hAnsi="Calibri"/>
          <w:color w:val="5A6A72"/>
          <w:sz w:val="28"/>
          <w:szCs w:val="28"/>
        </w:rPr>
        <w:t xml:space="preserve">Interview scripts for the countries we are contacting</w:t>
      </w:r>
    </w:p>
    <w:p>
      <w:pPr>
        <w:spacing w:before="1200"/>
      </w:pPr>
      <w:r>
        <w:rPr>
          <w:rFonts w:ascii="Calibri" w:cs="Calibri" w:eastAsia="Calibri" w:hAnsi="Calibri"/>
          <w:color w:val="24313A"/>
          <w:sz w:val="22"/>
          <w:szCs w:val="22"/>
        </w:rPr>
        <w:t xml:space="preserve">OECD Centre for Educational Research and Innovation</w:t>
      </w:r>
    </w:p>
    <w:p>
      <w:pPr>
        <w:spacing w:before="60"/>
      </w:pPr>
      <w:r>
        <w:rPr>
          <w:rFonts w:ascii="Calibri" w:cs="Calibri" w:eastAsia="Calibri" w:hAnsi="Calibri"/>
          <w:i/>
          <w:iCs/>
          <w:color w:val="5A6A72"/>
          <w:sz w:val="22"/>
          <w:szCs w:val="22"/>
        </w:rPr>
        <w:t xml:space="preserve">Unlocking the Potential of Diverse Teaching Profiles</w:t>
      </w:r>
    </w:p>
    <w:p>
      <w:pPr>
        <w:spacing w:before="400"/>
      </w:pPr>
      <w:r>
        <w:rPr>
          <w:rFonts w:ascii="Calibri" w:cs="Calibri" w:eastAsia="Calibri" w:hAnsi="Calibri"/>
          <w:color w:val="24313A"/>
          <w:sz w:val="22"/>
          <w:szCs w:val="22"/>
        </w:rPr>
        <w:t xml:space="preserve">José Manuel Torres  ·  José Elías Durán Roa</w:t>
      </w:r>
    </w:p>
    <w:p>
      <w:pPr>
        <w:spacing w:before="60"/>
      </w:pPr>
      <w:r>
        <w:rPr>
          <w:rFonts w:ascii="Calibri" w:cs="Calibri" w:eastAsia="Calibri" w:hAnsi="Calibri"/>
          <w:color w:val="5A6A72"/>
          <w:sz w:val="22"/>
          <w:szCs w:val="22"/>
        </w:rPr>
        <w:t xml:space="preserve">September 2026</w:t>
      </w:r>
    </w:p>
    <w:p>
      <w:r>
        <w:br w:type="page"/>
      </w:r>
    </w:p>
    <w:p>
      <w:pPr>
        <w:pStyle w:val="Heading1"/>
        <w:spacing w:after="240"/>
      </w:pPr>
      <w:r>
        <w:rPr>
          <w:rFonts w:ascii="Cambria" w:cs="Cambria" w:eastAsia="Cambria" w:hAnsi="Cambria"/>
          <w:b/>
          <w:bCs/>
          <w:color w:val="1F4E46"/>
          <w:sz w:val="36"/>
          <w:szCs w:val="36"/>
        </w:rPr>
        <w:t xml:space="preserve">Contents</w:t>
      </w:r>
    </w:p>
    <w:p>
      <w:pPr>
        <w:spacing w:after="200"/>
      </w:pPr>
      <w:r>
        <w:rPr>
          <w:rFonts w:ascii="Calibri" w:cs="Calibri" w:eastAsia="Calibri" w:hAnsi="Calibri"/>
          <w:i/>
          <w:iCs/>
          <w:color w:val="5A6A72"/>
          <w:sz w:val="20"/>
          <w:szCs w:val="20"/>
        </w:rPr>
        <w:t xml:space="preserve">Click a country to jump to its script.</w:t>
      </w:r>
    </w:p>
    <w:p>
      <w:pPr>
        <w:spacing w:after="140" w:before="140"/>
      </w:pPr>
      <w:hyperlink w:history="1" w:anchor="sec0">
        <w:r>
          <w:rPr>
            <w:rFonts w:ascii="Calibri" w:cs="Calibri" w:eastAsia="Calibri" w:hAnsi="Calibri"/>
            <w:b/>
            <w:bCs/>
            <w:color w:val="1F4E46"/>
            <w:sz w:val="24"/>
            <w:szCs w:val="24"/>
            <w:u w:val="single" w:color="1F4E46"/>
          </w:rPr>
          <w:t xml:space="preserve">The introduction we use in every interview</w:t>
        </w:r>
      </w:hyperlink>
    </w:p>
    <w:p>
      <w:pPr>
        <w:spacing w:after="20" w:before="140"/>
      </w:pPr>
      <w:hyperlink w:history="1" w:anchor="sec1">
        <w:r>
          <w:rPr>
            <w:rFonts w:ascii="Calibri" w:cs="Calibri" w:eastAsia="Calibri" w:hAnsi="Calibri"/>
            <w:b/>
            <w:bCs/>
            <w:color w:val="1F4E46"/>
            <w:sz w:val="24"/>
            <w:szCs w:val="24"/>
            <w:u w:val="single" w:color="1F4E46"/>
          </w:rPr>
          <w:t xml:space="preserve">Australia — New South Wales</w:t>
        </w:r>
      </w:hyperlink>
    </w:p>
    <w:p>
      <w:pPr>
        <w:spacing w:after="140"/>
        <w:ind w:left="0"/>
      </w:pPr>
      <w:r>
        <w:rPr>
          <w:rFonts w:ascii="Calibri" w:cs="Calibri" w:eastAsia="Calibri" w:hAnsi="Calibri"/>
          <w:color w:val="5A6A72"/>
          <w:sz w:val="20"/>
          <w:szCs w:val="20"/>
        </w:rPr>
        <w:t xml:space="preserve">Teachers Re-Engage, Department of Education (since November 2023)</w:t>
      </w:r>
    </w:p>
    <w:p>
      <w:pPr>
        <w:spacing w:after="20" w:before="140"/>
      </w:pPr>
      <w:hyperlink w:history="1" w:anchor="sec2">
        <w:r>
          <w:rPr>
            <w:rFonts w:ascii="Calibri" w:cs="Calibri" w:eastAsia="Calibri" w:hAnsi="Calibri"/>
            <w:b/>
            <w:bCs/>
            <w:color w:val="1F4E46"/>
            <w:sz w:val="24"/>
            <w:szCs w:val="24"/>
            <w:u w:val="single" w:color="1F4E46"/>
          </w:rPr>
          <w:t xml:space="preserve">Australia — Victoria</w:t>
        </w:r>
      </w:hyperlink>
    </w:p>
    <w:p>
      <w:pPr>
        <w:spacing w:after="140"/>
        <w:ind w:left="0"/>
      </w:pPr>
      <w:r>
        <w:rPr>
          <w:rFonts w:ascii="Calibri" w:cs="Calibri" w:eastAsia="Calibri" w:hAnsi="Calibri"/>
          <w:color w:val="5A6A72"/>
          <w:sz w:val="20"/>
          <w:szCs w:val="20"/>
        </w:rPr>
        <w:t xml:space="preserve">Teacher Re-Engagement Initiative (TREI), Department of Education (since late 2022)</w:t>
      </w:r>
    </w:p>
    <w:p>
      <w:pPr>
        <w:spacing w:after="20" w:before="140"/>
      </w:pPr>
      <w:hyperlink w:history="1" w:anchor="sec3">
        <w:r>
          <w:rPr>
            <w:rFonts w:ascii="Calibri" w:cs="Calibri" w:eastAsia="Calibri" w:hAnsi="Calibri"/>
            <w:b/>
            <w:bCs/>
            <w:color w:val="1F4E46"/>
            <w:sz w:val="24"/>
            <w:szCs w:val="24"/>
            <w:u w:val="single" w:color="1F4E46"/>
          </w:rPr>
          <w:t xml:space="preserve">Canada — Quebec</w:t>
        </w:r>
      </w:hyperlink>
    </w:p>
    <w:p>
      <w:pPr>
        <w:spacing w:after="140"/>
        <w:ind w:left="0"/>
      </w:pPr>
      <w:r>
        <w:rPr>
          <w:rFonts w:ascii="Calibri" w:cs="Calibri" w:eastAsia="Calibri" w:hAnsi="Calibri"/>
          <w:color w:val="5A6A72"/>
          <w:sz w:val="20"/>
          <w:szCs w:val="20"/>
        </w:rPr>
        <w:t xml:space="preserve">Financial incentives for the return of retired teachers, measure 15178 of the operating budget rules (since September 2020)</w:t>
      </w:r>
    </w:p>
    <w:p>
      <w:pPr>
        <w:spacing w:after="20" w:before="140"/>
      </w:pPr>
      <w:hyperlink w:history="1" w:anchor="sec4">
        <w:r>
          <w:rPr>
            <w:rFonts w:ascii="Calibri" w:cs="Calibri" w:eastAsia="Calibri" w:hAnsi="Calibri"/>
            <w:b/>
            <w:bCs/>
            <w:color w:val="1F4E46"/>
            <w:sz w:val="24"/>
            <w:szCs w:val="24"/>
            <w:u w:val="single" w:color="1F4E46"/>
          </w:rPr>
          <w:t xml:space="preserve">China</w:t>
        </w:r>
      </w:hyperlink>
    </w:p>
    <w:p>
      <w:pPr>
        <w:spacing w:after="140"/>
        <w:ind w:left="0"/>
      </w:pPr>
      <w:r>
        <w:rPr>
          <w:rFonts w:ascii="Calibri" w:cs="Calibri" w:eastAsia="Calibri" w:hAnsi="Calibri"/>
          <w:color w:val="5A6A72"/>
          <w:sz w:val="20"/>
          <w:szCs w:val="20"/>
        </w:rPr>
        <w:t xml:space="preserve">Silver-Age Lecturing Plan (2018) and the National Silver-Age Teachers Action Plan (2023)</w:t>
      </w:r>
    </w:p>
    <w:p>
      <w:pPr>
        <w:spacing w:after="20" w:before="140"/>
      </w:pPr>
      <w:hyperlink w:history="1" w:anchor="sec5">
        <w:r>
          <w:rPr>
            <w:rFonts w:ascii="Calibri" w:cs="Calibri" w:eastAsia="Calibri" w:hAnsi="Calibri"/>
            <w:b/>
            <w:bCs/>
            <w:color w:val="1F4E46"/>
            <w:sz w:val="24"/>
            <w:szCs w:val="24"/>
            <w:u w:val="single" w:color="1F4E46"/>
          </w:rPr>
          <w:t xml:space="preserve">Netherlands</w:t>
        </w:r>
      </w:hyperlink>
    </w:p>
    <w:p>
      <w:pPr>
        <w:spacing w:after="140"/>
        <w:ind w:left="0"/>
      </w:pPr>
      <w:r>
        <w:rPr>
          <w:rFonts w:ascii="Calibri" w:cs="Calibri" w:eastAsia="Calibri" w:hAnsi="Calibri"/>
          <w:color w:val="5A6A72"/>
          <w:sz w:val="20"/>
          <w:szCs w:val="20"/>
        </w:rPr>
        <w:t xml:space="preserve">Regeling tegemoetkoming herintreders primair onderwijs (2017–2022)</w:t>
      </w:r>
    </w:p>
    <w:p>
      <w:pPr>
        <w:spacing w:after="20" w:before="140"/>
      </w:pPr>
      <w:hyperlink w:history="1" w:anchor="sec6">
        <w:r>
          <w:rPr>
            <w:rFonts w:ascii="Calibri" w:cs="Calibri" w:eastAsia="Calibri" w:hAnsi="Calibri"/>
            <w:b/>
            <w:bCs/>
            <w:color w:val="1F4E46"/>
            <w:sz w:val="24"/>
            <w:szCs w:val="24"/>
            <w:u w:val="single" w:color="1F4E46"/>
          </w:rPr>
          <w:t xml:space="preserve">United States</w:t>
        </w:r>
      </w:hyperlink>
    </w:p>
    <w:p>
      <w:pPr>
        <w:spacing w:after="140"/>
        <w:ind w:left="0"/>
      </w:pPr>
      <w:r>
        <w:rPr>
          <w:rFonts w:ascii="Calibri" w:cs="Calibri" w:eastAsia="Calibri" w:hAnsi="Calibri"/>
          <w:color w:val="5A6A72"/>
          <w:sz w:val="20"/>
          <w:szCs w:val="20"/>
        </w:rPr>
        <w:t xml:space="preserve">State laws letting retired teachers return to work</w:t>
      </w:r>
    </w:p>
    <w:p>
      <w:r>
        <w:br w:type="page"/>
      </w:r>
    </w:p>
    <w:p>
      <w:pPr>
        <w:pStyle w:val="Heading1"/>
        <w:spacing w:after="60" w:before="0"/>
      </w:pPr>
      <w:bookmarkStart w:name="sec0" w:id="1"/>
      <w:r>
        <w:rPr>
          <w:rFonts w:ascii="Cambria" w:cs="Cambria" w:eastAsia="Cambria" w:hAnsi="Cambria"/>
          <w:b/>
          <w:bCs/>
          <w:color w:val="1F4E46"/>
          <w:sz w:val="36"/>
          <w:szCs w:val="36"/>
        </w:rPr>
        <w:t xml:space="preserve">The introduction we use in every interview</w:t>
      </w:r>
      <w:bookmarkEnd w:id="1"/>
    </w:p>
    <w:p>
      <w:pPr>
        <w:spacing w:after="120" w:before="120"/>
      </w:pPr>
      <w:r>
        <w:rPr>
          <w:rFonts w:ascii="Calibri" w:cs="Calibri" w:eastAsia="Calibri" w:hAnsi="Calibri"/>
          <w:b w:val="false"/>
          <w:bCs w:val="false"/>
          <w:color w:val="24313A"/>
          <w:sz w:val="22"/>
          <w:szCs w:val="22"/>
        </w:rPr>
        <w:t xml:space="preserve">The same opening for every interview script. Read it out or paste it into the invitation; it is three ideas and nothing more.</w:t>
      </w:r>
    </w:p>
    <w:p>
      <w:pPr>
        <w:spacing w:after="120" w:before="120"/>
      </w:pPr>
      <w:r>
        <w:rPr>
          <w:rFonts w:ascii="Calibri" w:cs="Calibri" w:eastAsia="Calibri" w:hAnsi="Calibri"/>
          <w:b w:val="false"/>
          <w:bCs w:val="false"/>
          <w:color w:val="24313A"/>
          <w:sz w:val="22"/>
          <w:szCs w:val="22"/>
        </w:rPr>
        <w:t xml:space="preserve">We are working on a chapter about former teachers for an OECD project on the diversity of routes into the teaching profession. We are gathering the policies and the experiences that countries have used to bring former teachers back to the classroom — teachers who retired, teachers who moved into another sector, and teachers who left work altogether.</w:t>
      </w:r>
    </w:p>
    <w:p>
      <w:pPr>
        <w:spacing w:after="120" w:before="120"/>
      </w:pPr>
      <w:r>
        <w:rPr>
          <w:rFonts w:ascii="Calibri" w:cs="Calibri" w:eastAsia="Calibri" w:hAnsi="Calibri"/>
          <w:b w:val="false"/>
          <w:bCs w:val="false"/>
          <w:color w:val="24313A"/>
          <w:sz w:val="22"/>
          <w:szCs w:val="22"/>
        </w:rPr>
        <w:t xml:space="preserve">What we are after is not the design on paper, which we can read, but what actually happened: what worked, what did not, and what the people who ran these policies would tell a country thinking of doing the same.</w:t>
      </w:r>
    </w:p>
    <w:p>
      <w:pPr>
        <w:spacing w:after="120" w:before="120"/>
      </w:pPr>
      <w:r>
        <w:rPr>
          <w:rFonts w:ascii="Calibri" w:cs="Calibri" w:eastAsia="Calibri" w:hAnsi="Calibri"/>
          <w:b w:val="false"/>
          <w:bCs w:val="false"/>
          <w:color w:val="24313A"/>
          <w:sz w:val="22"/>
          <w:szCs w:val="22"/>
        </w:rPr>
        <w:t xml:space="preserve">The third part of our work is about the teachers themselves. We are characterising why teachers leave, and we want to see whether the policies that try to bring them back speak to those reasons or to something else.</w:t>
      </w:r>
    </w:p>
    <w:p>
      <w:pPr>
        <w:spacing w:after="120" w:before="120"/>
      </w:pPr>
      <w:r>
        <w:rPr>
          <w:rFonts w:ascii="Calibri" w:cs="Calibri" w:eastAsia="Calibri" w:hAnsi="Calibri"/>
          <w:b w:val="false"/>
          <w:bCs w:val="false"/>
          <w:color w:val="24313A"/>
          <w:sz w:val="22"/>
          <w:szCs w:val="22"/>
        </w:rPr>
        <w:t xml:space="preserve">This conversation is to understand your experience. There are no right answers, and anything you cannot discuss, we simply leave aside.</w:t>
      </w:r>
    </w:p>
    <w:p>
      <w:r>
        <w:br w:type="page"/>
      </w:r>
    </w:p>
    <w:p>
      <w:pPr>
        <w:pStyle w:val="Heading1"/>
        <w:spacing w:after="60" w:before="240"/>
      </w:pPr>
      <w:bookmarkStart w:name="sec1" w:id="1"/>
      <w:r>
        <w:rPr>
          <w:rFonts w:ascii="Cambria" w:cs="Cambria" w:eastAsia="Cambria" w:hAnsi="Cambria"/>
          <w:b/>
          <w:bCs/>
          <w:color w:val="1F4E46"/>
          <w:sz w:val="36"/>
          <w:szCs w:val="36"/>
        </w:rPr>
        <w:t xml:space="preserve">Australia — New South Wales</w:t>
      </w:r>
      <w:bookmarkEnd w:id="1"/>
    </w:p>
    <w:p>
      <w:pPr>
        <w:pBdr>
          <w:bottom w:val="single" w:color="CFDCD5" w:sz="6" w:space="6"/>
        </w:pBdr>
        <w:spacing w:after="240" w:before="0"/>
      </w:pPr>
      <w:r>
        <w:rPr>
          <w:rFonts w:ascii="Calibri" w:cs="Calibri" w:eastAsia="Calibri" w:hAnsi="Calibri"/>
          <w:color w:val="B3542E"/>
          <w:sz w:val="24"/>
          <w:szCs w:val="24"/>
        </w:rPr>
        <w:t xml:space="preserve">Teachers Re-Engage, Department of Education (since November 2023)</w:t>
      </w:r>
    </w:p>
    <w:p>
      <w:pPr>
        <w:shd w:fill="F1F6F3" w:val="clear"/>
        <w:spacing w:after="120" w:before="120"/>
        <w:ind w:left="215" w:right="215"/>
      </w:pPr>
      <w:r>
        <w:rPr>
          <w:rFonts w:ascii="Calibri" w:cs="Calibri" w:eastAsia="Calibri" w:hAnsi="Calibri"/>
          <w:b/>
          <w:bCs/>
          <w:color w:val="24313A"/>
          <w:sz w:val="21"/>
          <w:szCs w:val="21"/>
        </w:rPr>
        <w:t xml:space="preserve">Who to ask for:</w:t>
      </w:r>
      <w:r>
        <w:rPr>
          <w:rFonts w:ascii="Calibri" w:cs="Calibri" w:eastAsia="Calibri" w:hAnsi="Calibri"/>
          <w:b w:val="false"/>
          <w:bCs w:val="false"/>
          <w:color w:val="24313A"/>
          <w:sz w:val="21"/>
          <w:szCs w:val="21"/>
        </w:rPr>
        <w:t xml:space="preserve"> the School Workforce directorate of the NSW Department of Education — the area that runs attraction, engagement and retention, and the recruitment and placement of teachers for public schools.</w:t>
      </w:r>
    </w:p>
    <w:p>
      <w:pPr>
        <w:shd w:fill="F1F6F3" w:val="clear"/>
        <w:spacing w:after="120" w:before="120"/>
        <w:ind w:left="215" w:right="215"/>
      </w:pPr>
      <w:r>
        <w:rPr>
          <w:rFonts w:ascii="Calibri" w:cs="Calibri" w:eastAsia="Calibri" w:hAnsi="Calibri"/>
          <w:b/>
          <w:bCs/>
          <w:color w:val="24313A"/>
          <w:sz w:val="21"/>
          <w:szCs w:val="21"/>
        </w:rPr>
        <w:t xml:space="preserve">What we already know, so we do not ask it.</w:t>
      </w:r>
      <w:r>
        <w:rPr>
          <w:rFonts w:ascii="Calibri" w:cs="Calibri" w:eastAsia="Calibri" w:hAnsi="Calibri"/>
          <w:b w:val="false"/>
          <w:bCs w:val="false"/>
          <w:color w:val="24313A"/>
          <w:sz w:val="21"/>
          <w:szCs w:val="21"/>
        </w:rPr>
        <w:t xml:space="preserve"> From November 2023 the Department went through its own records of teachers who had left in the previous five years and approached more than 1,500 of them; by May 2024, 260 had expressed interest and 145 had been linked with schools, about sixty per cent of them out of retirement. Returners are helped with accreditation, approval to teach and the working-with-children check, and register on the casual booking platform the schools use. The press described the outreach as cold-calling; the Department has never said what the channel was. Nothing programme-specific has been published since May 2024.</w:t>
      </w:r>
    </w:p>
    <w:p>
      <w:pPr>
        <w:pStyle w:val="Heading2"/>
        <w:spacing w:after="120" w:before="320"/>
      </w:pPr>
      <w:r>
        <w:rPr>
          <w:rFonts w:ascii="Cambria" w:cs="Cambria" w:eastAsia="Cambria" w:hAnsi="Cambria"/>
          <w:b/>
          <w:bCs/>
          <w:color w:val="24313A"/>
          <w:sz w:val="26"/>
          <w:szCs w:val="26"/>
        </w:rPr>
        <w:t xml:space="preserve">Opening</w:t>
      </w:r>
    </w:p>
    <w:p>
      <w:pPr>
        <w:spacing w:after="120" w:before="60"/>
        <w:ind w:left="648" w:hanging="431"/>
      </w:pPr>
      <w:r>
        <w:rPr>
          <w:rFonts w:ascii="Calibri" w:cs="Calibri" w:eastAsia="Calibri" w:hAnsi="Calibri"/>
          <w:b/>
          <w:bCs/>
          <w:color w:val="1F4E46"/>
          <w:sz w:val="22"/>
          <w:szCs w:val="22"/>
        </w:rPr>
        <w:t xml:space="preserve">1.</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Could you start by telling us how the idea came about? We are interested in the moment someone in the Department said, rather than advertise for teachers, let us go back to the ones who have already left.</w:t>
      </w:r>
    </w:p>
    <w:p>
      <w:pPr>
        <w:spacing w:after="120" w:before="60"/>
        <w:ind w:left="648" w:hanging="431"/>
      </w:pPr>
      <w:r>
        <w:rPr>
          <w:rFonts w:ascii="Calibri" w:cs="Calibri" w:eastAsia="Calibri" w:hAnsi="Calibri"/>
          <w:b/>
          <w:bCs/>
          <w:color w:val="1F4E46"/>
          <w:sz w:val="22"/>
          <w:szCs w:val="22"/>
        </w:rPr>
        <w:t xml:space="preserve">2.</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Who had to be convinced, inside the Department or outside it, before it could start?</w:t>
      </w:r>
    </w:p>
    <w:p>
      <w:pPr>
        <w:pStyle w:val="Heading2"/>
        <w:spacing w:after="120" w:before="320"/>
      </w:pPr>
      <w:r>
        <w:rPr>
          <w:rFonts w:ascii="Cambria" w:cs="Cambria" w:eastAsia="Cambria" w:hAnsi="Cambria"/>
          <w:b/>
          <w:bCs/>
          <w:color w:val="24313A"/>
          <w:sz w:val="26"/>
          <w:szCs w:val="26"/>
        </w:rPr>
        <w:t xml:space="preserve">How it was done</w:t>
      </w:r>
    </w:p>
    <w:p>
      <w:pPr>
        <w:spacing w:after="120" w:before="60"/>
        <w:ind w:left="648" w:hanging="431"/>
      </w:pPr>
      <w:r>
        <w:rPr>
          <w:rFonts w:ascii="Calibri" w:cs="Calibri" w:eastAsia="Calibri" w:hAnsi="Calibri"/>
          <w:b/>
          <w:bCs/>
          <w:color w:val="1F4E46"/>
          <w:sz w:val="22"/>
          <w:szCs w:val="22"/>
        </w:rPr>
        <w:t xml:space="preserve">3.</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Going back to your own records to find former teachers is not something most systems do. How did you go about building that list, and what did you have to settle before you could contact people who no longer worked for you?</w:t>
      </w:r>
    </w:p>
    <w:p>
      <w:pPr>
        <w:spacing w:after="120" w:before="60"/>
        <w:ind w:left="648" w:hanging="431"/>
      </w:pPr>
      <w:r>
        <w:rPr>
          <w:rFonts w:ascii="Calibri" w:cs="Calibri" w:eastAsia="Calibri" w:hAnsi="Calibri"/>
          <w:b/>
          <w:bCs/>
          <w:color w:val="1F4E46"/>
          <w:sz w:val="22"/>
          <w:szCs w:val="22"/>
        </w:rPr>
        <w:t xml:space="preserve">4.</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How were they approached, and what was said to them? We would like to understand what that first conversation was actually like.</w:t>
      </w:r>
    </w:p>
    <w:p>
      <w:pPr>
        <w:spacing w:after="120" w:before="60"/>
        <w:ind w:left="648" w:hanging="431"/>
      </w:pPr>
      <w:r>
        <w:rPr>
          <w:rFonts w:ascii="Calibri" w:cs="Calibri" w:eastAsia="Calibri" w:hAnsi="Calibri"/>
          <w:b/>
          <w:bCs/>
          <w:color w:val="1F4E46"/>
          <w:sz w:val="22"/>
          <w:szCs w:val="22"/>
        </w:rPr>
        <w:t xml:space="preserve">5.</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What did people say back? We are as interested in the ones who said no as in the ones who said yes.</w:t>
      </w:r>
    </w:p>
    <w:p>
      <w:pPr>
        <w:spacing w:after="120" w:before="60"/>
        <w:ind w:left="648" w:hanging="431"/>
      </w:pPr>
      <w:r>
        <w:rPr>
          <w:rFonts w:ascii="Calibri" w:cs="Calibri" w:eastAsia="Calibri" w:hAnsi="Calibri"/>
          <w:b/>
          <w:bCs/>
          <w:color w:val="1F4E46"/>
          <w:sz w:val="22"/>
          <w:szCs w:val="22"/>
        </w:rPr>
        <w:t xml:space="preserve">6.</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Once someone was interested, what happened next, and who accompanied them through it? Where did people get stuck?</w:t>
      </w:r>
    </w:p>
    <w:p>
      <w:pPr>
        <w:spacing w:after="120" w:before="60"/>
        <w:ind w:left="648" w:hanging="431"/>
      </w:pPr>
      <w:r>
        <w:rPr>
          <w:rFonts w:ascii="Calibri" w:cs="Calibri" w:eastAsia="Calibri" w:hAnsi="Calibri"/>
          <w:b/>
          <w:bCs/>
          <w:color w:val="1F4E46"/>
          <w:sz w:val="22"/>
          <w:szCs w:val="22"/>
        </w:rPr>
        <w:t xml:space="preserve">7.</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Accreditation and the working-with-children check came up as the practical obstacles. Was the process genuinely changed for these teachers, or was it the same process with someone helping them through it?</w:t>
      </w:r>
    </w:p>
    <w:p>
      <w:pPr>
        <w:pStyle w:val="Heading2"/>
        <w:spacing w:after="120" w:before="320"/>
      </w:pPr>
      <w:r>
        <w:rPr>
          <w:rFonts w:ascii="Cambria" w:cs="Cambria" w:eastAsia="Cambria" w:hAnsi="Cambria"/>
          <w:b/>
          <w:bCs/>
          <w:color w:val="24313A"/>
          <w:sz w:val="26"/>
          <w:szCs w:val="26"/>
        </w:rPr>
        <w:t xml:space="preserve">The teachers</w:t>
      </w:r>
    </w:p>
    <w:p>
      <w:pPr>
        <w:spacing w:after="120" w:before="60"/>
        <w:ind w:left="648" w:hanging="431"/>
      </w:pPr>
      <w:r>
        <w:rPr>
          <w:rFonts w:ascii="Calibri" w:cs="Calibri" w:eastAsia="Calibri" w:hAnsi="Calibri"/>
          <w:b/>
          <w:bCs/>
          <w:color w:val="1F4E46"/>
          <w:sz w:val="22"/>
          <w:szCs w:val="22"/>
        </w:rPr>
        <w:t xml:space="preserve">8.</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Looking at the people who came back, who were they? What we can see is that about six in ten were retirees; we would like to hear about the rest.</w:t>
      </w:r>
    </w:p>
    <w:p>
      <w:pPr>
        <w:spacing w:after="120" w:before="60"/>
        <w:ind w:left="648" w:hanging="431"/>
      </w:pPr>
      <w:r>
        <w:rPr>
          <w:rFonts w:ascii="Calibri" w:cs="Calibri" w:eastAsia="Calibri" w:hAnsi="Calibri"/>
          <w:b/>
          <w:bCs/>
          <w:color w:val="1F4E46"/>
          <w:sz w:val="22"/>
          <w:szCs w:val="22"/>
        </w:rPr>
        <w:t xml:space="preserve">9.</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What did they tell you about why they had left, and what made returning possible now and not before?</w:t>
      </w:r>
    </w:p>
    <w:p>
      <w:pPr>
        <w:spacing w:after="120" w:before="60"/>
        <w:ind w:left="648" w:hanging="431"/>
      </w:pPr>
      <w:r>
        <w:rPr>
          <w:rFonts w:ascii="Calibri" w:cs="Calibri" w:eastAsia="Calibri" w:hAnsi="Calibri"/>
          <w:b/>
          <w:bCs/>
          <w:color w:val="1F4E46"/>
          <w:sz w:val="22"/>
          <w:szCs w:val="22"/>
        </w:rPr>
        <w:t xml:space="preserve">10.</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The Department has said that the pay rise and the cut in administrative work helped. From where you sat, how much of this was the outreach and how much was that everything else had changed?</w:t>
      </w:r>
    </w:p>
    <w:p>
      <w:pPr>
        <w:spacing w:after="120" w:before="60"/>
        <w:ind w:left="648" w:hanging="431"/>
      </w:pPr>
      <w:r>
        <w:rPr>
          <w:rFonts w:ascii="Calibri" w:cs="Calibri" w:eastAsia="Calibri" w:hAnsi="Calibri"/>
          <w:b/>
          <w:bCs/>
          <w:color w:val="1F4E46"/>
          <w:sz w:val="22"/>
          <w:szCs w:val="22"/>
        </w:rPr>
        <w:t xml:space="preserve">11.</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What kind of work did they come back to, and did that turn out to be what they wanted?</w:t>
      </w:r>
    </w:p>
    <w:p>
      <w:pPr>
        <w:pStyle w:val="Heading2"/>
        <w:spacing w:after="120" w:before="320"/>
      </w:pPr>
      <w:r>
        <w:rPr>
          <w:rFonts w:ascii="Cambria" w:cs="Cambria" w:eastAsia="Cambria" w:hAnsi="Cambria"/>
          <w:b/>
          <w:bCs/>
          <w:color w:val="24313A"/>
          <w:sz w:val="26"/>
          <w:szCs w:val="26"/>
        </w:rPr>
        <w:t xml:space="preserve">Results and what comes next</w:t>
      </w:r>
    </w:p>
    <w:p>
      <w:pPr>
        <w:spacing w:after="120" w:before="60"/>
        <w:ind w:left="648" w:hanging="431"/>
      </w:pPr>
      <w:r>
        <w:rPr>
          <w:rFonts w:ascii="Calibri" w:cs="Calibri" w:eastAsia="Calibri" w:hAnsi="Calibri"/>
          <w:b/>
          <w:bCs/>
          <w:color w:val="1F4E46"/>
          <w:sz w:val="22"/>
          <w:szCs w:val="22"/>
        </w:rPr>
        <w:t xml:space="preserve">12.</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What happened to those teachers afterwards? We have never seen figures past May 2024.</w:t>
      </w:r>
    </w:p>
    <w:p>
      <w:pPr>
        <w:spacing w:after="120" w:before="60"/>
        <w:ind w:left="648" w:hanging="431"/>
      </w:pPr>
      <w:r>
        <w:rPr>
          <w:rFonts w:ascii="Calibri" w:cs="Calibri" w:eastAsia="Calibri" w:hAnsi="Calibri"/>
          <w:b/>
          <w:bCs/>
          <w:color w:val="1F4E46"/>
          <w:sz w:val="22"/>
          <w:szCs w:val="22"/>
        </w:rPr>
        <w:t xml:space="preserve">13.</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Was any of this evaluated, formally or informally, and what did you conclude about whether it was worth the effort?</w:t>
      </w:r>
    </w:p>
    <w:p>
      <w:pPr>
        <w:spacing w:after="120" w:before="60"/>
        <w:ind w:left="648" w:hanging="431"/>
      </w:pPr>
      <w:r>
        <w:rPr>
          <w:rFonts w:ascii="Calibri" w:cs="Calibri" w:eastAsia="Calibri" w:hAnsi="Calibri"/>
          <w:b/>
          <w:bCs/>
          <w:color w:val="1F4E46"/>
          <w:sz w:val="22"/>
          <w:szCs w:val="22"/>
        </w:rPr>
        <w:t xml:space="preserve">14.</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Where does the initiative stand now, and if you were starting again, what would you do differently?</w:t>
      </w:r>
    </w:p>
    <w:p>
      <w:pPr>
        <w:pStyle w:val="Heading2"/>
        <w:spacing w:after="120" w:before="320"/>
      </w:pPr>
      <w:r>
        <w:rPr>
          <w:rFonts w:ascii="Cambria" w:cs="Cambria" w:eastAsia="Cambria" w:hAnsi="Cambria"/>
          <w:b/>
          <w:bCs/>
          <w:color w:val="24313A"/>
          <w:sz w:val="26"/>
          <w:szCs w:val="26"/>
        </w:rPr>
        <w:t xml:space="preserve">Close</w:t>
      </w:r>
    </w:p>
    <w:p>
      <w:pPr>
        <w:spacing w:after="120" w:before="60"/>
        <w:ind w:left="648" w:hanging="431"/>
      </w:pPr>
      <w:r>
        <w:rPr>
          <w:rFonts w:ascii="Calibri" w:cs="Calibri" w:eastAsia="Calibri" w:hAnsi="Calibri"/>
          <w:b/>
          <w:bCs/>
          <w:color w:val="1F4E46"/>
          <w:sz w:val="22"/>
          <w:szCs w:val="22"/>
        </w:rPr>
        <w:t xml:space="preserve">15.</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Is there a colleague, in the Department or at the accreditation authority, who was close to this and could speak to the experience and the results? We would be very grateful for an introduction.</w:t>
      </w:r>
    </w:p>
    <w:p>
      <w:r>
        <w:br w:type="page"/>
      </w:r>
    </w:p>
    <w:p>
      <w:pPr>
        <w:pStyle w:val="Heading1"/>
        <w:spacing w:after="60" w:before="240"/>
      </w:pPr>
      <w:bookmarkStart w:name="sec2" w:id="1"/>
      <w:r>
        <w:rPr>
          <w:rFonts w:ascii="Cambria" w:cs="Cambria" w:eastAsia="Cambria" w:hAnsi="Cambria"/>
          <w:b/>
          <w:bCs/>
          <w:color w:val="1F4E46"/>
          <w:sz w:val="36"/>
          <w:szCs w:val="36"/>
        </w:rPr>
        <w:t xml:space="preserve">Australia — Victoria</w:t>
      </w:r>
      <w:bookmarkEnd w:id="1"/>
    </w:p>
    <w:p>
      <w:pPr>
        <w:pBdr>
          <w:bottom w:val="single" w:color="CFDCD5" w:sz="6" w:space="6"/>
        </w:pBdr>
        <w:spacing w:after="240" w:before="0"/>
      </w:pPr>
      <w:r>
        <w:rPr>
          <w:rFonts w:ascii="Calibri" w:cs="Calibri" w:eastAsia="Calibri" w:hAnsi="Calibri"/>
          <w:color w:val="B3542E"/>
          <w:sz w:val="24"/>
          <w:szCs w:val="24"/>
        </w:rPr>
        <w:t xml:space="preserve">Teacher Re-Engagement Initiative (TREI), Department of Education (since late 2022)</w:t>
      </w:r>
    </w:p>
    <w:p>
      <w:pPr>
        <w:shd w:fill="F1F6F3" w:val="clear"/>
        <w:spacing w:after="120" w:before="120"/>
        <w:ind w:left="215" w:right="215"/>
      </w:pPr>
      <w:r>
        <w:rPr>
          <w:rFonts w:ascii="Calibri" w:cs="Calibri" w:eastAsia="Calibri" w:hAnsi="Calibri"/>
          <w:b/>
          <w:bCs/>
          <w:color w:val="24313A"/>
          <w:sz w:val="21"/>
          <w:szCs w:val="21"/>
        </w:rPr>
        <w:t xml:space="preserve">Who to ask for:</w:t>
      </w:r>
      <w:r>
        <w:rPr>
          <w:rFonts w:ascii="Calibri" w:cs="Calibri" w:eastAsia="Calibri" w:hAnsi="Calibri"/>
          <w:b w:val="false"/>
          <w:bCs w:val="false"/>
          <w:color w:val="24313A"/>
          <w:sz w:val="21"/>
          <w:szCs w:val="21"/>
        </w:rPr>
        <w:t xml:space="preserve"> the team in the Department of Education that runs the Teacher Re-Engagement Initiative, in the area responsible for attracting teachers to government schools.</w:t>
      </w:r>
    </w:p>
    <w:p>
      <w:pPr>
        <w:shd w:fill="F1F6F3" w:val="clear"/>
        <w:spacing w:after="120" w:before="120"/>
        <w:ind w:left="215" w:right="215"/>
      </w:pPr>
      <w:r>
        <w:rPr>
          <w:rFonts w:ascii="Calibri" w:cs="Calibri" w:eastAsia="Calibri" w:hAnsi="Calibri"/>
          <w:b/>
          <w:bCs/>
          <w:color w:val="24313A"/>
          <w:sz w:val="21"/>
          <w:szCs w:val="21"/>
        </w:rPr>
        <w:t xml:space="preserve">What we already know, so we do not ask it.</w:t>
      </w:r>
      <w:r>
        <w:rPr>
          <w:rFonts w:ascii="Calibri" w:cs="Calibri" w:eastAsia="Calibri" w:hAnsi="Calibri"/>
          <w:b w:val="false"/>
          <w:bCs w:val="false"/>
          <w:color w:val="24313A"/>
          <w:sz w:val="21"/>
          <w:szCs w:val="21"/>
        </w:rPr>
        <w:t xml:space="preserve"> The initiative began in late 2022 as a call for expressions of interest, which more than 1,100 teachers answered, and the money followed: the 2023/24 State Budget put 12 million dollars into paid placements of up to forty days, with placements to be completed by June 2025. A teacher who has been away from a fixed-term or ongoing role for a year or more registers, the re-engagement team calls them, and a placement is arranged in a government school with a serving teacher alongside; those returning from a career break or retirement receive an honorarium of up to 12,000 dollars. Teachers returning from more than two years of parental absence are on a different footing: a temporary resumption of duty on their own salary. The current departmental pages describe the placement as school-funded at 330 dollars a day.</w:t>
      </w:r>
    </w:p>
    <w:p>
      <w:pPr>
        <w:pStyle w:val="Heading2"/>
        <w:spacing w:after="120" w:before="320"/>
      </w:pPr>
      <w:r>
        <w:rPr>
          <w:rFonts w:ascii="Cambria" w:cs="Cambria" w:eastAsia="Cambria" w:hAnsi="Cambria"/>
          <w:b/>
          <w:bCs/>
          <w:color w:val="24313A"/>
          <w:sz w:val="26"/>
          <w:szCs w:val="26"/>
        </w:rPr>
        <w:t xml:space="preserve">Opening</w:t>
      </w:r>
    </w:p>
    <w:p>
      <w:pPr>
        <w:spacing w:after="120" w:before="60"/>
        <w:ind w:left="648" w:hanging="431"/>
      </w:pPr>
      <w:r>
        <w:rPr>
          <w:rFonts w:ascii="Calibri" w:cs="Calibri" w:eastAsia="Calibri" w:hAnsi="Calibri"/>
          <w:b/>
          <w:bCs/>
          <w:color w:val="1F4E46"/>
          <w:sz w:val="22"/>
          <w:szCs w:val="22"/>
        </w:rPr>
        <w:t xml:space="preserve">1.</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How did the idea come about? We understand the expressions of interest came first and the budget afterwards, which is unusual — could you tell us how that happened?</w:t>
      </w:r>
    </w:p>
    <w:p>
      <w:pPr>
        <w:spacing w:after="120" w:before="60"/>
        <w:ind w:left="648" w:hanging="431"/>
      </w:pPr>
      <w:r>
        <w:rPr>
          <w:rFonts w:ascii="Calibri" w:cs="Calibri" w:eastAsia="Calibri" w:hAnsi="Calibri"/>
          <w:b/>
          <w:bCs/>
          <w:color w:val="1F4E46"/>
          <w:sz w:val="22"/>
          <w:szCs w:val="22"/>
        </w:rPr>
        <w:t xml:space="preserve">2.</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Paying someone to spend time in a classroom before they decide is a real choice of design. What was the thinking behind it, and what else was on the table at the time?</w:t>
      </w:r>
    </w:p>
    <w:p>
      <w:pPr>
        <w:pStyle w:val="Heading2"/>
        <w:spacing w:after="120" w:before="320"/>
      </w:pPr>
      <w:r>
        <w:rPr>
          <w:rFonts w:ascii="Cambria" w:cs="Cambria" w:eastAsia="Cambria" w:hAnsi="Cambria"/>
          <w:b/>
          <w:bCs/>
          <w:color w:val="24313A"/>
          <w:sz w:val="26"/>
          <w:szCs w:val="26"/>
        </w:rPr>
        <w:t xml:space="preserve">How it works</w:t>
      </w:r>
    </w:p>
    <w:p>
      <w:pPr>
        <w:spacing w:after="120" w:before="60"/>
        <w:ind w:left="648" w:hanging="431"/>
      </w:pPr>
      <w:r>
        <w:rPr>
          <w:rFonts w:ascii="Calibri" w:cs="Calibri" w:eastAsia="Calibri" w:hAnsi="Calibri"/>
          <w:b/>
          <w:bCs/>
          <w:color w:val="1F4E46"/>
          <w:sz w:val="22"/>
          <w:szCs w:val="22"/>
        </w:rPr>
        <w:t xml:space="preserve">3.</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Could you walk us through what happens from the moment a teacher registers to the moment they walk into a school?</w:t>
      </w:r>
    </w:p>
    <w:p>
      <w:pPr>
        <w:spacing w:after="120" w:before="60"/>
        <w:ind w:left="648" w:hanging="431"/>
      </w:pPr>
      <w:r>
        <w:rPr>
          <w:rFonts w:ascii="Calibri" w:cs="Calibri" w:eastAsia="Calibri" w:hAnsi="Calibri"/>
          <w:b/>
          <w:bCs/>
          <w:color w:val="1F4E46"/>
          <w:sz w:val="22"/>
          <w:szCs w:val="22"/>
        </w:rPr>
        <w:t xml:space="preserve">4.</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How are teachers and schools matched, and what does a school take on when it hosts someone? What do principals get out of it, and what does it cost them?</w:t>
      </w:r>
    </w:p>
    <w:p>
      <w:pPr>
        <w:spacing w:after="120" w:before="60"/>
        <w:ind w:left="648" w:hanging="431"/>
      </w:pPr>
      <w:r>
        <w:rPr>
          <w:rFonts w:ascii="Calibri" w:cs="Calibri" w:eastAsia="Calibri" w:hAnsi="Calibri"/>
          <w:b/>
          <w:bCs/>
          <w:color w:val="1F4E46"/>
          <w:sz w:val="22"/>
          <w:szCs w:val="22"/>
        </w:rPr>
        <w:t xml:space="preserve">5.</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What does the serving teacher alongside the returner actually do, and how is that arranged inside a school's own timetable?</w:t>
      </w:r>
    </w:p>
    <w:p>
      <w:pPr>
        <w:spacing w:after="120" w:before="60"/>
        <w:ind w:left="648" w:hanging="431"/>
      </w:pPr>
      <w:r>
        <w:rPr>
          <w:rFonts w:ascii="Calibri" w:cs="Calibri" w:eastAsia="Calibri" w:hAnsi="Calibri"/>
          <w:b/>
          <w:bCs/>
          <w:color w:val="1F4E46"/>
          <w:sz w:val="22"/>
          <w:szCs w:val="22"/>
        </w:rPr>
        <w:t xml:space="preserve">6.</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Is the forty days a fixed shape, or does it turn into something different for each person?</w:t>
      </w:r>
    </w:p>
    <w:p>
      <w:pPr>
        <w:spacing w:after="120" w:before="60"/>
        <w:ind w:left="648" w:hanging="431"/>
      </w:pPr>
      <w:r>
        <w:rPr>
          <w:rFonts w:ascii="Calibri" w:cs="Calibri" w:eastAsia="Calibri" w:hAnsi="Calibri"/>
          <w:b/>
          <w:bCs/>
          <w:color w:val="1F4E46"/>
          <w:sz w:val="22"/>
          <w:szCs w:val="22"/>
        </w:rPr>
        <w:t xml:space="preserve">7.</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We noticed the placement is now described as funded by the school rather than centrally. Could you tell us how that came about and what it changed?</w:t>
      </w:r>
    </w:p>
    <w:p>
      <w:pPr>
        <w:pStyle w:val="Heading2"/>
        <w:spacing w:after="120" w:before="320"/>
      </w:pPr>
      <w:r>
        <w:rPr>
          <w:rFonts w:ascii="Cambria" w:cs="Cambria" w:eastAsia="Cambria" w:hAnsi="Cambria"/>
          <w:b/>
          <w:bCs/>
          <w:color w:val="24313A"/>
          <w:sz w:val="26"/>
          <w:szCs w:val="26"/>
        </w:rPr>
        <w:t xml:space="preserve">The teachers</w:t>
      </w:r>
    </w:p>
    <w:p>
      <w:pPr>
        <w:spacing w:after="120" w:before="60"/>
        <w:ind w:left="648" w:hanging="431"/>
      </w:pPr>
      <w:r>
        <w:rPr>
          <w:rFonts w:ascii="Calibri" w:cs="Calibri" w:eastAsia="Calibri" w:hAnsi="Calibri"/>
          <w:b/>
          <w:bCs/>
          <w:color w:val="1F4E46"/>
          <w:sz w:val="22"/>
          <w:szCs w:val="22"/>
        </w:rPr>
        <w:t xml:space="preserve">8.</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Who came forward, and was it the people you expected?</w:t>
      </w:r>
    </w:p>
    <w:p>
      <w:pPr>
        <w:spacing w:after="120" w:before="60"/>
        <w:ind w:left="648" w:hanging="431"/>
      </w:pPr>
      <w:r>
        <w:rPr>
          <w:rFonts w:ascii="Calibri" w:cs="Calibri" w:eastAsia="Calibri" w:hAnsi="Calibri"/>
          <w:b/>
          <w:bCs/>
          <w:color w:val="1F4E46"/>
          <w:sz w:val="22"/>
          <w:szCs w:val="22"/>
        </w:rPr>
        <w:t xml:space="preserve">9.</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What did they tell you about why they had left, and about what worried them most about coming back?</w:t>
      </w:r>
    </w:p>
    <w:p>
      <w:pPr>
        <w:spacing w:after="120" w:before="60"/>
        <w:ind w:left="648" w:hanging="431"/>
      </w:pPr>
      <w:r>
        <w:rPr>
          <w:rFonts w:ascii="Calibri" w:cs="Calibri" w:eastAsia="Calibri" w:hAnsi="Calibri"/>
          <w:b/>
          <w:bCs/>
          <w:color w:val="1F4E46"/>
          <w:sz w:val="22"/>
          <w:szCs w:val="22"/>
        </w:rPr>
        <w:t xml:space="preserve">10.</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Of the things on offer — the paid days, the coaching, the mentor, the way back into a school — which one do people actually come for?</w:t>
      </w:r>
    </w:p>
    <w:p>
      <w:pPr>
        <w:spacing w:after="120" w:before="60"/>
        <w:ind w:left="648" w:hanging="431"/>
      </w:pPr>
      <w:r>
        <w:rPr>
          <w:rFonts w:ascii="Calibri" w:cs="Calibri" w:eastAsia="Calibri" w:hAnsi="Calibri"/>
          <w:b/>
          <w:bCs/>
          <w:color w:val="1F4E46"/>
          <w:sz w:val="22"/>
          <w:szCs w:val="22"/>
        </w:rPr>
        <w:t xml:space="preserve">11.</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Teachers returning from parental leave are treated differently from retirees and career changers. How did that distinction come about, and does it work?</w:t>
      </w:r>
    </w:p>
    <w:p>
      <w:pPr>
        <w:pStyle w:val="Heading2"/>
        <w:spacing w:after="120" w:before="320"/>
      </w:pPr>
      <w:r>
        <w:rPr>
          <w:rFonts w:ascii="Cambria" w:cs="Cambria" w:eastAsia="Cambria" w:hAnsi="Cambria"/>
          <w:b/>
          <w:bCs/>
          <w:color w:val="24313A"/>
          <w:sz w:val="26"/>
          <w:szCs w:val="26"/>
        </w:rPr>
        <w:t xml:space="preserve">Results and what comes next</w:t>
      </w:r>
    </w:p>
    <w:p>
      <w:pPr>
        <w:spacing w:after="120" w:before="60"/>
        <w:ind w:left="648" w:hanging="431"/>
      </w:pPr>
      <w:r>
        <w:rPr>
          <w:rFonts w:ascii="Calibri" w:cs="Calibri" w:eastAsia="Calibri" w:hAnsi="Calibri"/>
          <w:b/>
          <w:bCs/>
          <w:color w:val="1F4E46"/>
          <w:sz w:val="22"/>
          <w:szCs w:val="22"/>
        </w:rPr>
        <w:t xml:space="preserve">12.</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What happened after the placements: who took a post, who did not, and what happened to those who decided the classroom was not for them after all?</w:t>
      </w:r>
    </w:p>
    <w:p>
      <w:pPr>
        <w:spacing w:after="120" w:before="60"/>
        <w:ind w:left="648" w:hanging="431"/>
      </w:pPr>
      <w:r>
        <w:rPr>
          <w:rFonts w:ascii="Calibri" w:cs="Calibri" w:eastAsia="Calibri" w:hAnsi="Calibri"/>
          <w:b/>
          <w:bCs/>
          <w:color w:val="1F4E46"/>
          <w:sz w:val="22"/>
          <w:szCs w:val="22"/>
        </w:rPr>
        <w:t xml:space="preserve">13.</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Has any of this been evaluated, and what did you conclude about what it cost against what it produced?</w:t>
      </w:r>
    </w:p>
    <w:p>
      <w:pPr>
        <w:spacing w:after="120" w:before="60"/>
        <w:ind w:left="648" w:hanging="431"/>
      </w:pPr>
      <w:r>
        <w:rPr>
          <w:rFonts w:ascii="Calibri" w:cs="Calibri" w:eastAsia="Calibri" w:hAnsi="Calibri"/>
          <w:b/>
          <w:bCs/>
          <w:color w:val="1F4E46"/>
          <w:sz w:val="22"/>
          <w:szCs w:val="22"/>
        </w:rPr>
        <w:t xml:space="preserve">14.</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Where does the initiative stand now, and what would you change if you were designing it again?</w:t>
      </w:r>
    </w:p>
    <w:p>
      <w:pPr>
        <w:pStyle w:val="Heading2"/>
        <w:spacing w:after="120" w:before="320"/>
      </w:pPr>
      <w:r>
        <w:rPr>
          <w:rFonts w:ascii="Cambria" w:cs="Cambria" w:eastAsia="Cambria" w:hAnsi="Cambria"/>
          <w:b/>
          <w:bCs/>
          <w:color w:val="24313A"/>
          <w:sz w:val="26"/>
          <w:szCs w:val="26"/>
        </w:rPr>
        <w:t xml:space="preserve">Close</w:t>
      </w:r>
    </w:p>
    <w:p>
      <w:pPr>
        <w:spacing w:after="120" w:before="60"/>
        <w:ind w:left="648" w:hanging="431"/>
      </w:pPr>
      <w:r>
        <w:rPr>
          <w:rFonts w:ascii="Calibri" w:cs="Calibri" w:eastAsia="Calibri" w:hAnsi="Calibri"/>
          <w:b/>
          <w:bCs/>
          <w:color w:val="1F4E46"/>
          <w:sz w:val="22"/>
          <w:szCs w:val="22"/>
        </w:rPr>
        <w:t xml:space="preserve">15.</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Is there a colleague who has run this closely and could speak to its experience and its results? We would be very grateful for an introduction.</w:t>
      </w:r>
    </w:p>
    <w:p>
      <w:r>
        <w:br w:type="page"/>
      </w:r>
    </w:p>
    <w:p>
      <w:pPr>
        <w:pStyle w:val="Heading1"/>
        <w:spacing w:after="60" w:before="240"/>
      </w:pPr>
      <w:bookmarkStart w:name="sec3" w:id="1"/>
      <w:r>
        <w:rPr>
          <w:rFonts w:ascii="Cambria" w:cs="Cambria" w:eastAsia="Cambria" w:hAnsi="Cambria"/>
          <w:b/>
          <w:bCs/>
          <w:color w:val="1F4E46"/>
          <w:sz w:val="36"/>
          <w:szCs w:val="36"/>
        </w:rPr>
        <w:t xml:space="preserve">Canada — Quebec</w:t>
      </w:r>
      <w:bookmarkEnd w:id="1"/>
    </w:p>
    <w:p>
      <w:pPr>
        <w:pBdr>
          <w:bottom w:val="single" w:color="CFDCD5" w:sz="6" w:space="6"/>
        </w:pBdr>
        <w:spacing w:after="240" w:before="0"/>
      </w:pPr>
      <w:r>
        <w:rPr>
          <w:rFonts w:ascii="Calibri" w:cs="Calibri" w:eastAsia="Calibri" w:hAnsi="Calibri"/>
          <w:color w:val="B3542E"/>
          <w:sz w:val="24"/>
          <w:szCs w:val="24"/>
        </w:rPr>
        <w:t xml:space="preserve">Financial incentives for the return of retired teachers, measure 15178 of the operating budget rules (since September 2020)</w:t>
      </w:r>
    </w:p>
    <w:p>
      <w:pPr>
        <w:shd w:fill="F1F6F3" w:val="clear"/>
        <w:spacing w:after="120" w:before="120"/>
        <w:ind w:left="215" w:right="215"/>
      </w:pPr>
      <w:r>
        <w:rPr>
          <w:rFonts w:ascii="Calibri" w:cs="Calibri" w:eastAsia="Calibri" w:hAnsi="Calibri"/>
          <w:b/>
          <w:bCs/>
          <w:color w:val="24313A"/>
          <w:sz w:val="21"/>
          <w:szCs w:val="21"/>
        </w:rPr>
        <w:t xml:space="preserve">Who to ask for:</w:t>
      </w:r>
      <w:r>
        <w:rPr>
          <w:rFonts w:ascii="Calibri" w:cs="Calibri" w:eastAsia="Calibri" w:hAnsi="Calibri"/>
          <w:b w:val="false"/>
          <w:bCs w:val="false"/>
          <w:color w:val="24313A"/>
          <w:sz w:val="21"/>
          <w:szCs w:val="21"/>
        </w:rPr>
        <w:t xml:space="preserve"> the direction of the Ministère de l'Éducation responsible for teaching staff and for the operating budget rules of the centres de services scolaires.</w:t>
      </w:r>
    </w:p>
    <w:p>
      <w:pPr>
        <w:shd w:fill="F1F6F3" w:val="clear"/>
        <w:spacing w:after="120" w:before="120"/>
        <w:ind w:left="215" w:right="215"/>
      </w:pPr>
      <w:r>
        <w:rPr>
          <w:rFonts w:ascii="Calibri" w:cs="Calibri" w:eastAsia="Calibri" w:hAnsi="Calibri"/>
          <w:b/>
          <w:bCs/>
          <w:color w:val="24313A"/>
          <w:sz w:val="21"/>
          <w:szCs w:val="21"/>
        </w:rPr>
        <w:t xml:space="preserve">What we already know, so we do not ask it.</w:t>
      </w:r>
      <w:r>
        <w:rPr>
          <w:rFonts w:ascii="Calibri" w:cs="Calibri" w:eastAsia="Calibri" w:hAnsi="Calibri"/>
          <w:b w:val="false"/>
          <w:bCs w:val="false"/>
          <w:color w:val="24313A"/>
          <w:sz w:val="21"/>
          <w:szCs w:val="21"/>
        </w:rPr>
        <w:t xml:space="preserve"> The measure was announced on 21 September 2020 as a pandemic response and sits in the Règles budgétaires de fonctionnement of the school service centres, where it now appears as measure 15178 with several volets. A retired teacher doing supply work is paid from the first day at the salary step and experience held at retirement, where the ordinary rules grant that step only after twenty days, and the pension continues because the retiree may elect not to rejoin the pension plan. It was initially limited to teachers who had retired since July 2015; a ministerial act effective in late January 2022 removed that condition, and the measure was announced as permanent in the same month. The mechanism rests on an agreement outside the collective agreement, between the employers' negotiating committee and the teaching unions, and that agreement is renewed on a school-year cycle.</w:t>
      </w:r>
    </w:p>
    <w:p>
      <w:pPr>
        <w:pStyle w:val="Heading2"/>
        <w:spacing w:after="120" w:before="320"/>
      </w:pPr>
      <w:r>
        <w:rPr>
          <w:rFonts w:ascii="Cambria" w:cs="Cambria" w:eastAsia="Cambria" w:hAnsi="Cambria"/>
          <w:b/>
          <w:bCs/>
          <w:color w:val="24313A"/>
          <w:sz w:val="26"/>
          <w:szCs w:val="26"/>
        </w:rPr>
        <w:t xml:space="preserve">Opening</w:t>
      </w:r>
    </w:p>
    <w:p>
      <w:pPr>
        <w:spacing w:after="120" w:before="60"/>
        <w:ind w:left="648" w:hanging="431"/>
      </w:pPr>
      <w:r>
        <w:rPr>
          <w:rFonts w:ascii="Calibri" w:cs="Calibri" w:eastAsia="Calibri" w:hAnsi="Calibri"/>
          <w:b/>
          <w:bCs/>
          <w:color w:val="1F4E46"/>
          <w:sz w:val="22"/>
          <w:szCs w:val="22"/>
        </w:rPr>
        <w:t xml:space="preserve">1.</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Could you tell us how this came about in 2020? We are interested in why a pay rule was the instrument chosen, rather than a programme, a campaign or a change to the rules on pensions.</w:t>
      </w:r>
    </w:p>
    <w:p>
      <w:pPr>
        <w:spacing w:after="120" w:before="60"/>
        <w:ind w:left="648" w:hanging="431"/>
      </w:pPr>
      <w:r>
        <w:rPr>
          <w:rFonts w:ascii="Calibri" w:cs="Calibri" w:eastAsia="Calibri" w:hAnsi="Calibri"/>
          <w:b/>
          <w:bCs/>
          <w:color w:val="1F4E46"/>
          <w:sz w:val="22"/>
          <w:szCs w:val="22"/>
        </w:rPr>
        <w:t xml:space="preserve">2.</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Who had to agree before it could exist, and what was the hardest part of that conversation?</w:t>
      </w:r>
    </w:p>
    <w:p>
      <w:pPr>
        <w:pStyle w:val="Heading2"/>
        <w:spacing w:after="120" w:before="320"/>
      </w:pPr>
      <w:r>
        <w:rPr>
          <w:rFonts w:ascii="Cambria" w:cs="Cambria" w:eastAsia="Cambria" w:hAnsi="Cambria"/>
          <w:b/>
          <w:bCs/>
          <w:color w:val="24313A"/>
          <w:sz w:val="26"/>
          <w:szCs w:val="26"/>
        </w:rPr>
        <w:t xml:space="preserve">The instrument</w:t>
      </w:r>
    </w:p>
    <w:p>
      <w:pPr>
        <w:spacing w:after="120" w:before="60"/>
        <w:ind w:left="648" w:hanging="431"/>
      </w:pPr>
      <w:r>
        <w:rPr>
          <w:rFonts w:ascii="Calibri" w:cs="Calibri" w:eastAsia="Calibri" w:hAnsi="Calibri"/>
          <w:b/>
          <w:bCs/>
          <w:color w:val="1F4E46"/>
          <w:sz w:val="22"/>
          <w:szCs w:val="22"/>
        </w:rPr>
        <w:t xml:space="preserve">3.</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The measure is permanent on the budget side, but the agreement that carries it is renewed each year with the unions. How does that work in practice, and what gets renegotiated?</w:t>
      </w:r>
    </w:p>
    <w:p>
      <w:pPr>
        <w:spacing w:after="120" w:before="60"/>
        <w:ind w:left="648" w:hanging="431"/>
      </w:pPr>
      <w:r>
        <w:rPr>
          <w:rFonts w:ascii="Calibri" w:cs="Calibri" w:eastAsia="Calibri" w:hAnsi="Calibri"/>
          <w:b/>
          <w:bCs/>
          <w:color w:val="1F4E46"/>
          <w:sz w:val="22"/>
          <w:szCs w:val="22"/>
        </w:rPr>
        <w:t xml:space="preserve">4.</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What does the measure look like from the school service centre's side: how do they draw on it, and what do they have to show?</w:t>
      </w:r>
    </w:p>
    <w:p>
      <w:pPr>
        <w:spacing w:after="120" w:before="60"/>
        <w:ind w:left="648" w:hanging="431"/>
      </w:pPr>
      <w:r>
        <w:rPr>
          <w:rFonts w:ascii="Calibri" w:cs="Calibri" w:eastAsia="Calibri" w:hAnsi="Calibri"/>
          <w:b/>
          <w:bCs/>
          <w:color w:val="1F4E46"/>
          <w:sz w:val="22"/>
          <w:szCs w:val="22"/>
        </w:rPr>
        <w:t xml:space="preserve">5.</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In 2022 the condition limiting it to teachers who had retired after 2015 was removed. What was behind that decision, and what did it change?</w:t>
      </w:r>
    </w:p>
    <w:p>
      <w:pPr>
        <w:spacing w:after="120" w:before="60"/>
        <w:ind w:left="648" w:hanging="431"/>
      </w:pPr>
      <w:r>
        <w:rPr>
          <w:rFonts w:ascii="Calibri" w:cs="Calibri" w:eastAsia="Calibri" w:hAnsi="Calibri"/>
          <w:b/>
          <w:bCs/>
          <w:color w:val="1F4E46"/>
          <w:sz w:val="22"/>
          <w:szCs w:val="22"/>
        </w:rPr>
        <w:t xml:space="preserve">6.</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There is also an incentive for a retiree who signs a contract rather than doing occasional supply. Which of the two do retirees actually take up?</w:t>
      </w:r>
    </w:p>
    <w:p>
      <w:pPr>
        <w:spacing w:after="120" w:before="60"/>
        <w:ind w:left="648" w:hanging="431"/>
      </w:pPr>
      <w:r>
        <w:rPr>
          <w:rFonts w:ascii="Calibri" w:cs="Calibri" w:eastAsia="Calibri" w:hAnsi="Calibri"/>
          <w:b/>
          <w:bCs/>
          <w:color w:val="1F4E46"/>
          <w:sz w:val="22"/>
          <w:szCs w:val="22"/>
        </w:rPr>
        <w:t xml:space="preserve">7.</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How is the pension side handled in practice — is the choice not to rejoin the plan explained to the returner, or is it something they have to find out?</w:t>
      </w:r>
    </w:p>
    <w:p>
      <w:pPr>
        <w:pStyle w:val="Heading2"/>
        <w:spacing w:after="120" w:before="320"/>
      </w:pPr>
      <w:r>
        <w:rPr>
          <w:rFonts w:ascii="Cambria" w:cs="Cambria" w:eastAsia="Cambria" w:hAnsi="Cambria"/>
          <w:b/>
          <w:bCs/>
          <w:color w:val="24313A"/>
          <w:sz w:val="26"/>
          <w:szCs w:val="26"/>
        </w:rPr>
        <w:t xml:space="preserve">The teachers</w:t>
      </w:r>
    </w:p>
    <w:p>
      <w:pPr>
        <w:spacing w:after="120" w:before="60"/>
        <w:ind w:left="648" w:hanging="431"/>
      </w:pPr>
      <w:r>
        <w:rPr>
          <w:rFonts w:ascii="Calibri" w:cs="Calibri" w:eastAsia="Calibri" w:hAnsi="Calibri"/>
          <w:b/>
          <w:bCs/>
          <w:color w:val="1F4E46"/>
          <w:sz w:val="22"/>
          <w:szCs w:val="22"/>
        </w:rPr>
        <w:t xml:space="preserve">8.</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Who comes back? We would like to hear what kind of retired teacher takes this up, and how long after retiring they tend to do it.</w:t>
      </w:r>
    </w:p>
    <w:p>
      <w:pPr>
        <w:spacing w:after="120" w:before="60"/>
        <w:ind w:left="648" w:hanging="431"/>
      </w:pPr>
      <w:r>
        <w:rPr>
          <w:rFonts w:ascii="Calibri" w:cs="Calibri" w:eastAsia="Calibri" w:hAnsi="Calibri"/>
          <w:b/>
          <w:bCs/>
          <w:color w:val="1F4E46"/>
          <w:sz w:val="22"/>
          <w:szCs w:val="22"/>
        </w:rPr>
        <w:t xml:space="preserve">9.</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What do they come back to do: supply days, part-time contracts, mentoring, something else? And is that what the network needed?</w:t>
      </w:r>
    </w:p>
    <w:p>
      <w:pPr>
        <w:spacing w:after="120" w:before="60"/>
        <w:ind w:left="648" w:hanging="431"/>
      </w:pPr>
      <w:r>
        <w:rPr>
          <w:rFonts w:ascii="Calibri" w:cs="Calibri" w:eastAsia="Calibri" w:hAnsi="Calibri"/>
          <w:b/>
          <w:bCs/>
          <w:color w:val="1F4E46"/>
          <w:sz w:val="22"/>
          <w:szCs w:val="22"/>
        </w:rPr>
        <w:t xml:space="preserve">10.</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In 2023 the minister wrote personally to retired teachers. What came of that, and what does it tell you about what moves this group?</w:t>
      </w:r>
    </w:p>
    <w:p>
      <w:pPr>
        <w:spacing w:after="120" w:before="60"/>
        <w:ind w:left="648" w:hanging="431"/>
      </w:pPr>
      <w:r>
        <w:rPr>
          <w:rFonts w:ascii="Calibri" w:cs="Calibri" w:eastAsia="Calibri" w:hAnsi="Calibri"/>
          <w:b/>
          <w:bCs/>
          <w:color w:val="1F4E46"/>
          <w:sz w:val="22"/>
          <w:szCs w:val="22"/>
        </w:rPr>
        <w:t xml:space="preserve">11.</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What do retirees say when they say no?</w:t>
      </w:r>
    </w:p>
    <w:p>
      <w:pPr>
        <w:pStyle w:val="Heading2"/>
        <w:spacing w:after="120" w:before="320"/>
      </w:pPr>
      <w:r>
        <w:rPr>
          <w:rFonts w:ascii="Cambria" w:cs="Cambria" w:eastAsia="Cambria" w:hAnsi="Cambria"/>
          <w:b/>
          <w:bCs/>
          <w:color w:val="24313A"/>
          <w:sz w:val="26"/>
          <w:szCs w:val="26"/>
        </w:rPr>
        <w:t xml:space="preserve">Results and what comes next</w:t>
      </w:r>
    </w:p>
    <w:p>
      <w:pPr>
        <w:spacing w:after="120" w:before="60"/>
        <w:ind w:left="648" w:hanging="431"/>
      </w:pPr>
      <w:r>
        <w:rPr>
          <w:rFonts w:ascii="Calibri" w:cs="Calibri" w:eastAsia="Calibri" w:hAnsi="Calibri"/>
          <w:b/>
          <w:bCs/>
          <w:color w:val="1F4E46"/>
          <w:sz w:val="22"/>
          <w:szCs w:val="22"/>
        </w:rPr>
        <w:t xml:space="preserve">12.</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How has take-up developed since 2020, and how do you follow it?</w:t>
      </w:r>
    </w:p>
    <w:p>
      <w:pPr>
        <w:spacing w:after="120" w:before="60"/>
        <w:ind w:left="648" w:hanging="431"/>
      </w:pPr>
      <w:r>
        <w:rPr>
          <w:rFonts w:ascii="Calibri" w:cs="Calibri" w:eastAsia="Calibri" w:hAnsi="Calibri"/>
          <w:b/>
          <w:bCs/>
          <w:color w:val="1F4E46"/>
          <w:sz w:val="22"/>
          <w:szCs w:val="22"/>
        </w:rPr>
        <w:t xml:space="preserve">13.</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Has the measure changed the way schools cover absences — and has it changed anything about the number of classrooms left without a qualified teacher?</w:t>
      </w:r>
    </w:p>
    <w:p>
      <w:pPr>
        <w:spacing w:after="120" w:before="60"/>
        <w:ind w:left="648" w:hanging="431"/>
      </w:pPr>
      <w:r>
        <w:rPr>
          <w:rFonts w:ascii="Calibri" w:cs="Calibri" w:eastAsia="Calibri" w:hAnsi="Calibri"/>
          <w:b/>
          <w:bCs/>
          <w:color w:val="1F4E46"/>
          <w:sz w:val="22"/>
          <w:szCs w:val="22"/>
        </w:rPr>
        <w:t xml:space="preserve">14.</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Has the ministry assessed it, and what would you say it has and has not solved?</w:t>
      </w:r>
    </w:p>
    <w:p>
      <w:pPr>
        <w:spacing w:after="120" w:before="60"/>
        <w:ind w:left="648" w:hanging="431"/>
      </w:pPr>
      <w:r>
        <w:rPr>
          <w:rFonts w:ascii="Calibri" w:cs="Calibri" w:eastAsia="Calibri" w:hAnsi="Calibri"/>
          <w:b/>
          <w:bCs/>
          <w:color w:val="1F4E46"/>
          <w:sz w:val="22"/>
          <w:szCs w:val="22"/>
        </w:rPr>
        <w:t xml:space="preserve">15.</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What will decide whether the agreement is renewed again?</w:t>
      </w:r>
    </w:p>
    <w:p>
      <w:pPr>
        <w:pStyle w:val="Heading2"/>
        <w:spacing w:after="120" w:before="320"/>
      </w:pPr>
      <w:r>
        <w:rPr>
          <w:rFonts w:ascii="Cambria" w:cs="Cambria" w:eastAsia="Cambria" w:hAnsi="Cambria"/>
          <w:b/>
          <w:bCs/>
          <w:color w:val="24313A"/>
          <w:sz w:val="26"/>
          <w:szCs w:val="26"/>
        </w:rPr>
        <w:t xml:space="preserve">Close</w:t>
      </w:r>
    </w:p>
    <w:p>
      <w:pPr>
        <w:spacing w:after="120" w:before="60"/>
        <w:ind w:left="648" w:hanging="431"/>
      </w:pPr>
      <w:r>
        <w:rPr>
          <w:rFonts w:ascii="Calibri" w:cs="Calibri" w:eastAsia="Calibri" w:hAnsi="Calibri"/>
          <w:b/>
          <w:bCs/>
          <w:color w:val="1F4E46"/>
          <w:sz w:val="22"/>
          <w:szCs w:val="22"/>
        </w:rPr>
        <w:t xml:space="preserve">16.</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Is there a colleague who has followed this measure closely and could speak to its experience and its results? An introduction would be very welcome.</w:t>
      </w:r>
    </w:p>
    <w:p>
      <w:pPr>
        <w:shd w:fill="F1F6F3" w:val="clear"/>
        <w:spacing w:after="120" w:before="120"/>
        <w:ind w:left="215" w:right="215"/>
      </w:pPr>
      <w:r>
        <w:rPr>
          <w:rFonts w:ascii="Calibri" w:cs="Calibri" w:eastAsia="Calibri" w:hAnsi="Calibri"/>
          <w:b/>
          <w:bCs/>
          <w:color w:val="24313A"/>
          <w:sz w:val="21"/>
          <w:szCs w:val="21"/>
        </w:rPr>
        <w:t xml:space="preserve">Note for the interviewer.</w:t>
      </w:r>
      <w:r>
        <w:rPr>
          <w:rFonts w:ascii="Calibri" w:cs="Calibri" w:eastAsia="Calibri" w:hAnsi="Calibri"/>
          <w:b w:val="false"/>
          <w:bCs w:val="false"/>
          <w:color w:val="24313A"/>
          <w:sz w:val="21"/>
          <w:szCs w:val="21"/>
        </w:rPr>
        <w:t xml:space="preserve"> Two things we could not settle from the public record and could ask directly if the conversation allows: the number and official citation of the ministerial act of January 2022, and whether the measure carried the number 15178 from the start. Both are useful for citing the policy correctly.</w:t>
      </w:r>
    </w:p>
    <w:p>
      <w:r>
        <w:br w:type="page"/>
      </w:r>
    </w:p>
    <w:p>
      <w:pPr>
        <w:pStyle w:val="Heading1"/>
        <w:spacing w:after="60" w:before="240"/>
      </w:pPr>
      <w:bookmarkStart w:name="sec4" w:id="1"/>
      <w:r>
        <w:rPr>
          <w:rFonts w:ascii="Cambria" w:cs="Cambria" w:eastAsia="Cambria" w:hAnsi="Cambria"/>
          <w:b/>
          <w:bCs/>
          <w:color w:val="1F4E46"/>
          <w:sz w:val="36"/>
          <w:szCs w:val="36"/>
        </w:rPr>
        <w:t xml:space="preserve">China</w:t>
      </w:r>
      <w:bookmarkEnd w:id="1"/>
    </w:p>
    <w:p>
      <w:pPr>
        <w:pBdr>
          <w:bottom w:val="single" w:color="CFDCD5" w:sz="6" w:space="6"/>
        </w:pBdr>
        <w:spacing w:after="240" w:before="0"/>
      </w:pPr>
      <w:r>
        <w:rPr>
          <w:rFonts w:ascii="Calibri" w:cs="Calibri" w:eastAsia="Calibri" w:hAnsi="Calibri"/>
          <w:color w:val="B3542E"/>
          <w:sz w:val="24"/>
          <w:szCs w:val="24"/>
        </w:rPr>
        <w:t xml:space="preserve">Silver-Age Lecturing Plan (2018) and the National Silver-Age Teachers Action Plan (2023)</w:t>
      </w:r>
    </w:p>
    <w:p>
      <w:pPr>
        <w:shd w:fill="F1F6F3" w:val="clear"/>
        <w:spacing w:after="120" w:before="120"/>
        <w:ind w:left="215" w:right="215"/>
      </w:pPr>
      <w:r>
        <w:rPr>
          <w:rFonts w:ascii="Calibri" w:cs="Calibri" w:eastAsia="Calibri" w:hAnsi="Calibri"/>
          <w:b/>
          <w:bCs/>
          <w:color w:val="24313A"/>
          <w:sz w:val="21"/>
          <w:szCs w:val="21"/>
        </w:rPr>
        <w:t xml:space="preserve">Who to ask for:</w:t>
      </w:r>
      <w:r>
        <w:rPr>
          <w:rFonts w:ascii="Calibri" w:cs="Calibri" w:eastAsia="Calibri" w:hAnsi="Calibri"/>
          <w:b w:val="false"/>
          <w:bCs w:val="false"/>
          <w:color w:val="24313A"/>
          <w:sz w:val="21"/>
          <w:szCs w:val="21"/>
        </w:rPr>
        <w:t xml:space="preserve"> the Teacher Work Department of the Ministry of Education, which issues the plan with the Ministry of Finance, and, if possible, a provincial education department that recruits for it.</w:t>
      </w:r>
    </w:p>
    <w:p>
      <w:pPr>
        <w:shd w:fill="F1F6F3" w:val="clear"/>
        <w:spacing w:after="120" w:before="120"/>
        <w:ind w:left="215" w:right="215"/>
      </w:pPr>
      <w:r>
        <w:rPr>
          <w:rFonts w:ascii="Calibri" w:cs="Calibri" w:eastAsia="Calibri" w:hAnsi="Calibri"/>
          <w:b/>
          <w:bCs/>
          <w:color w:val="24313A"/>
          <w:sz w:val="21"/>
          <w:szCs w:val="21"/>
        </w:rPr>
        <w:t xml:space="preserve">What we already know, so we do not ask it.</w:t>
      </w:r>
      <w:r>
        <w:rPr>
          <w:rFonts w:ascii="Calibri" w:cs="Calibri" w:eastAsia="Calibri" w:hAnsi="Calibri"/>
          <w:b w:val="false"/>
          <w:bCs w:val="false"/>
          <w:color w:val="24313A"/>
          <w:sz w:val="21"/>
          <w:szCs w:val="21"/>
        </w:rPr>
        <w:t xml:space="preserve"> Since 2018 the Ministry of Education and the Ministry of Finance have recruited retired principals, teaching-research officers, special-grade and senior teachers, generally aged 65 or under, to teach in county-town and rural schools in formerly poor, border and minority counties. Recruitment is organised province by province against named posts, the county education bureau signs an agreement with the teacher that is renewed each year, the posting runs for at least one school year, and the teacher supplies a recent health certificate. The pension and employment status are untouched and the work is funded at 20,000 yuan per person per year, shared between central and local budgets, covering an allowance, travel and accident insurance; the county must provide housing. In 2023 ten government departments extended the model to higher, vocational and private education, with a target of around 120,000 silver-age teachers within roughly three years. The annual plan has been 7,000 teachers for compulsory education in both 2024 and 2025.</w:t>
      </w:r>
    </w:p>
    <w:p>
      <w:pPr>
        <w:pStyle w:val="Heading2"/>
        <w:spacing w:after="120" w:before="320"/>
      </w:pPr>
      <w:r>
        <w:rPr>
          <w:rFonts w:ascii="Cambria" w:cs="Cambria" w:eastAsia="Cambria" w:hAnsi="Cambria"/>
          <w:b/>
          <w:bCs/>
          <w:color w:val="24313A"/>
          <w:sz w:val="26"/>
          <w:szCs w:val="26"/>
        </w:rPr>
        <w:t xml:space="preserve">Opening</w:t>
      </w:r>
    </w:p>
    <w:p>
      <w:pPr>
        <w:spacing w:after="120" w:before="60"/>
        <w:ind w:left="648" w:hanging="431"/>
      </w:pPr>
      <w:r>
        <w:rPr>
          <w:rFonts w:ascii="Calibri" w:cs="Calibri" w:eastAsia="Calibri" w:hAnsi="Calibri"/>
          <w:b/>
          <w:bCs/>
          <w:color w:val="1F4E46"/>
          <w:sz w:val="22"/>
          <w:szCs w:val="22"/>
        </w:rPr>
        <w:t xml:space="preserve">1.</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Could you tell us how the plan started in 2018, and what problem it was meant to solve that other measures for rural schools were not solving?</w:t>
      </w:r>
    </w:p>
    <w:p>
      <w:pPr>
        <w:spacing w:after="120" w:before="60"/>
        <w:ind w:left="648" w:hanging="431"/>
      </w:pPr>
      <w:r>
        <w:rPr>
          <w:rFonts w:ascii="Calibri" w:cs="Calibri" w:eastAsia="Calibri" w:hAnsi="Calibri"/>
          <w:b/>
          <w:bCs/>
          <w:color w:val="1F4E46"/>
          <w:sz w:val="22"/>
          <w:szCs w:val="22"/>
        </w:rPr>
        <w:t xml:space="preserve">2.</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In 2023 it grew into something much larger, across ten departments and all levels of education. What changed in the thinking between 2018 and 2023?</w:t>
      </w:r>
    </w:p>
    <w:p>
      <w:pPr>
        <w:pStyle w:val="Heading2"/>
        <w:spacing w:after="120" w:before="320"/>
      </w:pPr>
      <w:r>
        <w:rPr>
          <w:rFonts w:ascii="Cambria" w:cs="Cambria" w:eastAsia="Cambria" w:hAnsi="Cambria"/>
          <w:b/>
          <w:bCs/>
          <w:color w:val="24313A"/>
          <w:sz w:val="26"/>
          <w:szCs w:val="26"/>
        </w:rPr>
        <w:t xml:space="preserve">How it works</w:t>
      </w:r>
    </w:p>
    <w:p>
      <w:pPr>
        <w:spacing w:after="120" w:before="60"/>
        <w:ind w:left="648" w:hanging="431"/>
      </w:pPr>
      <w:r>
        <w:rPr>
          <w:rFonts w:ascii="Calibri" w:cs="Calibri" w:eastAsia="Calibri" w:hAnsi="Calibri"/>
          <w:b/>
          <w:bCs/>
          <w:color w:val="1F4E46"/>
          <w:sz w:val="22"/>
          <w:szCs w:val="22"/>
        </w:rPr>
        <w:t xml:space="preserve">3.</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Could you describe how a retired teacher goes from hearing about the plan to standing in a classroom in a county far from home?</w:t>
      </w:r>
    </w:p>
    <w:p>
      <w:pPr>
        <w:spacing w:after="120" w:before="60"/>
        <w:ind w:left="648" w:hanging="431"/>
      </w:pPr>
      <w:r>
        <w:rPr>
          <w:rFonts w:ascii="Calibri" w:cs="Calibri" w:eastAsia="Calibri" w:hAnsi="Calibri"/>
          <w:b/>
          <w:bCs/>
          <w:color w:val="1F4E46"/>
          <w:sz w:val="22"/>
          <w:szCs w:val="22"/>
        </w:rPr>
        <w:t xml:space="preserve">4.</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Who decides which counties and which schools receive a teacher, and how is that demand established?</w:t>
      </w:r>
    </w:p>
    <w:p>
      <w:pPr>
        <w:spacing w:after="120" w:before="60"/>
        <w:ind w:left="648" w:hanging="431"/>
      </w:pPr>
      <w:r>
        <w:rPr>
          <w:rFonts w:ascii="Calibri" w:cs="Calibri" w:eastAsia="Calibri" w:hAnsi="Calibri"/>
          <w:b/>
          <w:bCs/>
          <w:color w:val="1F4E46"/>
          <w:sz w:val="22"/>
          <w:szCs w:val="22"/>
        </w:rPr>
        <w:t xml:space="preserve">5.</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What does a silver-age teacher actually do in the school week — teaching, working with the young teachers, advising the school leadership? How does that balance settle in practice?</w:t>
      </w:r>
    </w:p>
    <w:p>
      <w:pPr>
        <w:spacing w:after="120" w:before="60"/>
        <w:ind w:left="648" w:hanging="431"/>
      </w:pPr>
      <w:r>
        <w:rPr>
          <w:rFonts w:ascii="Calibri" w:cs="Calibri" w:eastAsia="Calibri" w:hAnsi="Calibri"/>
          <w:b/>
          <w:bCs/>
          <w:color w:val="1F4E46"/>
          <w:sz w:val="22"/>
          <w:szCs w:val="22"/>
        </w:rPr>
        <w:t xml:space="preserve">6.</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The agreement is renewed each year. What does the county look at when it decides to renew, and how long do teachers tend to stay?</w:t>
      </w:r>
    </w:p>
    <w:p>
      <w:pPr>
        <w:spacing w:after="120" w:before="60"/>
        <w:ind w:left="648" w:hanging="431"/>
      </w:pPr>
      <w:r>
        <w:rPr>
          <w:rFonts w:ascii="Calibri" w:cs="Calibri" w:eastAsia="Calibri" w:hAnsi="Calibri"/>
          <w:b/>
          <w:bCs/>
          <w:color w:val="1F4E46"/>
          <w:sz w:val="22"/>
          <w:szCs w:val="22"/>
        </w:rPr>
        <w:t xml:space="preserve">7.</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The plan pays an allowance on top of the pension rather than a salary, and the county provides housing. How was that arrangement arrived at, and does it work for the teachers and for the counties?</w:t>
      </w:r>
    </w:p>
    <w:p>
      <w:pPr>
        <w:pStyle w:val="Heading2"/>
        <w:spacing w:after="120" w:before="320"/>
      </w:pPr>
      <w:r>
        <w:rPr>
          <w:rFonts w:ascii="Cambria" w:cs="Cambria" w:eastAsia="Cambria" w:hAnsi="Cambria"/>
          <w:b/>
          <w:bCs/>
          <w:color w:val="24313A"/>
          <w:sz w:val="26"/>
          <w:szCs w:val="26"/>
        </w:rPr>
        <w:t xml:space="preserve">The teachers</w:t>
      </w:r>
    </w:p>
    <w:p>
      <w:pPr>
        <w:spacing w:after="120" w:before="60"/>
        <w:ind w:left="648" w:hanging="431"/>
      </w:pPr>
      <w:r>
        <w:rPr>
          <w:rFonts w:ascii="Calibri" w:cs="Calibri" w:eastAsia="Calibri" w:hAnsi="Calibri"/>
          <w:b/>
          <w:bCs/>
          <w:color w:val="1F4E46"/>
          <w:sz w:val="22"/>
          <w:szCs w:val="22"/>
        </w:rPr>
        <w:t xml:space="preserve">8.</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Who applies? We would like to understand what moves a retired principal or senior teacher to spend a year in a rural county.</w:t>
      </w:r>
    </w:p>
    <w:p>
      <w:pPr>
        <w:spacing w:after="120" w:before="60"/>
        <w:ind w:left="648" w:hanging="431"/>
      </w:pPr>
      <w:r>
        <w:rPr>
          <w:rFonts w:ascii="Calibri" w:cs="Calibri" w:eastAsia="Calibri" w:hAnsi="Calibri"/>
          <w:b/>
          <w:bCs/>
          <w:color w:val="1F4E46"/>
          <w:sz w:val="22"/>
          <w:szCs w:val="22"/>
        </w:rPr>
        <w:t xml:space="preserve">9.</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What do they find hardest — the distance from family, the health of working at that age, the difference between the schools they knew and the ones they arrive in?</w:t>
      </w:r>
    </w:p>
    <w:p>
      <w:pPr>
        <w:spacing w:after="120" w:before="60"/>
        <w:ind w:left="648" w:hanging="431"/>
      </w:pPr>
      <w:r>
        <w:rPr>
          <w:rFonts w:ascii="Calibri" w:cs="Calibri" w:eastAsia="Calibri" w:hAnsi="Calibri"/>
          <w:b/>
          <w:bCs/>
          <w:color w:val="1F4E46"/>
          <w:sz w:val="22"/>
          <w:szCs w:val="22"/>
        </w:rPr>
        <w:t xml:space="preserve">10.</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What do the young teachers in those schools get from having them there?</w:t>
      </w:r>
    </w:p>
    <w:p>
      <w:pPr>
        <w:pStyle w:val="Heading2"/>
        <w:spacing w:after="120" w:before="320"/>
      </w:pPr>
      <w:r>
        <w:rPr>
          <w:rFonts w:ascii="Cambria" w:cs="Cambria" w:eastAsia="Cambria" w:hAnsi="Cambria"/>
          <w:b/>
          <w:bCs/>
          <w:color w:val="24313A"/>
          <w:sz w:val="26"/>
          <w:szCs w:val="26"/>
        </w:rPr>
        <w:t xml:space="preserve">Results and what comes next</w:t>
      </w:r>
    </w:p>
    <w:p>
      <w:pPr>
        <w:spacing w:after="120" w:before="60"/>
        <w:ind w:left="648" w:hanging="431"/>
      </w:pPr>
      <w:r>
        <w:rPr>
          <w:rFonts w:ascii="Calibri" w:cs="Calibri" w:eastAsia="Calibri" w:hAnsi="Calibri"/>
          <w:b/>
          <w:bCs/>
          <w:color w:val="1F4E46"/>
          <w:sz w:val="22"/>
          <w:szCs w:val="22"/>
        </w:rPr>
        <w:t xml:space="preserve">11.</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How has recruitment gone against the annual plan? We understand the notices ask provinces to raise their completion rate, and we would like to hear where the difficulty lies.</w:t>
      </w:r>
    </w:p>
    <w:p>
      <w:pPr>
        <w:spacing w:after="120" w:before="60"/>
        <w:ind w:left="648" w:hanging="431"/>
      </w:pPr>
      <w:r>
        <w:rPr>
          <w:rFonts w:ascii="Calibri" w:cs="Calibri" w:eastAsia="Calibri" w:hAnsi="Calibri"/>
          <w:b/>
          <w:bCs/>
          <w:color w:val="1F4E46"/>
          <w:sz w:val="22"/>
          <w:szCs w:val="22"/>
        </w:rPr>
        <w:t xml:space="preserve">12.</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The 2023 plan sets a figure of around 120,000. How is progress measured, and where does it stand?</w:t>
      </w:r>
    </w:p>
    <w:p>
      <w:pPr>
        <w:spacing w:after="120" w:before="60"/>
        <w:ind w:left="648" w:hanging="431"/>
      </w:pPr>
      <w:r>
        <w:rPr>
          <w:rFonts w:ascii="Calibri" w:cs="Calibri" w:eastAsia="Calibri" w:hAnsi="Calibri"/>
          <w:b/>
          <w:bCs/>
          <w:color w:val="1F4E46"/>
          <w:sz w:val="22"/>
          <w:szCs w:val="22"/>
        </w:rPr>
        <w:t xml:space="preserve">13.</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Has anyone looked at what the plan has changed in the receiving schools?</w:t>
      </w:r>
    </w:p>
    <w:p>
      <w:pPr>
        <w:spacing w:after="120" w:before="60"/>
        <w:ind w:left="648" w:hanging="431"/>
      </w:pPr>
      <w:r>
        <w:rPr>
          <w:rFonts w:ascii="Calibri" w:cs="Calibri" w:eastAsia="Calibri" w:hAnsi="Calibri"/>
          <w:b/>
          <w:bCs/>
          <w:color w:val="1F4E46"/>
          <w:sz w:val="22"/>
          <w:szCs w:val="22"/>
        </w:rPr>
        <w:t xml:space="preserve">14.</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What would you say a country with an ageing teaching profession should take from this, and what should it avoid?</w:t>
      </w:r>
    </w:p>
    <w:p>
      <w:pPr>
        <w:pStyle w:val="Heading2"/>
        <w:spacing w:after="120" w:before="320"/>
      </w:pPr>
      <w:r>
        <w:rPr>
          <w:rFonts w:ascii="Cambria" w:cs="Cambria" w:eastAsia="Cambria" w:hAnsi="Cambria"/>
          <w:b/>
          <w:bCs/>
          <w:color w:val="24313A"/>
          <w:sz w:val="26"/>
          <w:szCs w:val="26"/>
        </w:rPr>
        <w:t xml:space="preserve">Close</w:t>
      </w:r>
    </w:p>
    <w:p>
      <w:pPr>
        <w:spacing w:after="120" w:before="60"/>
        <w:ind w:left="648" w:hanging="431"/>
      </w:pPr>
      <w:r>
        <w:rPr>
          <w:rFonts w:ascii="Calibri" w:cs="Calibri" w:eastAsia="Calibri" w:hAnsi="Calibri"/>
          <w:b/>
          <w:bCs/>
          <w:color w:val="1F4E46"/>
          <w:sz w:val="22"/>
          <w:szCs w:val="22"/>
        </w:rPr>
        <w:t xml:space="preserve">15.</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Is there a colleague at the ministry, or at a provincial education department that has recruited for the plan, who could speak to its experience and its results? We would be very grateful for an introduction.</w:t>
      </w:r>
    </w:p>
    <w:p>
      <w:r>
        <w:br w:type="page"/>
      </w:r>
    </w:p>
    <w:p>
      <w:pPr>
        <w:pStyle w:val="Heading1"/>
        <w:spacing w:after="60" w:before="240"/>
      </w:pPr>
      <w:bookmarkStart w:name="sec5" w:id="1"/>
      <w:r>
        <w:rPr>
          <w:rFonts w:ascii="Cambria" w:cs="Cambria" w:eastAsia="Cambria" w:hAnsi="Cambria"/>
          <w:b/>
          <w:bCs/>
          <w:color w:val="1F4E46"/>
          <w:sz w:val="36"/>
          <w:szCs w:val="36"/>
        </w:rPr>
        <w:t xml:space="preserve">Netherlands</w:t>
      </w:r>
      <w:bookmarkEnd w:id="1"/>
    </w:p>
    <w:p>
      <w:pPr>
        <w:pBdr>
          <w:bottom w:val="single" w:color="CFDCD5" w:sz="6" w:space="6"/>
        </w:pBdr>
        <w:spacing w:after="240" w:before="0"/>
      </w:pPr>
      <w:r>
        <w:rPr>
          <w:rFonts w:ascii="Calibri" w:cs="Calibri" w:eastAsia="Calibri" w:hAnsi="Calibri"/>
          <w:color w:val="B3542E"/>
          <w:sz w:val="24"/>
          <w:szCs w:val="24"/>
        </w:rPr>
        <w:t xml:space="preserve">Regeling tegemoetkoming herintreders primair onderwijs (2017–2022)</w:t>
      </w:r>
    </w:p>
    <w:p>
      <w:pPr>
        <w:shd w:fill="F1F6F3" w:val="clear"/>
        <w:spacing w:after="120" w:before="120"/>
        <w:ind w:left="215" w:right="215"/>
      </w:pPr>
      <w:r>
        <w:rPr>
          <w:rFonts w:ascii="Calibri" w:cs="Calibri" w:eastAsia="Calibri" w:hAnsi="Calibri"/>
          <w:b/>
          <w:bCs/>
          <w:color w:val="24313A"/>
          <w:sz w:val="21"/>
          <w:szCs w:val="21"/>
        </w:rPr>
        <w:t xml:space="preserve">Who to ask for:</w:t>
      </w:r>
      <w:r>
        <w:rPr>
          <w:rFonts w:ascii="Calibri" w:cs="Calibri" w:eastAsia="Calibri" w:hAnsi="Calibri"/>
          <w:b w:val="false"/>
          <w:bCs w:val="false"/>
          <w:color w:val="24313A"/>
          <w:sz w:val="21"/>
          <w:szCs w:val="21"/>
        </w:rPr>
        <w:t xml:space="preserve"> the primary-education directorate of the Ministry of Education, Culture and Science, and the grant agency that handled the applications (DUS-I).</w:t>
      </w:r>
    </w:p>
    <w:p>
      <w:pPr>
        <w:shd w:fill="F1F6F3" w:val="clear"/>
        <w:spacing w:after="120" w:before="120"/>
        <w:ind w:left="215" w:right="215"/>
      </w:pPr>
      <w:r>
        <w:rPr>
          <w:rFonts w:ascii="Calibri" w:cs="Calibri" w:eastAsia="Calibri" w:hAnsi="Calibri"/>
          <w:b/>
          <w:bCs/>
          <w:color w:val="24313A"/>
          <w:sz w:val="21"/>
          <w:szCs w:val="21"/>
        </w:rPr>
        <w:t xml:space="preserve">What we already know, so we do not ask it.</w:t>
      </w:r>
      <w:r>
        <w:rPr>
          <w:rFonts w:ascii="Calibri" w:cs="Calibri" w:eastAsia="Calibri" w:hAnsi="Calibri"/>
          <w:b w:val="false"/>
          <w:bCs w:val="false"/>
          <w:color w:val="24313A"/>
          <w:sz w:val="21"/>
          <w:szCs w:val="21"/>
        </w:rPr>
        <w:t xml:space="preserve"> The regulation took effect on 1 November 2017 and paid a primary-school board up to 2,500 euros for each qualified teacher it took on who had not worked in primary education for at least a year, on a contract of six months or more. The money went to the board, not the teacher, and was meant for the guidance and support the returner needs in the first months. The first budget was 1.25 million euros, enough for about 500 returners; a 2019 amendment extended the scheme, applications were accepted until 1 November 2020 and the regulation expired on 1 January 2022. The ministry reported in mid-2019 that more than a hundred returners had used it, against a pool of qualified teachers outside education that the ministry itself put in the tens of thousands.</w:t>
      </w:r>
    </w:p>
    <w:p>
      <w:pPr>
        <w:pStyle w:val="Heading2"/>
        <w:spacing w:after="120" w:before="320"/>
      </w:pPr>
      <w:r>
        <w:rPr>
          <w:rFonts w:ascii="Cambria" w:cs="Cambria" w:eastAsia="Cambria" w:hAnsi="Cambria"/>
          <w:b/>
          <w:bCs/>
          <w:color w:val="24313A"/>
          <w:sz w:val="26"/>
          <w:szCs w:val="26"/>
        </w:rPr>
        <w:t xml:space="preserve">Opening</w:t>
      </w:r>
    </w:p>
    <w:p>
      <w:pPr>
        <w:spacing w:after="120" w:before="60"/>
        <w:ind w:left="648" w:hanging="431"/>
      </w:pPr>
      <w:r>
        <w:rPr>
          <w:rFonts w:ascii="Calibri" w:cs="Calibri" w:eastAsia="Calibri" w:hAnsi="Calibri"/>
          <w:b/>
          <w:bCs/>
          <w:color w:val="1F4E46"/>
          <w:sz w:val="22"/>
          <w:szCs w:val="22"/>
        </w:rPr>
        <w:t xml:space="preserve">1.</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Could you tell us how the scheme came about in 2017, and what the thinking was in paying the school rather than the teacher?</w:t>
      </w:r>
    </w:p>
    <w:p>
      <w:pPr>
        <w:spacing w:after="120" w:before="60"/>
        <w:ind w:left="648" w:hanging="431"/>
      </w:pPr>
      <w:r>
        <w:rPr>
          <w:rFonts w:ascii="Calibri" w:cs="Calibri" w:eastAsia="Calibri" w:hAnsi="Calibri"/>
          <w:b/>
          <w:bCs/>
          <w:color w:val="1F4E46"/>
          <w:sz w:val="22"/>
          <w:szCs w:val="22"/>
        </w:rPr>
        <w:t xml:space="preserve">2.</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Was that design debated at the time? We are interested in what the alternative would have been.</w:t>
      </w:r>
    </w:p>
    <w:p>
      <w:pPr>
        <w:pStyle w:val="Heading2"/>
        <w:spacing w:after="120" w:before="320"/>
      </w:pPr>
      <w:r>
        <w:rPr>
          <w:rFonts w:ascii="Cambria" w:cs="Cambria" w:eastAsia="Cambria" w:hAnsi="Cambria"/>
          <w:b/>
          <w:bCs/>
          <w:color w:val="24313A"/>
          <w:sz w:val="26"/>
          <w:szCs w:val="26"/>
        </w:rPr>
        <w:t xml:space="preserve">How it worked</w:t>
      </w:r>
    </w:p>
    <w:p>
      <w:pPr>
        <w:spacing w:after="120" w:before="60"/>
        <w:ind w:left="648" w:hanging="431"/>
      </w:pPr>
      <w:r>
        <w:rPr>
          <w:rFonts w:ascii="Calibri" w:cs="Calibri" w:eastAsia="Calibri" w:hAnsi="Calibri"/>
          <w:b/>
          <w:bCs/>
          <w:color w:val="1F4E46"/>
          <w:sz w:val="22"/>
          <w:szCs w:val="22"/>
        </w:rPr>
        <w:t xml:space="preserve">3.</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What did a school board actually have to do to claim it, and what did they spend the money on?</w:t>
      </w:r>
    </w:p>
    <w:p>
      <w:pPr>
        <w:spacing w:after="120" w:before="60"/>
        <w:ind w:left="648" w:hanging="431"/>
      </w:pPr>
      <w:r>
        <w:rPr>
          <w:rFonts w:ascii="Calibri" w:cs="Calibri" w:eastAsia="Calibri" w:hAnsi="Calibri"/>
          <w:b/>
          <w:bCs/>
          <w:color w:val="1F4E46"/>
          <w:sz w:val="22"/>
          <w:szCs w:val="22"/>
        </w:rPr>
        <w:t xml:space="preserve">4.</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Did 2,500 euros change a school's decision, or did boards hire the person anyway and claim afterwards?</w:t>
      </w:r>
    </w:p>
    <w:p>
      <w:pPr>
        <w:spacing w:after="120" w:before="60"/>
        <w:ind w:left="648" w:hanging="431"/>
      </w:pPr>
      <w:r>
        <w:rPr>
          <w:rFonts w:ascii="Calibri" w:cs="Calibri" w:eastAsia="Calibri" w:hAnsi="Calibri"/>
          <w:b/>
          <w:bCs/>
          <w:color w:val="1F4E46"/>
          <w:sz w:val="22"/>
          <w:szCs w:val="22"/>
        </w:rPr>
        <w:t xml:space="preserve">5.</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Looking at the take-up, it seems that a good deal less of the money was used than was available. What was behind that?</w:t>
      </w:r>
    </w:p>
    <w:p>
      <w:pPr>
        <w:spacing w:after="120" w:before="60"/>
        <w:ind w:left="648" w:hanging="431"/>
      </w:pPr>
      <w:r>
        <w:rPr>
          <w:rFonts w:ascii="Calibri" w:cs="Calibri" w:eastAsia="Calibri" w:hAnsi="Calibri"/>
          <w:b/>
          <w:bCs/>
          <w:color w:val="1F4E46"/>
          <w:sz w:val="22"/>
          <w:szCs w:val="22"/>
        </w:rPr>
        <w:t xml:space="preserve">6.</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In 2019 the scheme was extended rather than dropped. What was the argument for extending it, and what changed afterwards?</w:t>
      </w:r>
    </w:p>
    <w:p>
      <w:pPr>
        <w:spacing w:after="120" w:before="60"/>
        <w:ind w:left="648" w:hanging="431"/>
      </w:pPr>
      <w:r>
        <w:rPr>
          <w:rFonts w:ascii="Calibri" w:cs="Calibri" w:eastAsia="Calibri" w:hAnsi="Calibri"/>
          <w:b/>
          <w:bCs/>
          <w:color w:val="1F4E46"/>
          <w:sz w:val="22"/>
          <w:szCs w:val="22"/>
        </w:rPr>
        <w:t xml:space="preserve">7.</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It ran out at the beginning of 2022 without being replaced by anything of the same kind, and the work moved into the regional partnerships. How did that decision come about?</w:t>
      </w:r>
    </w:p>
    <w:p>
      <w:pPr>
        <w:pStyle w:val="Heading2"/>
        <w:spacing w:after="120" w:before="320"/>
      </w:pPr>
      <w:r>
        <w:rPr>
          <w:rFonts w:ascii="Cambria" w:cs="Cambria" w:eastAsia="Cambria" w:hAnsi="Cambria"/>
          <w:b/>
          <w:bCs/>
          <w:color w:val="24313A"/>
          <w:sz w:val="26"/>
          <w:szCs w:val="26"/>
        </w:rPr>
        <w:t xml:space="preserve">The teachers</w:t>
      </w:r>
    </w:p>
    <w:p>
      <w:pPr>
        <w:spacing w:after="120" w:before="60"/>
        <w:ind w:left="648" w:hanging="431"/>
      </w:pPr>
      <w:r>
        <w:rPr>
          <w:rFonts w:ascii="Calibri" w:cs="Calibri" w:eastAsia="Calibri" w:hAnsi="Calibri"/>
          <w:b/>
          <w:bCs/>
          <w:color w:val="1F4E46"/>
          <w:sz w:val="22"/>
          <w:szCs w:val="22"/>
        </w:rPr>
        <w:t xml:space="preserve">8.</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Who are the herintreders, in your experience? We are aware the definition also covers people who qualified and never started.</w:t>
      </w:r>
    </w:p>
    <w:p>
      <w:pPr>
        <w:spacing w:after="120" w:before="60"/>
        <w:ind w:left="648" w:hanging="431"/>
      </w:pPr>
      <w:r>
        <w:rPr>
          <w:rFonts w:ascii="Calibri" w:cs="Calibri" w:eastAsia="Calibri" w:hAnsi="Calibri"/>
          <w:b/>
          <w:bCs/>
          <w:color w:val="1F4E46"/>
          <w:sz w:val="22"/>
          <w:szCs w:val="22"/>
        </w:rPr>
        <w:t xml:space="preserve">9.</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What do they say about why they left primary teaching, and about what makes coming back possible?</w:t>
      </w:r>
    </w:p>
    <w:p>
      <w:pPr>
        <w:spacing w:after="120" w:before="60"/>
        <w:ind w:left="648" w:hanging="431"/>
      </w:pPr>
      <w:r>
        <w:rPr>
          <w:rFonts w:ascii="Calibri" w:cs="Calibri" w:eastAsia="Calibri" w:hAnsi="Calibri"/>
          <w:b/>
          <w:bCs/>
          <w:color w:val="1F4E46"/>
          <w:sz w:val="22"/>
          <w:szCs w:val="22"/>
        </w:rPr>
        <w:t xml:space="preserve">10.</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A Dutch teaching qualification does not expire, so there is no re-licensing hurdle. Does that make returning easier than in other systems, or does it simply move the difficulty somewhere else?</w:t>
      </w:r>
    </w:p>
    <w:p>
      <w:pPr>
        <w:spacing w:after="120" w:before="60"/>
        <w:ind w:left="648" w:hanging="431"/>
      </w:pPr>
      <w:r>
        <w:rPr>
          <w:rFonts w:ascii="Calibri" w:cs="Calibri" w:eastAsia="Calibri" w:hAnsi="Calibri"/>
          <w:b/>
          <w:bCs/>
          <w:color w:val="1F4E46"/>
          <w:sz w:val="22"/>
          <w:szCs w:val="22"/>
        </w:rPr>
        <w:t xml:space="preserve">11.</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The number of returners in primary education has fallen over the last decade while the shortage has continued. How do you read that?</w:t>
      </w:r>
    </w:p>
    <w:p>
      <w:pPr>
        <w:pStyle w:val="Heading2"/>
        <w:spacing w:after="120" w:before="320"/>
      </w:pPr>
      <w:r>
        <w:rPr>
          <w:rFonts w:ascii="Cambria" w:cs="Cambria" w:eastAsia="Cambria" w:hAnsi="Cambria"/>
          <w:b/>
          <w:bCs/>
          <w:color w:val="24313A"/>
          <w:sz w:val="26"/>
          <w:szCs w:val="26"/>
        </w:rPr>
        <w:t xml:space="preserve">Results and what comes next</w:t>
      </w:r>
    </w:p>
    <w:p>
      <w:pPr>
        <w:spacing w:after="120" w:before="60"/>
        <w:ind w:left="648" w:hanging="431"/>
      </w:pPr>
      <w:r>
        <w:rPr>
          <w:rFonts w:ascii="Calibri" w:cs="Calibri" w:eastAsia="Calibri" w:hAnsi="Calibri"/>
          <w:b/>
          <w:bCs/>
          <w:color w:val="1F4E46"/>
          <w:sz w:val="22"/>
          <w:szCs w:val="22"/>
        </w:rPr>
        <w:t xml:space="preserve">12.</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Do you know whether the teachers who came back through the scheme stayed?</w:t>
      </w:r>
    </w:p>
    <w:p>
      <w:pPr>
        <w:spacing w:after="120" w:before="60"/>
        <w:ind w:left="648" w:hanging="431"/>
      </w:pPr>
      <w:r>
        <w:rPr>
          <w:rFonts w:ascii="Calibri" w:cs="Calibri" w:eastAsia="Calibri" w:hAnsi="Calibri"/>
          <w:b/>
          <w:bCs/>
          <w:color w:val="1F4E46"/>
          <w:sz w:val="22"/>
          <w:szCs w:val="22"/>
        </w:rPr>
        <w:t xml:space="preserve">13.</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Was it ever evaluated, and what would you say it taught you?</w:t>
      </w:r>
    </w:p>
    <w:p>
      <w:pPr>
        <w:spacing w:after="120" w:before="60"/>
        <w:ind w:left="648" w:hanging="431"/>
      </w:pPr>
      <w:r>
        <w:rPr>
          <w:rFonts w:ascii="Calibri" w:cs="Calibri" w:eastAsia="Calibri" w:hAnsi="Calibri"/>
          <w:b/>
          <w:bCs/>
          <w:color w:val="1F4E46"/>
          <w:sz w:val="22"/>
          <w:szCs w:val="22"/>
        </w:rPr>
        <w:t xml:space="preserve">14.</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The debate about the silent reserve now seems to be about whether that pool is really available, given how many are already working elsewhere. Where has the ministry landed?</w:t>
      </w:r>
    </w:p>
    <w:p>
      <w:pPr>
        <w:pStyle w:val="Heading2"/>
        <w:spacing w:after="120" w:before="320"/>
      </w:pPr>
      <w:r>
        <w:rPr>
          <w:rFonts w:ascii="Cambria" w:cs="Cambria" w:eastAsia="Cambria" w:hAnsi="Cambria"/>
          <w:b/>
          <w:bCs/>
          <w:color w:val="24313A"/>
          <w:sz w:val="26"/>
          <w:szCs w:val="26"/>
        </w:rPr>
        <w:t xml:space="preserve">Close</w:t>
      </w:r>
    </w:p>
    <w:p>
      <w:pPr>
        <w:spacing w:after="120" w:before="60"/>
        <w:ind w:left="648" w:hanging="431"/>
      </w:pPr>
      <w:r>
        <w:rPr>
          <w:rFonts w:ascii="Calibri" w:cs="Calibri" w:eastAsia="Calibri" w:hAnsi="Calibri"/>
          <w:b/>
          <w:bCs/>
          <w:color w:val="1F4E46"/>
          <w:sz w:val="22"/>
          <w:szCs w:val="22"/>
        </w:rPr>
        <w:t xml:space="preserve">15.</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Is there a colleague at the ministry, or at the agency that handled the applications, who followed the scheme closely and could speak to its experience and its results? We would be grateful if you could point us to them.</w:t>
      </w:r>
    </w:p>
    <w:p>
      <w:r>
        <w:br w:type="page"/>
      </w:r>
    </w:p>
    <w:p>
      <w:pPr>
        <w:pStyle w:val="Heading1"/>
        <w:spacing w:after="60" w:before="240"/>
      </w:pPr>
      <w:bookmarkStart w:name="sec6" w:id="1"/>
      <w:r>
        <w:rPr>
          <w:rFonts w:ascii="Cambria" w:cs="Cambria" w:eastAsia="Cambria" w:hAnsi="Cambria"/>
          <w:b/>
          <w:bCs/>
          <w:color w:val="1F4E46"/>
          <w:sz w:val="36"/>
          <w:szCs w:val="36"/>
        </w:rPr>
        <w:t xml:space="preserve">United States</w:t>
      </w:r>
      <w:bookmarkEnd w:id="1"/>
    </w:p>
    <w:p>
      <w:pPr>
        <w:pBdr>
          <w:bottom w:val="single" w:color="CFDCD5" w:sz="6" w:space="6"/>
        </w:pBdr>
        <w:spacing w:after="240" w:before="0"/>
      </w:pPr>
      <w:r>
        <w:rPr>
          <w:rFonts w:ascii="Calibri" w:cs="Calibri" w:eastAsia="Calibri" w:hAnsi="Calibri"/>
          <w:color w:val="B3542E"/>
          <w:sz w:val="24"/>
          <w:szCs w:val="24"/>
        </w:rPr>
        <w:t xml:space="preserve">State laws letting retired teachers return to work</w:t>
      </w:r>
    </w:p>
    <w:p>
      <w:pPr>
        <w:shd w:fill="F1F6F3" w:val="clear"/>
        <w:spacing w:after="120" w:before="120"/>
        <w:ind w:left="215" w:right="215"/>
      </w:pPr>
      <w:r>
        <w:rPr>
          <w:rFonts w:ascii="Calibri" w:cs="Calibri" w:eastAsia="Calibri" w:hAnsi="Calibri"/>
          <w:b/>
          <w:bCs/>
          <w:color w:val="24313A"/>
          <w:sz w:val="21"/>
          <w:szCs w:val="21"/>
        </w:rPr>
        <w:t xml:space="preserve">Who to ask for:</w:t>
      </w:r>
      <w:r>
        <w:rPr>
          <w:rFonts w:ascii="Calibri" w:cs="Calibri" w:eastAsia="Calibri" w:hAnsi="Calibri"/>
          <w:b w:val="false"/>
          <w:bCs w:val="false"/>
          <w:color w:val="24313A"/>
          <w:sz w:val="21"/>
          <w:szCs w:val="21"/>
        </w:rPr>
        <w:t xml:space="preserve"> in each state, two bodies rather than one — the teachers' retirement system, which administers the return and holds the records, and the department of education or the certification board, which controls the licence. That split is itself part of the story.</w:t>
      </w:r>
    </w:p>
    <w:p>
      <w:pPr>
        <w:shd w:fill="F1F6F3" w:val="clear"/>
        <w:spacing w:after="120" w:before="120"/>
        <w:ind w:left="215" w:right="215"/>
      </w:pPr>
      <w:r>
        <w:rPr>
          <w:rFonts w:ascii="Calibri" w:cs="Calibri" w:eastAsia="Calibri" w:hAnsi="Calibri"/>
          <w:b/>
          <w:bCs/>
          <w:color w:val="24313A"/>
          <w:sz w:val="21"/>
          <w:szCs w:val="21"/>
        </w:rPr>
        <w:t xml:space="preserve">What we already know, so we do not ask it.</w:t>
      </w:r>
      <w:r>
        <w:rPr>
          <w:rFonts w:ascii="Calibri" w:cs="Calibri" w:eastAsia="Calibri" w:hAnsi="Calibri"/>
          <w:b w:val="false"/>
          <w:bCs w:val="false"/>
          <w:color w:val="24313A"/>
          <w:sz w:val="21"/>
          <w:szCs w:val="21"/>
        </w:rPr>
        <w:t xml:space="preserve"> Almost every state lets a retired teacher come back under conditions, and the conditions are built from the same four levers: a waiting period before returning, a ceiling on earnings, a shortage designation that the district must establish, and a limit on how long the return may last. The states in our set have moved these levers in different directions and at different times: Michigan shortened the wait and removed the earnings ceiling afterwards, under a law that expires in 2028; Georgia opened full-time return only to teachers with thirty years of service in subjects a region had designated as highest-need, and its own audit found the measure had little effect; New Mexico lets a retiree draw pension and full salary with no earnings or hours cap, for a limited number of months, with each return approved by the retirement board; Louisiana removed the cut-off that had restricted its critical-shortage route to people who retired before 2020; North Carolina ran the most generous version of all between 1999 and 2009 and then let it lapse; Virginia went at the licence rather than the pension.</w:t>
      </w:r>
    </w:p>
    <w:p>
      <w:pPr>
        <w:pStyle w:val="Heading2"/>
        <w:spacing w:after="120" w:before="320"/>
      </w:pPr>
      <w:r>
        <w:rPr>
          <w:rFonts w:ascii="Cambria" w:cs="Cambria" w:eastAsia="Cambria" w:hAnsi="Cambria"/>
          <w:b/>
          <w:bCs/>
          <w:color w:val="24313A"/>
          <w:sz w:val="26"/>
          <w:szCs w:val="26"/>
        </w:rPr>
        <w:t xml:space="preserve">Questions for any of the states</w:t>
      </w:r>
    </w:p>
    <w:p>
      <w:pPr>
        <w:spacing w:after="120" w:before="120"/>
      </w:pPr>
      <w:r>
        <w:rPr>
          <w:rFonts w:ascii="Calibri" w:cs="Calibri" w:eastAsia="Calibri" w:hAnsi="Calibri"/>
          <w:b/>
          <w:bCs/>
          <w:color w:val="24313A"/>
          <w:sz w:val="22"/>
          <w:szCs w:val="22"/>
        </w:rPr>
        <w:t xml:space="preserve">Origin and design</w:t>
      </w:r>
    </w:p>
    <w:p>
      <w:pPr>
        <w:spacing w:after="120" w:before="60"/>
        <w:ind w:left="648" w:hanging="431"/>
      </w:pPr>
      <w:r>
        <w:rPr>
          <w:rFonts w:ascii="Calibri" w:cs="Calibri" w:eastAsia="Calibri" w:hAnsi="Calibri"/>
          <w:b/>
          <w:bCs/>
          <w:color w:val="1F4E46"/>
          <w:sz w:val="22"/>
          <w:szCs w:val="22"/>
        </w:rPr>
        <w:t xml:space="preserve">1.</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Could you tell us how this came about in your state, and what problem it was meant to solve?</w:t>
      </w:r>
    </w:p>
    <w:p>
      <w:pPr>
        <w:spacing w:after="120" w:before="60"/>
        <w:ind w:left="648" w:hanging="431"/>
      </w:pPr>
      <w:r>
        <w:rPr>
          <w:rFonts w:ascii="Calibri" w:cs="Calibri" w:eastAsia="Calibri" w:hAnsi="Calibri"/>
          <w:b/>
          <w:bCs/>
          <w:color w:val="1F4E46"/>
          <w:sz w:val="22"/>
          <w:szCs w:val="22"/>
        </w:rPr>
        <w:t xml:space="preserve">2.</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The rules in this area are built from a few levers — how long someone waits, how much they may earn, whether the district must show a shortage, how long the return may last. Which of those were argued over most, and why did they land where they did?</w:t>
      </w:r>
    </w:p>
    <w:p>
      <w:pPr>
        <w:spacing w:after="120" w:before="60"/>
        <w:ind w:left="648" w:hanging="431"/>
      </w:pPr>
      <w:r>
        <w:rPr>
          <w:rFonts w:ascii="Calibri" w:cs="Calibri" w:eastAsia="Calibri" w:hAnsi="Calibri"/>
          <w:b/>
          <w:bCs/>
          <w:color w:val="1F4E46"/>
          <w:sz w:val="22"/>
          <w:szCs w:val="22"/>
        </w:rPr>
        <w:t xml:space="preserve">3.</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Who had to be persuaded: the legislature, the retirement system, the districts, the unions?</w:t>
      </w:r>
    </w:p>
    <w:p>
      <w:pPr>
        <w:spacing w:after="120" w:before="120"/>
      </w:pPr>
      <w:r>
        <w:rPr>
          <w:rFonts w:ascii="Calibri" w:cs="Calibri" w:eastAsia="Calibri" w:hAnsi="Calibri"/>
          <w:b/>
          <w:bCs/>
          <w:color w:val="24313A"/>
          <w:sz w:val="22"/>
          <w:szCs w:val="22"/>
        </w:rPr>
        <w:t xml:space="preserve">How it works</w:t>
      </w:r>
    </w:p>
    <w:p>
      <w:pPr>
        <w:spacing w:after="120" w:before="60"/>
        <w:ind w:left="648" w:hanging="431"/>
      </w:pPr>
      <w:r>
        <w:rPr>
          <w:rFonts w:ascii="Calibri" w:cs="Calibri" w:eastAsia="Calibri" w:hAnsi="Calibri"/>
          <w:b/>
          <w:bCs/>
          <w:color w:val="1F4E46"/>
          <w:sz w:val="22"/>
          <w:szCs w:val="22"/>
        </w:rPr>
        <w:t xml:space="preserve">4.</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What does a retiree actually have to do to come back, and who decides whether they may?</w:t>
      </w:r>
    </w:p>
    <w:p>
      <w:pPr>
        <w:spacing w:after="120" w:before="60"/>
        <w:ind w:left="648" w:hanging="431"/>
      </w:pPr>
      <w:r>
        <w:rPr>
          <w:rFonts w:ascii="Calibri" w:cs="Calibri" w:eastAsia="Calibri" w:hAnsi="Calibri"/>
          <w:b/>
          <w:bCs/>
          <w:color w:val="1F4E46"/>
          <w:sz w:val="22"/>
          <w:szCs w:val="22"/>
        </w:rPr>
        <w:t xml:space="preserve">5.</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Where does the paperwork slow people down?</w:t>
      </w:r>
    </w:p>
    <w:p>
      <w:pPr>
        <w:spacing w:after="120" w:before="60"/>
        <w:ind w:left="648" w:hanging="431"/>
      </w:pPr>
      <w:r>
        <w:rPr>
          <w:rFonts w:ascii="Calibri" w:cs="Calibri" w:eastAsia="Calibri" w:hAnsi="Calibri"/>
          <w:b/>
          <w:bCs/>
          <w:color w:val="1F4E46"/>
          <w:sz w:val="22"/>
          <w:szCs w:val="22"/>
        </w:rPr>
        <w:t xml:space="preserve">6.</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Licensing sits with a different body from the pension. For someone whose certificate has lapsed, how much of an obstacle is that in practice, and does anyone own that part of the problem?</w:t>
      </w:r>
    </w:p>
    <w:p>
      <w:pPr>
        <w:spacing w:after="120" w:before="60"/>
        <w:ind w:left="648" w:hanging="431"/>
      </w:pPr>
      <w:r>
        <w:rPr>
          <w:rFonts w:ascii="Calibri" w:cs="Calibri" w:eastAsia="Calibri" w:hAnsi="Calibri"/>
          <w:b/>
          <w:bCs/>
          <w:color w:val="1F4E46"/>
          <w:sz w:val="22"/>
          <w:szCs w:val="22"/>
        </w:rPr>
        <w:t xml:space="preserve">7.</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What do districts have to demonstrate before they can hire a retiree, and is that test a real filter or a formality?</w:t>
      </w:r>
    </w:p>
    <w:p>
      <w:pPr>
        <w:spacing w:after="120" w:before="120"/>
      </w:pPr>
      <w:r>
        <w:rPr>
          <w:rFonts w:ascii="Calibri" w:cs="Calibri" w:eastAsia="Calibri" w:hAnsi="Calibri"/>
          <w:b/>
          <w:bCs/>
          <w:color w:val="24313A"/>
          <w:sz w:val="22"/>
          <w:szCs w:val="22"/>
        </w:rPr>
        <w:t xml:space="preserve">The teachers and the schools</w:t>
      </w:r>
    </w:p>
    <w:p>
      <w:pPr>
        <w:spacing w:after="120" w:before="60"/>
        <w:ind w:left="648" w:hanging="431"/>
      </w:pPr>
      <w:r>
        <w:rPr>
          <w:rFonts w:ascii="Calibri" w:cs="Calibri" w:eastAsia="Calibri" w:hAnsi="Calibri"/>
          <w:b/>
          <w:bCs/>
          <w:color w:val="1F4E46"/>
          <w:sz w:val="22"/>
          <w:szCs w:val="22"/>
        </w:rPr>
        <w:t xml:space="preserve">8.</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Who comes back, into what kind of posts, and in which schools? We are particularly interested in whether they end up where the shortage is worst.</w:t>
      </w:r>
    </w:p>
    <w:p>
      <w:pPr>
        <w:spacing w:after="120" w:before="60"/>
        <w:ind w:left="648" w:hanging="431"/>
      </w:pPr>
      <w:r>
        <w:rPr>
          <w:rFonts w:ascii="Calibri" w:cs="Calibri" w:eastAsia="Calibri" w:hAnsi="Calibri"/>
          <w:b/>
          <w:bCs/>
          <w:color w:val="1F4E46"/>
          <w:sz w:val="22"/>
          <w:szCs w:val="22"/>
        </w:rPr>
        <w:t xml:space="preserve">9.</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What do retirees say when they decide not to come back?</w:t>
      </w:r>
    </w:p>
    <w:p>
      <w:pPr>
        <w:spacing w:after="120" w:before="60"/>
        <w:ind w:left="648" w:hanging="431"/>
      </w:pPr>
      <w:r>
        <w:rPr>
          <w:rFonts w:ascii="Calibri" w:cs="Calibri" w:eastAsia="Calibri" w:hAnsi="Calibri"/>
          <w:b/>
          <w:bCs/>
          <w:color w:val="1F4E46"/>
          <w:sz w:val="22"/>
          <w:szCs w:val="22"/>
        </w:rPr>
        <w:t xml:space="preserve">10.</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Is there a concern that returning retirees take positions that would otherwise go to teachers starting out — and has anyone looked at whether that happens?</w:t>
      </w:r>
    </w:p>
    <w:p>
      <w:pPr>
        <w:spacing w:after="120" w:before="120"/>
      </w:pPr>
      <w:r>
        <w:rPr>
          <w:rFonts w:ascii="Calibri" w:cs="Calibri" w:eastAsia="Calibri" w:hAnsi="Calibri"/>
          <w:b/>
          <w:bCs/>
          <w:color w:val="24313A"/>
          <w:sz w:val="22"/>
          <w:szCs w:val="22"/>
        </w:rPr>
        <w:t xml:space="preserve">Results and what comes next</w:t>
      </w:r>
    </w:p>
    <w:p>
      <w:pPr>
        <w:spacing w:after="120" w:before="60"/>
        <w:ind w:left="648" w:hanging="431"/>
      </w:pPr>
      <w:r>
        <w:rPr>
          <w:rFonts w:ascii="Calibri" w:cs="Calibri" w:eastAsia="Calibri" w:hAnsi="Calibri"/>
          <w:b/>
          <w:bCs/>
          <w:color w:val="1F4E46"/>
          <w:sz w:val="22"/>
          <w:szCs w:val="22"/>
        </w:rPr>
        <w:t xml:space="preserve">11.</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How many have returned, and how do you count them? We have found it hard to get a figure that means the same thing from one state to the next.</w:t>
      </w:r>
    </w:p>
    <w:p>
      <w:pPr>
        <w:spacing w:after="120" w:before="60"/>
        <w:ind w:left="648" w:hanging="431"/>
      </w:pPr>
      <w:r>
        <w:rPr>
          <w:rFonts w:ascii="Calibri" w:cs="Calibri" w:eastAsia="Calibri" w:hAnsi="Calibri"/>
          <w:b/>
          <w:bCs/>
          <w:color w:val="1F4E46"/>
          <w:sz w:val="22"/>
          <w:szCs w:val="22"/>
        </w:rPr>
        <w:t xml:space="preserve">12.</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What has it cost the retirement system, and how is that judged?</w:t>
      </w:r>
    </w:p>
    <w:p>
      <w:pPr>
        <w:spacing w:after="120" w:before="60"/>
        <w:ind w:left="648" w:hanging="431"/>
      </w:pPr>
      <w:r>
        <w:rPr>
          <w:rFonts w:ascii="Calibri" w:cs="Calibri" w:eastAsia="Calibri" w:hAnsi="Calibri"/>
          <w:b/>
          <w:bCs/>
          <w:color w:val="1F4E46"/>
          <w:sz w:val="22"/>
          <w:szCs w:val="22"/>
        </w:rPr>
        <w:t xml:space="preserve">13.</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Has the measure been evaluated or audited, and what did that conclude?</w:t>
      </w:r>
    </w:p>
    <w:p>
      <w:pPr>
        <w:spacing w:after="120" w:before="60"/>
        <w:ind w:left="648" w:hanging="431"/>
      </w:pPr>
      <w:r>
        <w:rPr>
          <w:rFonts w:ascii="Calibri" w:cs="Calibri" w:eastAsia="Calibri" w:hAnsi="Calibri"/>
          <w:b/>
          <w:bCs/>
          <w:color w:val="1F4E46"/>
          <w:sz w:val="22"/>
          <w:szCs w:val="22"/>
        </w:rPr>
        <w:t xml:space="preserve">14.</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Several of these laws have an expiry date. What will decide whether yours is kept, and what would you want to know before that decision?</w:t>
      </w:r>
    </w:p>
    <w:p>
      <w:pPr>
        <w:spacing w:after="120" w:before="60"/>
        <w:ind w:left="648" w:hanging="431"/>
      </w:pPr>
      <w:r>
        <w:rPr>
          <w:rFonts w:ascii="Calibri" w:cs="Calibri" w:eastAsia="Calibri" w:hAnsi="Calibri"/>
          <w:b/>
          <w:bCs/>
          <w:color w:val="1F4E46"/>
          <w:sz w:val="22"/>
          <w:szCs w:val="22"/>
        </w:rPr>
        <w:t xml:space="preserve">15.</w:t>
      </w:r>
      <w:r>
        <w:rPr>
          <w:rFonts w:ascii="Calibri" w:cs="Calibri" w:eastAsia="Calibri" w:hAnsi="Calibri"/>
          <w:sz w:val="22"/>
          <w:szCs w:val="22"/>
        </w:rPr>
        <w:t xml:space="preserve">	</w:t>
      </w:r>
      <w:r>
        <w:rPr>
          <w:rFonts w:ascii="Calibri" w:cs="Calibri" w:eastAsia="Calibri" w:hAnsi="Calibri"/>
          <w:b w:val="false"/>
          <w:bCs w:val="false"/>
          <w:color w:val="24313A"/>
          <w:sz w:val="22"/>
          <w:szCs w:val="22"/>
        </w:rPr>
        <w:t xml:space="preserve">If you were advising another state, what would you tell them to do differently?</w:t>
      </w:r>
    </w:p>
    <w:p>
      <w:pPr>
        <w:pStyle w:val="Heading2"/>
        <w:spacing w:after="120" w:before="320"/>
      </w:pPr>
      <w:r>
        <w:rPr>
          <w:rFonts w:ascii="Cambria" w:cs="Cambria" w:eastAsia="Cambria" w:hAnsi="Cambria"/>
          <w:b/>
          <w:bCs/>
          <w:color w:val="24313A"/>
          <w:sz w:val="26"/>
          <w:szCs w:val="26"/>
        </w:rPr>
        <w:t xml:space="preserve">State-specific follow-ups</w:t>
      </w:r>
    </w:p>
    <w:p>
      <w:pPr>
        <w:spacing w:after="120" w:before="120"/>
      </w:pPr>
      <w:r>
        <w:rPr>
          <w:rFonts w:ascii="Calibri" w:cs="Calibri" w:eastAsia="Calibri" w:hAnsi="Calibri"/>
          <w:b/>
          <w:bCs/>
          <w:color w:val="24313A"/>
          <w:sz w:val="22"/>
          <w:szCs w:val="22"/>
        </w:rPr>
        <w:t xml:space="preserve">Michigan</w:t>
      </w:r>
      <w:r>
        <w:rPr>
          <w:rFonts w:ascii="Calibri" w:cs="Calibri" w:eastAsia="Calibri" w:hAnsi="Calibri"/>
          <w:b w:val="false"/>
          <w:bCs w:val="false"/>
          <w:color w:val="24313A"/>
          <w:sz w:val="22"/>
          <w:szCs w:val="22"/>
        </w:rPr>
        <w:t xml:space="preserve"> — the waiting period was shortened and the earnings ceiling after it removed, with the law running to October 2028. How did that change behaviour, is the six-month wait still what holds people back, and what will the decision to extend turn on? How does the requirement of a genuine separation from the employer work in practice, given that it also reaches people hired through an agency?</w:t>
      </w:r>
    </w:p>
    <w:p>
      <w:pPr>
        <w:spacing w:after="120" w:before="120"/>
      </w:pPr>
      <w:r>
        <w:rPr>
          <w:rFonts w:ascii="Calibri" w:cs="Calibri" w:eastAsia="Calibri" w:hAnsi="Calibri"/>
          <w:b/>
          <w:bCs/>
          <w:color w:val="24313A"/>
          <w:sz w:val="22"/>
          <w:szCs w:val="22"/>
        </w:rPr>
        <w:t xml:space="preserve">Georgia</w:t>
      </w:r>
      <w:r>
        <w:rPr>
          <w:rFonts w:ascii="Calibri" w:cs="Calibri" w:eastAsia="Calibri" w:hAnsi="Calibri"/>
          <w:b w:val="false"/>
          <w:bCs w:val="false"/>
          <w:color w:val="24313A"/>
          <w:sz w:val="22"/>
          <w:szCs w:val="22"/>
        </w:rPr>
        <w:t xml:space="preserve"> — the state audit found that only a few hundred teachers a year came back, and that the one-year wait, more than the pay rules, was what put people off. The legislature has since widened eligibility and extended the measure, but we understand the one-year wait for full-time return stayed. Could you tell us how that was decided? And how did regions actually designate the highest-need subjects that the original law required?</w:t>
      </w:r>
    </w:p>
    <w:p>
      <w:pPr>
        <w:spacing w:after="120" w:before="120"/>
      </w:pPr>
      <w:r>
        <w:rPr>
          <w:rFonts w:ascii="Calibri" w:cs="Calibri" w:eastAsia="Calibri" w:hAnsi="Calibri"/>
          <w:b/>
          <w:bCs/>
          <w:color w:val="24313A"/>
          <w:sz w:val="22"/>
          <w:szCs w:val="22"/>
        </w:rPr>
        <w:t xml:space="preserve">New Mexico</w:t>
      </w:r>
      <w:r>
        <w:rPr>
          <w:rFonts w:ascii="Calibri" w:cs="Calibri" w:eastAsia="Calibri" w:hAnsi="Calibri"/>
          <w:b w:val="false"/>
          <w:bCs w:val="false"/>
          <w:color w:val="24313A"/>
          <w:sz w:val="22"/>
          <w:szCs w:val="22"/>
        </w:rPr>
        <w:t xml:space="preserve"> — every return goes through the retirement board. What does that approval consist of, how many have been approved, and what does the board see that nobody else does? What happens to a teacher when the months allowed run out?</w:t>
      </w:r>
    </w:p>
    <w:p>
      <w:pPr>
        <w:spacing w:after="120" w:before="120"/>
      </w:pPr>
      <w:r>
        <w:rPr>
          <w:rFonts w:ascii="Calibri" w:cs="Calibri" w:eastAsia="Calibri" w:hAnsi="Calibri"/>
          <w:b/>
          <w:bCs/>
          <w:color w:val="24313A"/>
          <w:sz w:val="22"/>
          <w:szCs w:val="22"/>
        </w:rPr>
        <w:t xml:space="preserve">Louisiana</w:t>
      </w:r>
      <w:r>
        <w:rPr>
          <w:rFonts w:ascii="Calibri" w:cs="Calibri" w:eastAsia="Calibri" w:hAnsi="Calibri"/>
          <w:b w:val="false"/>
          <w:bCs w:val="false"/>
          <w:color w:val="24313A"/>
          <w:sz w:val="22"/>
          <w:szCs w:val="22"/>
        </w:rPr>
        <w:t xml:space="preserve"> — the change that opened the critical-shortage route to everyone, regardless of when they retired, looks small on paper and large in effect. What did it change? And what does a district have to do to certify a shortage?</w:t>
      </w:r>
    </w:p>
    <w:p>
      <w:pPr>
        <w:spacing w:after="120" w:before="120"/>
      </w:pPr>
      <w:r>
        <w:rPr>
          <w:rFonts w:ascii="Calibri" w:cs="Calibri" w:eastAsia="Calibri" w:hAnsi="Calibri"/>
          <w:b/>
          <w:bCs/>
          <w:color w:val="24313A"/>
          <w:sz w:val="22"/>
          <w:szCs w:val="22"/>
        </w:rPr>
        <w:t xml:space="preserve">North Carolina</w:t>
      </w:r>
      <w:r>
        <w:rPr>
          <w:rFonts w:ascii="Calibri" w:cs="Calibri" w:eastAsia="Calibri" w:hAnsi="Calibri"/>
          <w:b w:val="false"/>
          <w:bCs w:val="false"/>
          <w:color w:val="24313A"/>
          <w:sz w:val="22"/>
          <w:szCs w:val="22"/>
        </w:rPr>
        <w:t xml:space="preserve"> — the policy of 1999 to 2009 is the one case with published research behind it, and the finding is that returning retirees went disproportionately to high-need schools. Why was it allowed to lapse, and what would it take to revisit it?</w:t>
      </w:r>
    </w:p>
    <w:p>
      <w:pPr>
        <w:spacing w:after="120" w:before="120"/>
      </w:pPr>
      <w:r>
        <w:rPr>
          <w:rFonts w:ascii="Calibri" w:cs="Calibri" w:eastAsia="Calibri" w:hAnsi="Calibri"/>
          <w:b/>
          <w:bCs/>
          <w:color w:val="24313A"/>
          <w:sz w:val="22"/>
          <w:szCs w:val="22"/>
        </w:rPr>
        <w:t xml:space="preserve">Virginia</w:t>
      </w:r>
      <w:r>
        <w:rPr>
          <w:rFonts w:ascii="Calibri" w:cs="Calibri" w:eastAsia="Calibri" w:hAnsi="Calibri"/>
          <w:b w:val="false"/>
          <w:bCs w:val="false"/>
          <w:color w:val="24313A"/>
          <w:sz w:val="22"/>
          <w:szCs w:val="22"/>
        </w:rPr>
        <w:t xml:space="preserve"> — yours is the one case in our set that went at the licence rather than the pension. What did that change for retirees specifically, and where do things stand now?</w:t>
      </w:r>
    </w:p>
    <w:p>
      <w:pPr>
        <w:shd w:fill="F1F6F3" w:val="clear"/>
        <w:spacing w:after="120" w:before="120"/>
        <w:ind w:left="215" w:right="215"/>
      </w:pPr>
      <w:r>
        <w:rPr>
          <w:rFonts w:ascii="Calibri" w:cs="Calibri" w:eastAsia="Calibri" w:hAnsi="Calibri"/>
          <w:b/>
          <w:bCs/>
          <w:color w:val="24313A"/>
          <w:sz w:val="21"/>
          <w:szCs w:val="21"/>
        </w:rPr>
        <w:t xml:space="preserve">Note for the interviewer.</w:t>
      </w:r>
      <w:r>
        <w:rPr>
          <w:rFonts w:ascii="Calibri" w:cs="Calibri" w:eastAsia="Calibri" w:hAnsi="Calibri"/>
          <w:b w:val="false"/>
          <w:bCs w:val="false"/>
          <w:color w:val="24313A"/>
          <w:sz w:val="21"/>
          <w:szCs w:val="21"/>
        </w:rPr>
        <w:t xml:space="preserve"> These state summaries were assembled from retirement-system and legislature sources that we could read only in part. Before sending, check the current rules in the state concerned — several were amended in 2025 and 2026 — and treat anything in the state-specific section as a question rather than a statement.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A6A72"/>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4313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Re-attracting Former Teachers — Interview scripts</dc:title>
  <dc:creator>José Manuel Torres, José Elías Durán Roa</dc:creator>
  <cp:lastModifiedBy>Un-named</cp:lastModifiedBy>
  <cp:revision>1</cp:revision>
  <dcterms:created xsi:type="dcterms:W3CDTF">2026-09-18T14:46:54.637Z</dcterms:created>
  <dcterms:modified xsi:type="dcterms:W3CDTF">2026-09-18T14:46:54.638Z</dcterms:modified>
</cp:coreProperties>
</file>

<file path=docProps/custom.xml><?xml version="1.0" encoding="utf-8"?>
<Properties xmlns="http://schemas.openxmlformats.org/officeDocument/2006/custom-properties" xmlns:vt="http://schemas.openxmlformats.org/officeDocument/2006/docPropsVTypes"/>
</file>