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Garamond" w:cs="Garamond" w:eastAsia="Garamond" w:hAnsi="Garamond"/>
          <w:b/>
          <w:bCs/>
          <w:color w:val="1A2430"/>
          <w:sz w:val="32"/>
          <w:szCs w:val="32"/>
        </w:rPr>
        <w:t xml:space="preserve">Who Leaves Teaching, and Who Comes Back?</w:t>
      </w:r>
    </w:p>
    <w:p>
      <w:pPr>
        <w:spacing w:after="160"/>
        <w:jc w:val="center"/>
      </w:pPr>
      <w:r>
        <w:rPr>
          <w:rFonts w:ascii="Garamond" w:cs="Garamond" w:eastAsia="Garamond" w:hAnsi="Garamond"/>
          <w:i/>
          <w:iCs/>
          <w:color w:val="5A6572"/>
          <w:sz w:val="23"/>
          <w:szCs w:val="23"/>
        </w:rPr>
        <w:t xml:space="preserve">A harmonized cross-country anatomy of teacher attrition in the Comparative Panel File</w:t>
      </w:r>
    </w:p>
    <w:p>
      <w:pPr>
        <w:spacing w:after="120"/>
        <w:jc w:val="center"/>
      </w:pPr>
      <w:r>
        <w:rPr>
          <w:rFonts w:ascii="Garamond" w:cs="Garamond" w:eastAsia="Garamond" w:hAnsi="Garamond"/>
          <w:color w:val="1A2430"/>
          <w:sz w:val="22"/>
          <w:szCs w:val="22"/>
        </w:rPr>
        <w:t xml:space="preserve">José Elías Durán Roa</w:t>
      </w:r>
      <w:r>
        <w:rPr>
          <w:rFonts w:ascii="Garamond" w:cs="Garamond" w:eastAsia="Garamond" w:hAnsi="Garamond"/>
          <w:color w:val="5A6572"/>
          <w:sz w:val="19"/>
          <w:szCs w:val="19"/>
        </w:rPr>
        <w:t xml:space="preserve">      University of Alicante and OECD      July 2026</w:t>
      </w:r>
    </w:p>
    <w:p>
      <w:pPr>
        <w:spacing w:after="80" w:before="220"/>
      </w:pPr>
      <w:r>
        <w:rPr>
          <w:rFonts w:ascii="Garamond" w:cs="Garamond" w:eastAsia="Garamond" w:hAnsi="Garamond"/>
          <w:b w:val="false"/>
          <w:bCs w:val="false"/>
          <w:smallCaps/>
          <w:color w:val="2A5DB0"/>
          <w:spacing w:val="24"/>
          <w:sz w:val="21"/>
          <w:szCs w:val="21"/>
        </w:rPr>
        <w:t xml:space="preserve">The problem</w:t>
      </w:r>
    </w:p>
    <w:p>
      <w:pPr>
        <w:spacing w:after="60" w:line="300" w:lineRule="auto"/>
        <w:jc w:val="both"/>
      </w:pPr>
      <w:r>
        <w:rPr>
          <w:rFonts w:ascii="Garamond" w:cs="Garamond" w:eastAsia="Garamond" w:hAnsi="Garamond"/>
          <w:color w:val="1A2430"/>
          <w:sz w:val="22"/>
          <w:szCs w:val="22"/>
        </w:rPr>
        <w:t xml:space="preserve">Almost everything known about teacher attrition is single-country and single-source. Administrative registers measure the level well but stop at the school door: few personal characteristics, rarely a destination, never a return </w:t>
      </w:r>
      <w:r>
        <w:rPr>
          <w:rFonts w:ascii="Garamond" w:cs="Garamond" w:eastAsia="Garamond" w:hAnsi="Garamond"/>
          <w:color w:val="2A5DB0"/>
          <w:sz w:val="22"/>
          <w:szCs w:val="22"/>
        </w:rPr>
        <w:t xml:space="preserve">(DfE 2025; BFS 2022)</w:t>
      </w:r>
      <w:r>
        <w:rPr>
          <w:rFonts w:ascii="Garamond" w:cs="Garamond" w:eastAsia="Garamond" w:hAnsi="Garamond"/>
          <w:color w:val="1A2430"/>
          <w:sz w:val="22"/>
          <w:szCs w:val="22"/>
        </w:rPr>
        <w:t xml:space="preserve">. Follow-up surveys are richer but run only every four to five years, under restricted-use licenses </w:t>
      </w:r>
      <w:r>
        <w:rPr>
          <w:rFonts w:ascii="Garamond" w:cs="Garamond" w:eastAsia="Garamond" w:hAnsi="Garamond"/>
          <w:color w:val="2A5DB0"/>
          <w:sz w:val="22"/>
          <w:szCs w:val="22"/>
        </w:rPr>
        <w:t xml:space="preserve">(Goldring, Taie and Riddles 2014; NCES 2024)</w:t>
      </w:r>
      <w:r>
        <w:rPr>
          <w:rFonts w:ascii="Garamond" w:cs="Garamond" w:eastAsia="Garamond" w:hAnsi="Garamond"/>
          <w:color w:val="1A2430"/>
          <w:sz w:val="22"/>
          <w:szCs w:val="22"/>
        </w:rPr>
        <w:t xml:space="preserve">. And countries publish different objects entirely: school separations, sector exits, profession exits, voluntary quits.</w:t>
      </w:r>
    </w:p>
    <w:p>
      <w:pPr>
        <w:spacing w:after="80" w:before="220"/>
      </w:pPr>
      <w:r>
        <w:rPr>
          <w:rFonts w:ascii="Garamond" w:cs="Garamond" w:eastAsia="Garamond" w:hAnsi="Garamond"/>
          <w:b w:val="false"/>
          <w:bCs w:val="false"/>
          <w:smallCaps/>
          <w:color w:val="2A5DB0"/>
          <w:spacing w:val="24"/>
          <w:sz w:val="21"/>
          <w:szCs w:val="21"/>
        </w:rPr>
        <w:t xml:space="preserve">The proposal</w:t>
      </w:r>
    </w:p>
    <w:p>
      <w:pPr>
        <w:spacing w:after="60" w:line="300" w:lineRule="auto"/>
        <w:jc w:val="both"/>
      </w:pPr>
      <w:r>
        <w:rPr>
          <w:rFonts w:ascii="Garamond" w:cs="Garamond" w:eastAsia="Garamond" w:hAnsi="Garamond"/>
          <w:color w:val="1A2430"/>
          <w:sz w:val="22"/>
          <w:szCs w:val="22"/>
        </w:rPr>
        <w:t xml:space="preserve">The first cross-country characterization of the profile of teachers who leave the profession, and of those who return, using the Comparative Panel File </w:t>
      </w:r>
      <w:r>
        <w:rPr>
          <w:rFonts w:ascii="Garamond" w:cs="Garamond" w:eastAsia="Garamond" w:hAnsi="Garamond"/>
          <w:color w:val="2A5DB0"/>
          <w:sz w:val="22"/>
          <w:szCs w:val="22"/>
        </w:rPr>
        <w:t xml:space="preserve">(Turek, Kalmijn and Leopold 2021)</w:t>
      </w:r>
      <w:r>
        <w:rPr>
          <w:rFonts w:ascii="Garamond" w:cs="Garamond" w:eastAsia="Garamond" w:hAnsi="Garamond"/>
          <w:color w:val="1A2430"/>
          <w:sz w:val="22"/>
          <w:szCs w:val="22"/>
        </w:rPr>
        <w:t xml:space="preserve">: seven harmonized household panels — PSID, Understanding Society, SOEP, HILDA, KLIPS, RLMS-HSE, SHP. Panels are the only design that observes exit and re-entry together with the life running alongside them — partnership, births, spousal earnings, health, satisfaction, pay. That is what registers lack, and what turns a rate into a profile.</w:t>
      </w:r>
    </w:p>
    <w:p>
      <w:pPr>
        <w:spacing w:after="80" w:before="220"/>
      </w:pPr>
      <w:r>
        <w:rPr>
          <w:rFonts w:ascii="Garamond" w:cs="Garamond" w:eastAsia="Garamond" w:hAnsi="Garamond"/>
          <w:b w:val="false"/>
          <w:bCs w:val="false"/>
          <w:smallCaps/>
          <w:color w:val="2A5DB0"/>
          <w:spacing w:val="24"/>
          <w:sz w:val="21"/>
          <w:szCs w:val="21"/>
        </w:rPr>
        <w:t xml:space="preserve">The contribution</w:t>
      </w:r>
    </w:p>
    <w:p>
      <w:pPr>
        <w:spacing w:after="60" w:line="300" w:lineRule="auto"/>
        <w:jc w:val="both"/>
      </w:pPr>
      <w:r>
        <w:rPr>
          <w:rFonts w:ascii="Garamond" w:cs="Garamond" w:eastAsia="Garamond" w:hAnsi="Garamond"/>
          <w:color w:val="1A2430"/>
          <w:sz w:val="22"/>
          <w:szCs w:val="22"/>
        </w:rPr>
        <w:t xml:space="preserve">Three deliverables no existing study provides: pooled leaving and return rates per country under one definition, decomposed by route; harmonized profiles of leavers and returners, estimable because the CPF codes age, sex, family events, pay and health identically everywhere; and institutional heterogeneity — attrition runs from about 2 percent in Korea to 9 percent in England and scales inversely with civil-service protection, so the same rate can hide very different people. The literature is administrative and single-country </w:t>
      </w:r>
      <w:r>
        <w:rPr>
          <w:rFonts w:ascii="Garamond" w:cs="Garamond" w:eastAsia="Garamond" w:hAnsi="Garamond"/>
          <w:color w:val="2A5DB0"/>
          <w:sz w:val="22"/>
          <w:szCs w:val="22"/>
        </w:rPr>
        <w:t xml:space="preserve">(Buckley and Griselda 2025; Goldhaber and Theobald 2022)</w:t>
      </w:r>
      <w:r>
        <w:rPr>
          <w:rFonts w:ascii="Garamond" w:cs="Garamond" w:eastAsia="Garamond" w:hAnsi="Garamond"/>
          <w:color w:val="1A2430"/>
          <w:sz w:val="22"/>
          <w:szCs w:val="22"/>
        </w:rPr>
        <w:t xml:space="preserve">, U.S. cross-sectional </w:t>
      </w:r>
      <w:r>
        <w:rPr>
          <w:rFonts w:ascii="Garamond" w:cs="Garamond" w:eastAsia="Garamond" w:hAnsi="Garamond"/>
          <w:color w:val="2A5DB0"/>
          <w:sz w:val="22"/>
          <w:szCs w:val="22"/>
        </w:rPr>
        <w:t xml:space="preserve">(Harris and Adams 2007; Aldeman and Yi 2025)</w:t>
      </w:r>
      <w:r>
        <w:rPr>
          <w:rFonts w:ascii="Garamond" w:cs="Garamond" w:eastAsia="Garamond" w:hAnsi="Garamond"/>
          <w:color w:val="1A2430"/>
          <w:sz w:val="22"/>
          <w:szCs w:val="22"/>
        </w:rPr>
        <w:t xml:space="preserve">, or single-country panel </w:t>
      </w:r>
      <w:r>
        <w:rPr>
          <w:rFonts w:ascii="Garamond" w:cs="Garamond" w:eastAsia="Garamond" w:hAnsi="Garamond"/>
          <w:color w:val="2A5DB0"/>
          <w:sz w:val="22"/>
          <w:szCs w:val="22"/>
        </w:rPr>
        <w:t xml:space="preserve">(Hillary, Andrade and Worth 2018; Cuervo and Vera-Toscano 2025)</w:t>
      </w:r>
      <w:r>
        <w:rPr>
          <w:rFonts w:ascii="Garamond" w:cs="Garamond" w:eastAsia="Garamond" w:hAnsi="Garamond"/>
          <w:color w:val="1A2430"/>
          <w:sz w:val="22"/>
          <w:szCs w:val="22"/>
        </w:rPr>
        <w:t xml:space="preserve">. Nobody has put the seven panels side by side.</w:t>
      </w:r>
    </w:p>
    <w:p>
      <w:pPr>
        <w:spacing w:after="80" w:before="220"/>
      </w:pPr>
      <w:r>
        <w:rPr>
          <w:rFonts w:ascii="Garamond" w:cs="Garamond" w:eastAsia="Garamond" w:hAnsi="Garamond"/>
          <w:b w:val="false"/>
          <w:bCs w:val="false"/>
          <w:smallCaps/>
          <w:color w:val="2A5DB0"/>
          <w:spacing w:val="24"/>
          <w:sz w:val="21"/>
          <w:szCs w:val="21"/>
        </w:rPr>
        <w:t xml:space="preserve">Feasibility and design</w:t>
      </w:r>
    </w:p>
    <w:p>
      <w:pPr>
        <w:spacing w:after="60" w:line="300" w:lineRule="auto"/>
        <w:jc w:val="both"/>
      </w:pPr>
      <w:r>
        <w:rPr>
          <w:rFonts w:ascii="Garamond" w:cs="Garamond" w:eastAsia="Garamond" w:hAnsi="Garamond"/>
          <w:color w:val="1A2430"/>
          <w:sz w:val="22"/>
          <w:szCs w:val="22"/>
        </w:rPr>
        <w:t xml:space="preserve">Pooling 20–30 waves yields roughly 3,000 (KLIPS, SHP) to 25,000 (SOEP, UKHLS, HILDA) teacher-year observations per country; an 8 percent exit rate on 3,000 observations carries a standard error of half a point — ample for profiles, honest about ruling out annual series in the small panels. The known risk, occupation-coding churn that inflates panel-based exit to double the administrative benchmark </w:t>
      </w:r>
      <w:r>
        <w:rPr>
          <w:rFonts w:ascii="Garamond" w:cs="Garamond" w:eastAsia="Garamond" w:hAnsi="Garamond"/>
          <w:color w:val="2A5DB0"/>
          <w:sz w:val="22"/>
          <w:szCs w:val="22"/>
        </w:rPr>
        <w:t xml:space="preserve">(Buckley and Griselda 2025)</w:t>
      </w:r>
      <w:r>
        <w:rPr>
          <w:rFonts w:ascii="Garamond" w:cs="Garamond" w:eastAsia="Garamond" w:hAnsi="Garamond"/>
          <w:color w:val="1A2430"/>
          <w:sz w:val="22"/>
          <w:szCs w:val="22"/>
        </w:rPr>
        <w:t xml:space="preserve">, is met four ways: requiring an employer change alongside the occupation change, dependent-interviewing flags (SOEP, UKHLS), netting out re-entries, and validating each country against a compiled set of twenty-five administrative benchmarks.</w:t>
      </w:r>
    </w:p>
    <w:p>
      <w:pPr>
        <w:spacing w:after="80" w:before="220"/>
      </w:pPr>
      <w:r>
        <w:rPr>
          <w:rFonts w:ascii="Garamond" w:cs="Garamond" w:eastAsia="Garamond" w:hAnsi="Garamond"/>
          <w:b w:val="false"/>
          <w:bCs w:val="false"/>
          <w:smallCaps/>
          <w:color w:val="2A5DB0"/>
          <w:spacing w:val="24"/>
          <w:sz w:val="21"/>
          <w:szCs w:val="21"/>
        </w:rPr>
        <w:t xml:space="preserve">Data access</w:t>
      </w:r>
    </w:p>
    <w:p>
      <w:pPr>
        <w:spacing w:after="60" w:line="300" w:lineRule="auto"/>
        <w:jc w:val="both"/>
      </w:pPr>
      <w:r>
        <w:rPr>
          <w:rFonts w:ascii="Garamond" w:cs="Garamond" w:eastAsia="Garamond" w:hAnsi="Garamond"/>
          <w:color w:val="1A2430"/>
          <w:sz w:val="22"/>
          <w:szCs w:val="22"/>
        </w:rPr>
        <w:t xml:space="preserve">All seven panels are available at no or nominal cost through standard research applications — open registration (PSID, RLMS-HSE), the UK Data Service, a DIW contract (SOEP), the Australian Data Archive (HILDA), the Korea Labor Institute (KLIPS), FORS/SWISSUbase (SHP) — and the CPF harmonization code is open source. No restricted-use license is required at any point; the entire exercise is replicable.</w:t>
      </w:r>
    </w:p>
    <w:p>
      <w:r>
        <w:br w:type="page"/>
      </w:r>
    </w:p>
    <w:p>
      <w:pPr>
        <w:spacing w:after="220"/>
        <w:jc w:val="center"/>
      </w:pPr>
      <w:r>
        <w:rPr>
          <w:rFonts w:ascii="Garamond" w:cs="Garamond" w:eastAsia="Garamond" w:hAnsi="Garamond"/>
          <w:b/>
          <w:bCs/>
          <w:color w:val="1A2430"/>
          <w:sz w:val="26"/>
          <w:szCs w:val="26"/>
        </w:rPr>
        <w:t xml:space="preserve">References</w:t>
      </w:r>
    </w:p>
    <w:p>
      <w:pPr>
        <w:spacing w:after="120" w:line="276" w:lineRule="auto"/>
        <w:ind w:left="420" w:hanging="420"/>
      </w:pPr>
      <w:r>
        <w:rPr>
          <w:rFonts w:ascii="Garamond" w:cs="Garamond" w:eastAsia="Garamond" w:hAnsi="Garamond"/>
          <w:color w:val="1A2430"/>
          <w:sz w:val="20"/>
          <w:szCs w:val="20"/>
        </w:rPr>
        <w:t xml:space="preserve">Aldeman, C., and S. Yi (2025). “Are Teachers Abandoning Their Profession in Large Numbers?” Education Next.</w:t>
      </w:r>
    </w:p>
    <w:p>
      <w:pPr>
        <w:spacing w:after="120" w:line="276" w:lineRule="auto"/>
        <w:ind w:left="420" w:hanging="420"/>
      </w:pPr>
      <w:r>
        <w:rPr>
          <w:rFonts w:ascii="Garamond" w:cs="Garamond" w:eastAsia="Garamond" w:hAnsi="Garamond"/>
          <w:color w:val="1A2430"/>
          <w:sz w:val="20"/>
          <w:szCs w:val="20"/>
        </w:rPr>
        <w:t xml:space="preserve">BFS — Bundesamt für Statistik (2022). Verbleib der Lehrkräfte an der obligatorischen Schule. Neuchâtel: BFS, Längsschnittanalysen im Bildungsbereich.</w:t>
      </w:r>
    </w:p>
    <w:p>
      <w:pPr>
        <w:spacing w:after="120" w:line="276" w:lineRule="auto"/>
        <w:ind w:left="420" w:hanging="420"/>
      </w:pPr>
      <w:r>
        <w:rPr>
          <w:rFonts w:ascii="Garamond" w:cs="Garamond" w:eastAsia="Garamond" w:hAnsi="Garamond"/>
          <w:color w:val="1A2430"/>
          <w:sz w:val="20"/>
          <w:szCs w:val="20"/>
        </w:rPr>
        <w:t xml:space="preserve">Buckley, J., and S. Griselda (2025). “Who Stays, Who Goes? A New Look at Teacher Attrition Using Administrative Data.” e61 Institute Research Note.</w:t>
      </w:r>
    </w:p>
    <w:p>
      <w:pPr>
        <w:spacing w:after="120" w:line="276" w:lineRule="auto"/>
        <w:ind w:left="420" w:hanging="420"/>
      </w:pPr>
      <w:r>
        <w:rPr>
          <w:rFonts w:ascii="Garamond" w:cs="Garamond" w:eastAsia="Garamond" w:hAnsi="Garamond"/>
          <w:color w:val="1A2430"/>
          <w:sz w:val="20"/>
          <w:szCs w:val="20"/>
        </w:rPr>
        <w:t xml:space="preserve">Cuervo, H., and E. Vera-Toscano (2025). “Teacher Retention and Attrition: Understanding Why Teachers Leave and Their Post-Teaching Pathways in Australia.” Asia Pacific Journal of Education.</w:t>
      </w:r>
    </w:p>
    <w:p>
      <w:pPr>
        <w:spacing w:after="120" w:line="276" w:lineRule="auto"/>
        <w:ind w:left="420" w:hanging="420"/>
      </w:pPr>
      <w:r>
        <w:rPr>
          <w:rFonts w:ascii="Garamond" w:cs="Garamond" w:eastAsia="Garamond" w:hAnsi="Garamond"/>
          <w:color w:val="1A2430"/>
          <w:sz w:val="20"/>
          <w:szCs w:val="20"/>
        </w:rPr>
        <w:t xml:space="preserve">DfE — Department for Education (2025). School Workforce in England, 2024/25. Explore Education Statistics.</w:t>
      </w:r>
    </w:p>
    <w:p>
      <w:pPr>
        <w:spacing w:after="120" w:line="276" w:lineRule="auto"/>
        <w:ind w:left="420" w:hanging="420"/>
      </w:pPr>
      <w:r>
        <w:rPr>
          <w:rFonts w:ascii="Garamond" w:cs="Garamond" w:eastAsia="Garamond" w:hAnsi="Garamond"/>
          <w:color w:val="1A2430"/>
          <w:sz w:val="20"/>
          <w:szCs w:val="20"/>
        </w:rPr>
        <w:t xml:space="preserve">Goldhaber, D., and R. Theobald (2022). “Teacher Attrition and Mobility Over Time.” Educational Researcher 51(3), 235–237.</w:t>
      </w:r>
    </w:p>
    <w:p>
      <w:pPr>
        <w:spacing w:after="120" w:line="276" w:lineRule="auto"/>
        <w:ind w:left="420" w:hanging="420"/>
      </w:pPr>
      <w:r>
        <w:rPr>
          <w:rFonts w:ascii="Garamond" w:cs="Garamond" w:eastAsia="Garamond" w:hAnsi="Garamond"/>
          <w:color w:val="1A2430"/>
          <w:sz w:val="20"/>
          <w:szCs w:val="20"/>
        </w:rPr>
        <w:t xml:space="preserve">Goldring, R., S. Taie, and M. Riddles (2014). Teacher Attrition and Mobility: Results from the 2012–13 Teacher Follow-up Survey. NCES 2014-077, U.S. Department of Education.</w:t>
      </w:r>
    </w:p>
    <w:p>
      <w:pPr>
        <w:spacing w:after="120" w:line="276" w:lineRule="auto"/>
        <w:ind w:left="420" w:hanging="420"/>
      </w:pPr>
      <w:r>
        <w:rPr>
          <w:rFonts w:ascii="Garamond" w:cs="Garamond" w:eastAsia="Garamond" w:hAnsi="Garamond"/>
          <w:color w:val="1A2430"/>
          <w:sz w:val="20"/>
          <w:szCs w:val="20"/>
        </w:rPr>
        <w:t xml:space="preserve">Harris, D., and S. Adams (2007). “Understanding the Level and Causes of Teacher Turnover: A Comparison with Other Professions.” Economics of Education Review 26(3), 325–337.</w:t>
      </w:r>
    </w:p>
    <w:p>
      <w:pPr>
        <w:spacing w:after="120" w:line="276" w:lineRule="auto"/>
        <w:ind w:left="420" w:hanging="420"/>
      </w:pPr>
      <w:r>
        <w:rPr>
          <w:rFonts w:ascii="Garamond" w:cs="Garamond" w:eastAsia="Garamond" w:hAnsi="Garamond"/>
          <w:color w:val="1A2430"/>
          <w:sz w:val="20"/>
          <w:szCs w:val="20"/>
        </w:rPr>
        <w:t xml:space="preserve">Hillary, J., J. Andrade, and J. Worth (2018). Teacher Retention and Turnover Research — Update 4: How Do Teachers Compare to Nurses and Police Officers? Slough: NFER.</w:t>
      </w:r>
    </w:p>
    <w:p>
      <w:pPr>
        <w:spacing w:after="120" w:line="276" w:lineRule="auto"/>
        <w:ind w:left="420" w:hanging="420"/>
      </w:pPr>
      <w:r>
        <w:rPr>
          <w:rFonts w:ascii="Garamond" w:cs="Garamond" w:eastAsia="Garamond" w:hAnsi="Garamond"/>
          <w:color w:val="1A2430"/>
          <w:sz w:val="20"/>
          <w:szCs w:val="20"/>
        </w:rPr>
        <w:t xml:space="preserve">NCES — National Center for Education Statistics (2024). Teacher Attrition and Mobility: Results from the 2021–22 Teacher Follow-up Survey. NCES 2024-039, U.S. Department of Education.</w:t>
      </w:r>
    </w:p>
    <w:p>
      <w:pPr>
        <w:spacing w:after="120" w:line="276" w:lineRule="auto"/>
        <w:ind w:left="420" w:hanging="420"/>
      </w:pPr>
      <w:r>
        <w:rPr>
          <w:rFonts w:ascii="Garamond" w:cs="Garamond" w:eastAsia="Garamond" w:hAnsi="Garamond"/>
          <w:color w:val="1A2430"/>
          <w:sz w:val="20"/>
          <w:szCs w:val="20"/>
        </w:rPr>
        <w:t xml:space="preserve">Turek, K., M. Kalmijn, and T. Leopold (2021). “The Comparative Panel File: Harmonized Panel Surveys from Seven Countries.” European Sociological Review 37(3), 505–523.</w:t>
      </w:r>
    </w:p>
    <w:p>
      <w:pPr>
        <w:spacing w:after="120" w:line="276" w:lineRule="auto"/>
        <w:ind w:left="420" w:hanging="420"/>
      </w:pPr>
      <w:r>
        <w:rPr>
          <w:rFonts w:ascii="Garamond" w:cs="Garamond" w:eastAsia="Garamond" w:hAnsi="Garamond"/>
          <w:color w:val="1A2430"/>
          <w:sz w:val="20"/>
          <w:szCs w:val="20"/>
        </w:rPr>
        <w:t xml:space="preserve">Weldon, P. (2018). “Early Career Teacher Attrition in Australia: Evidence, Definition, Classification and Measurement.” Australian Journal of Education 62(1), 61–78.</w:t>
      </w:r>
    </w:p>
    <w:sectPr>
      <w:pgSz w:w="11906" w:h="16838" w:orient="portrait"/>
      <w:pgMar w:top="1360" w:right="1420" w:bottom="1250" w:left="14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2026-07-21T14:13:51.734Z</dcterms:created>
  <dcterms:modified xsi:type="dcterms:W3CDTF">2026-07-21T14:13:51.734Z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