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hyperlink w:history="1" w:anchor="sec0">
        <w:r>
          <w:rPr>
            <w:rFonts w:ascii="Garamond" w:cs="Garamond" w:eastAsia="Garamond" w:hAnsi="Garamond"/>
            <w:b/>
            <w:bCs/>
            <w:color w:val="000000"/>
            <w:sz w:val="24"/>
            <w:szCs w:val="24"/>
            <w:u w:val="single"/>
          </w:rPr>
          <w:t xml:space="preserve">Netherlands</w:t>
        </w:r>
      </w:hyperlink>
    </w:p>
    <w:p>
      <w:pPr>
        <w:spacing w:after="0" w:before="120"/>
      </w:pPr>
      <w:hyperlink w:history="1" w:anchor="sec1">
        <w:r>
          <w:rPr>
            <w:rFonts w:ascii="Garamond" w:cs="Garamond" w:eastAsia="Garamond" w:hAnsi="Garamond"/>
            <w:b/>
            <w:bCs/>
            <w:color w:val="000000"/>
            <w:sz w:val="24"/>
            <w:szCs w:val="24"/>
            <w:u w:val="single"/>
          </w:rPr>
          <w:t xml:space="preserve">United States</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Netherlands</w:t>
      </w:r>
      <w:bookmarkEnd w:id="1"/>
    </w:p>
    <w:p>
      <w:pPr>
        <w:spacing w:after="240"/>
      </w:pPr>
      <w:r>
        <w:rPr>
          <w:rFonts w:ascii="Garamond" w:cs="Garamond" w:eastAsia="Garamond" w:hAnsi="Garamond"/>
          <w:i/>
          <w:iCs/>
          <w:color w:val="555555"/>
          <w:sz w:val="22"/>
          <w:szCs w:val="22"/>
        </w:rPr>
        <w:t xml:space="preserve">Grant to schools for re-hiring former teachers, 2017–2022</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primary-education directorate of the Ministry of Education, Culture and Science, and the agency that handled the applications (DUS-I).</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Ministry of Education paid primary schools up to 2,500 euros for every qualified teacher they re-hired who had been out of primary teaching for at least a year, on a contract of six months or more. The money went to the school board, not the teacher, and was meant for the guidance and support a returner needs in the first months back. The scheme opened in November 2017 with a budget of 1.25 million euros, enough for about 500 returners, was extended in 2019, took applications until November 2020 and expired in January</w:t>
      </w:r>
    </w:p>
    <w:p>
      <w:pPr>
        <w:spacing w:after="60" w:before="200"/>
        <w:ind w:left="504" w:hanging="504"/>
      </w:pPr>
      <w:r>
        <w:rPr>
          <w:rFonts w:ascii="Garamond" w:cs="Garamond" w:eastAsia="Garamond" w:hAnsi="Garamond"/>
          <w:b/>
          <w:bCs/>
          <w:color w:val="000000"/>
          <w:sz w:val="24"/>
          <w:szCs w:val="24"/>
        </w:rPr>
        <w:t xml:space="preserve">2022.	</w:t>
      </w:r>
      <w:r>
        <w:rPr>
          <w:rFonts w:ascii="Garamond" w:cs="Garamond" w:eastAsia="Garamond" w:hAnsi="Garamond"/>
          <w:b w:val="false"/>
          <w:bCs w:val="false"/>
          <w:color w:val="000000"/>
          <w:sz w:val="24"/>
          <w:szCs w:val="24"/>
        </w:rPr>
        <w:t xml:space="preserve">In mid-2019 the ministry reported that more than a hundred returners had used it, against a pool of qualified teachers outside education that it put at more than 30,000. A Dutch teaching qualification does not expire, so there was no re-licensing step on the way back. What we do not know is how much of the money was finally used, whether the returners stayed, why the scheme was allowed to lapse, and whether it was ever evaluated.</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scheme come about in 2017, and with what purpose?</w:t>
      </w:r>
      <w:r>
        <w:rPr>
          <w:rFonts w:ascii="Garamond" w:cs="Garamond" w:eastAsia="Garamond" w:hAnsi="Garamond"/>
          <w:b w:val="false"/>
          <w:bCs w:val="false"/>
          <w:color w:val="000000"/>
          <w:sz w:val="24"/>
          <w:szCs w:val="24"/>
        </w:rPr>
        <w:t xml:space="preserve"> Why pay the school rather than the teacher?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that debated? What was the alternative?</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What did a school have to do to claim the grant, and what was the money spent on?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2,500 euros change a hiring decision, or did schools hire first and claim afterwards?</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According to the figures we have seen, much less of the money was used than was available. Is that right, and why?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the scheme known to schools?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 six-month contract or the twelve-month absence rule get in the way?</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We understand the scheme was extended in 2019 and then allowed to lapse in 2022. How were those decisions taken?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it evaluated?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 work move to the regional partnerships, and does anyone there still target returners?</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Can you describe the profile of the teachers who came back through the scheme?</w:t>
      </w:r>
      <w:r>
        <w:rPr>
          <w:rFonts w:ascii="Garamond" w:cs="Garamond" w:eastAsia="Garamond" w:hAnsi="Garamond"/>
          <w:b w:val="false"/>
          <w:bCs w:val="false"/>
          <w:color w:val="000000"/>
          <w:sz w:val="24"/>
          <w:szCs w:val="24"/>
        </w:rPr>
        <w:t xml:space="preserve"> (e.g. people who had left for another sector, people who qualified and never started)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Why had they left primary teaching, and what made returning possible?</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noticed that the number of returners in primary education has halved in a decade while the shortage persisted. How do you read that?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Primary teachers leave over workload, class size and leadership. Does a grant to the school reach any of that?</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whether the teachers who came back through the scheme stayed?</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Do you know about any other policy, in the Netherlands or elsewhere, that aims to re-attract former teachers?</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Overall, what is your assessment of the scheme, and what has it taught you?</w:t>
      </w:r>
    </w:p>
    <w:p>
      <w:pPr>
        <w:spacing w:after="60" w:before="200"/>
        <w:ind w:left="504" w:hanging="504"/>
      </w:pPr>
      <w:r>
        <w:rPr>
          <w:rFonts w:ascii="Garamond" w:cs="Garamond" w:eastAsia="Garamond" w:hAnsi="Garamond"/>
          <w:b/>
          <w:bCs/>
          <w:color w:val="000000"/>
          <w:sz w:val="24"/>
          <w:szCs w:val="24"/>
        </w:rPr>
        <w:t xml:space="preserve">10.	</w:t>
      </w:r>
      <w:r>
        <w:rPr>
          <w:rFonts w:ascii="Garamond" w:cs="Garamond" w:eastAsia="Garamond" w:hAnsi="Garamond"/>
          <w:b/>
          <w:bCs/>
          <w:color w:val="000000"/>
          <w:sz w:val="24"/>
          <w:szCs w:val="24"/>
        </w:rPr>
        <w:t xml:space="preserve">Is there someone at the ministry, or at the agency that handled the applications, you would recommend we speak to?</w:t>
      </w:r>
    </w:p>
    <w:p>
      <w:r>
        <w:br w:type="page"/>
      </w:r>
    </w:p>
    <w:p>
      <w:pPr>
        <w:pStyle w:val="Heading1"/>
        <w:spacing w:after="0" w:before="0"/>
      </w:pPr>
      <w:bookmarkStart w:name="sec1" w:id="1"/>
      <w:r>
        <w:rPr>
          <w:rFonts w:ascii="Garamond" w:cs="Garamond" w:eastAsia="Garamond" w:hAnsi="Garamond"/>
          <w:b/>
          <w:bCs/>
          <w:color w:val="000000"/>
          <w:sz w:val="32"/>
          <w:szCs w:val="32"/>
        </w:rPr>
        <w:t xml:space="preserve">United States</w:t>
      </w:r>
      <w:bookmarkEnd w:id="1"/>
    </w:p>
    <w:p>
      <w:pPr>
        <w:spacing w:after="240"/>
      </w:pPr>
      <w:r>
        <w:rPr>
          <w:rFonts w:ascii="Garamond" w:cs="Garamond" w:eastAsia="Garamond" w:hAnsi="Garamond"/>
          <w:i/>
          <w:iCs/>
          <w:color w:val="555555"/>
          <w:sz w:val="22"/>
          <w:szCs w:val="22"/>
        </w:rPr>
        <w:t xml:space="preserve">State laws on retired teachers returning to work</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in each state, the teachers' retirement system and the department of education or the certification board.</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Almost every state lets a retired teacher return to work under conditions built from four levers: how long they must wait after retiring, how much they may earn, whether the district must show a shortage, and how long the return may last. Michigan, in October 2023, cut the wait to six months and removed the earnings ceiling after it, under a law that expires in October 2028. Georgia, in 2022, opened full-time return to teachers with thirty years of service in subjects a region designated as highest-need; its 2025 audit found a few hundred returns a year and pointed to the one-year wait, not the pay rules, as the main deterrent, and the legislature has since widened eligibility and extended the measure to 2034. New Mexico, in 2022, let retirees draw pension and full salary with no cap on earnings or hours for a limited number of months, each return approved by the retirement board. Louisiana, in 2024, removed the cut-off that had confined its critical-shortage route to teachers retired before mid-2020. North Carolina let retirees return full-time on full salary and pension between 1999 and 2009, and research finds those returners went disproportionately to high-need schools; the policy was allowed to lapse. Virginia, in 2022, acted on the licence rather than the pension. What we do not know is how many teachers have returned in most of these states, what the measures have cost the retirement systems, and the exact current rules, since several laws were amended in 2025 and 2026 (to check before each conversation).</w:t>
      </w:r>
    </w:p>
    <w:p>
      <w:pPr>
        <w:pStyle w:val="Heading2"/>
        <w:spacing w:after="80" w:before="240"/>
      </w:pPr>
      <w:r>
        <w:rPr>
          <w:rFonts w:ascii="Garamond" w:cs="Garamond" w:eastAsia="Garamond" w:hAnsi="Garamond"/>
          <w:b/>
          <w:bCs/>
          <w:color w:val="000000"/>
          <w:sz w:val="26"/>
          <w:szCs w:val="26"/>
        </w:rPr>
        <w:t xml:space="preserve">For any state</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this law come about, and with what purpose?</w:t>
      </w:r>
      <w:r>
        <w:rPr>
          <w:rFonts w:ascii="Garamond" w:cs="Garamond" w:eastAsia="Garamond" w:hAnsi="Garamond"/>
          <w:b w:val="false"/>
          <w:bCs w:val="false"/>
          <w:color w:val="000000"/>
          <w:sz w:val="24"/>
          <w:szCs w:val="24"/>
        </w:rPr>
        <w:t xml:space="preserve"> Did the state face strong teacher shortages at that moment?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Who had to be persuaded: legislature, retirement system, districts, unions?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another state the model?</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the rules are built from a few levers: the waiting period, the earnings ceiling, the shortage designation, the duration. Which were argued over, and why did they land where they did?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waiting period a pension question, a federal-tax question or a political one?</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would you describe what a retiree has to do to come back, and who decides?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Where does the paperwork slow people down?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The licence sits with a different body from the pension. For a lapsed certificate, how much of an obstacle is that?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district's shortage test a filter or a formality?</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Can you describe the profile of those who come back, the posts they take and the schools they go to?</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they end up where the shortage is worst?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you know what retirees say when they decline?</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According to the research we have seen, there is a concern that returning retirees take posts that would otherwise go to new teachers. Has anyone looked at that in your state?</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Is there any record of how many have returned, and how are they counted?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has it cost the retirement system, and how is that judged?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Has the measure been evaluated or audited?</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Do you know about any other policy, in your state or elsewhere, that aims to re-attract former teachers?</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its impact, and what will decide whether it is kept when it expires?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would you tell another state to do differently?</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at the retirement system or on the certification side you would recommend we speak to?</w:t>
      </w:r>
    </w:p>
    <w:p>
      <w:pPr>
        <w:pStyle w:val="Heading2"/>
        <w:spacing w:after="80" w:before="240"/>
      </w:pPr>
      <w:r>
        <w:rPr>
          <w:rFonts w:ascii="Garamond" w:cs="Garamond" w:eastAsia="Garamond" w:hAnsi="Garamond"/>
          <w:b/>
          <w:bCs/>
          <w:color w:val="000000"/>
          <w:sz w:val="26"/>
          <w:szCs w:val="26"/>
        </w:rPr>
        <w:t xml:space="preserve">One follow-up per state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Michigan.</w:t>
      </w:r>
      <w:r>
        <w:rPr>
          <w:rFonts w:ascii="Garamond" w:cs="Garamond" w:eastAsia="Garamond" w:hAnsi="Garamond"/>
          <w:b w:val="false"/>
          <w:bCs w:val="false"/>
          <w:color w:val="000000"/>
          <w:sz w:val="24"/>
          <w:szCs w:val="24"/>
        </w:rPr>
        <w:t xml:space="preserve"> Is the six-month wait still what holds people back, and how does the requirement of a genuine separation from the employer work when it also reaches hiring through an agency?</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Georgia.</w:t>
      </w:r>
      <w:r>
        <w:rPr>
          <w:rFonts w:ascii="Garamond" w:cs="Garamond" w:eastAsia="Garamond" w:hAnsi="Garamond"/>
          <w:b w:val="false"/>
          <w:bCs w:val="false"/>
          <w:color w:val="000000"/>
          <w:sz w:val="24"/>
          <w:szCs w:val="24"/>
        </w:rPr>
        <w:t xml:space="preserve"> The audit named the one-year wait as the main deterrent, and the new law appears to have kept it while widening eligibility. How was that decided?</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New Mexico.</w:t>
      </w:r>
      <w:r>
        <w:rPr>
          <w:rFonts w:ascii="Garamond" w:cs="Garamond" w:eastAsia="Garamond" w:hAnsi="Garamond"/>
          <w:b w:val="false"/>
          <w:bCs w:val="false"/>
          <w:color w:val="000000"/>
          <w:sz w:val="24"/>
          <w:szCs w:val="24"/>
        </w:rPr>
        <w:t xml:space="preserve"> What does the retirement board's approval consist of, and what happens when the months allowed run out?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Louisiana.</w:t>
      </w:r>
      <w:r>
        <w:rPr>
          <w:rFonts w:ascii="Garamond" w:cs="Garamond" w:eastAsia="Garamond" w:hAnsi="Garamond"/>
          <w:b w:val="false"/>
          <w:bCs w:val="false"/>
          <w:color w:val="000000"/>
          <w:sz w:val="24"/>
          <w:szCs w:val="24"/>
        </w:rPr>
        <w:t xml:space="preserve"> Removing the retirement-date cut-off looks small on paper and large in effect. What did it change, and how does a district certify a shortage?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North Carolina.</w:t>
      </w:r>
      <w:r>
        <w:rPr>
          <w:rFonts w:ascii="Garamond" w:cs="Garamond" w:eastAsia="Garamond" w:hAnsi="Garamond"/>
          <w:b w:val="false"/>
          <w:bCs w:val="false"/>
          <w:color w:val="000000"/>
          <w:sz w:val="24"/>
          <w:szCs w:val="24"/>
        </w:rPr>
        <w:t xml:space="preserve"> Why was the 1999–2009 policy allowed to lapse, and what would it take to revisit it?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Virginia.</w:t>
      </w:r>
      <w:r>
        <w:rPr>
          <w:rFonts w:ascii="Garamond" w:cs="Garamond" w:eastAsia="Garamond" w:hAnsi="Garamond"/>
          <w:b w:val="false"/>
          <w:bCs w:val="false"/>
          <w:color w:val="000000"/>
          <w:sz w:val="24"/>
          <w:szCs w:val="24"/>
        </w:rPr>
        <w:t xml:space="preserve"> Acting on the licence rather than the pension: what did that change for retirees, and where does it stand now?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2026-09-22T14:23:55.880Z</dcterms:created>
  <dcterms:modified xsi:type="dcterms:W3CDTF">2026-09-22T14:23:55.890Z</dcterms:modified>
</cp:coreProperties>
</file>

<file path=docProps/custom.xml><?xml version="1.0" encoding="utf-8"?>
<Properties xmlns="http://schemas.openxmlformats.org/officeDocument/2006/custom-properties" xmlns:vt="http://schemas.openxmlformats.org/officeDocument/2006/docPropsVTypes"/>
</file>