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pPr>
        <w:spacing w:after="130" w:line="242" w:lineRule="auto"/>
        <w:jc w:val="both"/>
        <w:rPr>
          <w:ins w:id="9001" w:author="Claude" w:date="2026-10-05T12:38:11Z"/>
        </w:rPr>
      </w:pPr>
      <w:ins w:id="9002" w:author="Claude" w:date="2026-10-05T12:38:11Z">
        <w:r>
          <w:t xml:space="preserve">Re-attracting former teachers has become one of the policy margins through which governments try to alleviate teacher shortages. It cannot close the gap on its own, but it can help fill vacancies in the short run, especially in the disadvantaged and rural schools where shortages concentrate (UNESCO, 2024; Carver-Thomas and Darling-Hammond, 2019; Nguyen, Lam and Bruno, 2024). The size of this margin depends on the leaving and retirement rates of each system. In countries such as France, Greece, Ireland or Israel, where low leaving rates are almost entirely explained by retirement, its potential is limited (OECD, 2025a). Beyond short-run relief, returners and retired teachers can bring benefits of their own, such as experience spillovers to colleagues, mentoring for beginning teachers and tutoring roles with experimental backing (Papay et al., 2020; DeCesare et al., 2017; Nickow, Oreopoulos and Quan, 2024).</w:t>
        </w:r>
      </w:ins>
    </w:p>
    <w:p w14:paraId="2761BCF8" w14:textId="012AEE38" w:rsidR="00F40E91" w:rsidRPr="006E21ED" w:rsidRDefault="00A42790">
      <w:pPr>
        <w:pStyle w:val="Heading1"/>
        <w:pageBreakBefore/>
        <w:spacing w:after="220"/>
        <w:rPr>
          <w:b/>
          <w:bCs/>
          <w:color w:val="04629A"/>
          <w:sz w:val="25"/>
          <w:szCs w:val="25"/>
        </w:rPr>
      </w:pPr>
      <w:bookmarkStart w:id="5" w:name="_Toc239235953"/>
      <w:r>
        <w:rPr>
          <w:b/>
          <w:bCs/>
          <w:color w:val="04629A"/>
          <w:sz w:val="25"/>
          <w:szCs w:val="25"/>
        </w:rPr>
        <w:lastRenderedPageBreak/>
        <w:t xml:space="preserve">2. Teacher leaving: </w:t>
      </w:r>
      <w:bookmarkEnd w:id="5"/>
      <w:r>
        <w:rPr>
          <w:b/>
          <w:bCs/>
          <w:color w:val="04629A"/>
          <w:sz w:val="25"/>
          <w:szCs w:val="25"/>
        </w:rPr>
        <w:t>rates, determinants and implications for re-</w:t>
      </w:r>
      <w:commentRangeStart w:id="6"/>
      <w:commentRangeStart w:id="60"/>
      <w:r>
        <w:rPr>
          <w:b/>
          <w:bCs/>
          <w:color w:val="04629A"/>
          <w:sz w:val="25"/>
          <w:szCs w:val="25"/>
        </w:rPr>
        <w:t xml:space="preserve">entry </w:t>
      </w:r>
      <w:commentRangeEnd w:id="60"/>
      <w:commentRangeEnd w:id="6"/>
      <w:r>
        <w:rPr>
          <w:rStyle w:val="CommentReference"/>
          <w:b/>
          <w:bCs/>
          <w:color w:val="04629A"/>
          <w:sz w:val="25"/>
          <w:szCs w:val="25"/>
        </w:rPr>
        <w:commentReference w:id="6"/>
      </w:r>
      <w:r>
        <w:rPr>
          <w:rStyle w:val="CommentReference"/>
        </w:rPr>
        <w:commentReference w:id="60"/>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D933550" w14:textId="77777777" w:rsidR="00F40E91" w:rsidRDefault="00A42790">
      <w:pPr>
        <w:spacing w:after="130" w:line="242" w:lineRule="auto"/>
        <w:jc w:val="both"/>
      </w:pPr>
      <w:r>
        <w:t xml:space="preserve">First, we distinguish three main profiles of former teachers: </w:t>
      </w:r>
      <w:commentRangeStart w:id="7"/>
      <w:commentRangeStart w:id="61"/>
      <w:r>
        <w:t>(1) switchers, those who resign from teaching to take up other part-time or full-time employment, (2) leavers, those who withdraw from the labour market, and (3) retired teachers who have reached the end of their working lives</w:t>
      </w:r>
      <w:commentRangeEnd w:id="61"/>
      <w:commentRangeEnd w:id="7"/>
      <w:r>
        <w:rPr>
          <w:rStyle w:val="CommentReference"/>
          <w:sz w:val="23"/>
          <w:szCs w:val="23"/>
        </w:rPr>
        <w:commentReference w:id="7"/>
      </w:r>
      <w:r>
        <w:rPr>
          <w:rStyle w:val="CommentReference"/>
        </w:rPr>
        <w:commentReference w:id="61"/>
      </w:r>
      <w:r>
        <w:t xml:space="preserve">. </w:t>
      </w:r>
      <w:r>
        <w:rPr>
          <w:highlight w:val="yellow"/>
        </w:rPr>
        <w:t>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w:t>
      </w:r>
      <w:r>
        <w:t xml:space="preserve">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ins w:id="9003" w:author="Claude" w:date="2026-10-05T12:38:11Z">
        <w:r>
          <w:t xml:space="preserve"> These three profiles are used throughout the next section. Each area of reasons closes with its implications for re-entry and with the profile it mainly concerns, and Box 1 at the end of the section brings them together.</w:t>
        </w:r>
      </w:ins>
    </w:p>
    <w:p w14:paraId="5371016C" w14:textId="77777777" w:rsidR="00F40E91" w:rsidRDefault="00A42790">
      <w:pPr>
        <w:pStyle w:val="Heading2"/>
        <w:spacing w:before="200" w:after="120"/>
      </w:pPr>
      <w:bookmarkStart w:id="8" w:name="_Toc239235954"/>
      <w:r>
        <w:rPr>
          <w:b/>
          <w:bCs/>
          <w:color w:val="04629A"/>
          <w:sz w:val="25"/>
          <w:szCs w:val="25"/>
        </w:rPr>
        <w:t>2.1 The teacher leaving rate and its evolution</w:t>
      </w:r>
      <w:bookmarkEnd w:id="8"/>
    </w:p>
    <w:p w14:paraId="4855CEA5" w14:textId="4ECCB773" w:rsidR="00843159" w:rsidRDefault="00A42790" w:rsidP="00843159">
      <w:pPr>
        <w:spacing w:after="130" w:line="242" w:lineRule="auto"/>
        <w:jc w:val="both"/>
        <w:rPr>
          <w:del w:id="9009" w:author="Claude" w:date="2026-10-05T12:38:11Z"/>
        </w:rPr>
      </w:pPr>
      <w:del w:id="9006" w:author="Claude" w:date="2026-10-05T12:38:11Z">
        <w:r>
          <w:delText xml:space="preserve">The average teachers leaving rate among the OECD countries was 6.5% in 2023 </w:delText>
        </w:r>
      </w:del>
      <w:del w:id="9007" w:author="Claude" w:date="2026-10-05T12:38:11Z">
        <w:r>
          <w:rPr>
            <w:color w:val="0563C1"/>
          </w:rPr>
          <w:delText>(OECD, 2025a)</w:delText>
        </w:r>
      </w:del>
      <w:del w:id="9008" w:author="Claude" w:date="2026-10-05T12:38:11Z">
        <w:r>
          <w:delText xml:space="preserve">, with considerable heterogeneities among countries with data availability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leavers and swtichers, raising potential issues with working conditions and teacher retention that forces the system to replace a substantial share of its stock every year. </w:delText>
        </w:r>
      </w:del>
    </w:p>
    <w:p>
      <w:pPr>
        <w:spacing w:after="130" w:line="242" w:lineRule="auto"/>
        <w:jc w:val="both"/>
        <w:rPr>
          <w:ins w:id="9004" w:author="Claude" w:date="2026-10-05T12:38:11Z"/>
        </w:rPr>
      </w:pPr>
      <w:ins w:id="9005" w:author="Claude" w:date="2026-10-05T12:38:11Z">
        <w:r>
          <w:t xml:space="preserve">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ins>
    </w:p>
    <w:p w14:paraId="7662D36C" w14:textId="0283B347" w:rsidR="00843159" w:rsidRDefault="00843159">
      <w:pPr>
        <w:spacing w:after="130" w:line="242" w:lineRule="auto"/>
        <w:jc w:val="both"/>
        <w:rPr>
          <w:del w:id="9024" w:author="Claude" w:date="2026-10-05T12:38:11Z"/>
        </w:rPr>
      </w:pPr>
      <w:del w:id="9012" w:author="Claude" w:date="2026-10-05T12:38:11Z">
        <w:r>
          <w:delText xml:space="preserve">The evolution of the leaving rate across time tends to be stable in most of the observed countries. The OECD average leaving rate moved from 6.9% in 2015 to 6.5% in 2023 and most systems present in both years moved by less than a percentage point </w:delText>
        </w:r>
      </w:del>
      <w:del w:id="9013" w:author="Claude" w:date="2026-10-05T12:38:11Z">
        <w:r>
          <w:rPr>
            <w:color w:val="0563C1"/>
          </w:rPr>
          <w:delText>(OECD, 2025a)</w:delText>
        </w:r>
      </w:del>
      <w:del w:id="9014" w:author="Claude" w:date="2026-10-05T12:38:11Z">
        <w:r>
          <w:delText>.</w:delText>
        </w:r>
      </w:del>
      <w:del w:id="9015" w:author="Claude" w:date="2026-10-05T12:38:11Z">
        <w:r>
          <w:rPr>
            <w:rStyle w:val="FootnoteReference"/>
          </w:rPr>
          <w:footnoteReference w:id="1"/>
        </w:r>
      </w:del>
      <w:del w:id="9016" w:author="Claude" w:date="2026-10-05T12:38:11Z">
        <w:r>
          <w:delTex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delText>
        </w:r>
      </w:del>
      <w:del w:id="9017" w:author="Claude" w:date="2026-10-05T12:38:11Z">
        <w:r>
          <w:rPr>
            <w:color w:val="0563C1"/>
          </w:rPr>
          <w:delText>(NCES, 2024)</w:delText>
        </w:r>
      </w:del>
      <w:del w:id="9018" w:author="Claude" w:date="2026-10-05T12:38:11Z">
        <w:r>
          <w:delText>,</w:delText>
        </w:r>
      </w:del>
      <w:del w:id="9019" w:author="Claude" w:date="2026-10-05T12:38:11Z">
        <w:r>
          <w:rPr>
            <w:rStyle w:val="FootnoteReference"/>
          </w:rPr>
          <w:footnoteReference w:id="2"/>
        </w:r>
      </w:del>
      <w:del w:id="9020" w:author="Claude" w:date="2026-10-05T12:38:11Z">
        <w:r>
          <w:delText xml:space="preserve"> and similar patterns hold in England, New Zealand, Sweden, Israel, Iceland, Norway and Flanders </w:delText>
        </w:r>
      </w:del>
      <w:del w:id="9021" w:author="Claude" w:date="2026-10-05T12:38:11Z">
        <w:r>
          <w:rPr>
            <w:color w:val="0563C1"/>
          </w:rPr>
          <w:delText>(Department for Education, 2024a; Education Counts, 2025; Adermon and Laun, 2018; CBS Israel, 2023; Björnsdóttir and Hansen, 2024; Statistics Norway, 2025; Vansteenkiste, 2025)</w:delText>
        </w:r>
      </w:del>
      <w:del w:id="9022" w:author="Claude" w:date="2026-10-05T12:38:11Z">
        <w:r>
          <w:delText>.</w:delText>
        </w:r>
      </w:del>
      <w:del w:id="9023" w:author="Claude" w:date="2026-10-05T12:38:11Z">
        <w:r>
          <w:rPr>
            <w:rStyle w:val="FootnoteReference"/>
          </w:rPr>
          <w:footnoteReference w:id="3"/>
        </w:r>
      </w:del>
    </w:p>
    <w:p>
      <w:pPr>
        <w:spacing w:after="130" w:line="242" w:lineRule="auto"/>
        <w:jc w:val="both"/>
        <w:rPr>
          <w:ins w:id="9010" w:author="Claude" w:date="2026-10-05T12:38:11Z"/>
        </w:rPr>
      </w:pPr>
      <w:ins w:id="9011" w:author="Claude" w:date="2026-10-05T12:38:11Z">
        <w:r>
          <w:t xml:space="preserve">The leaving rate has been stable over time in most countries with data. The OECD average moved from 6.9% in 2015 to 6.5% in 2023, and most systems present in both years moved by less than one percentage point. The only exceptions are Austria and Estonia, where the rate nearly doubled over the same interval (OECD, 2025a). The countries with the longest series confirm this stability. In the United States, where the Teacher Follow-up Survey has measured departures under one definition since 1988, the rate has oscillated between 5% and 8.5% over three and a half decades, has stayed near 8% for the last twenty years and shows no lasting mark of the pandemic increase (NCES, 2024). A continuous annual measure built from the Current Population Survey gives consistent results (Harris and Adams, 2007; Aldeman and Yi, 2025). Similar patterns hold in England, New Zealand, Sweden, Israel, Iceland, Norway and Flanders (Department for Education, 2024a; Education Counts, 2025; Adermon and Laun, 2018; CBS Israel, 2023; Björnsdóttir and Hansen, 2024; Statistics Norway, 2025; Vansteenkiste, 2025). For most other countries no historical series exist, since they require longitudinally linked teacher registers. Where shorter series are available they move in both directions, upwards in Denmark, Estonia, Lithuania and Korea and downwards in Australia and Chile (AE, 2024; Kindsiko, 2023; NŠA, 2025; Ministry of Education Korea, 2023; Buckley and Griselda, 2025; CIAE, 2025).</w:t>
        </w:r>
      </w:ins>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pPr>
        <w:spacing w:after="70"/>
        <w:ind w:left="280" w:hanging="280"/>
        <w:rPr>
          <w:ins w:id="9350" w:author="Claude" w:date="2026-10-05T12:38:11Z"/>
        </w:rPr>
      </w:pPr>
      <w:ins w:id="9351" w:author="Claude" w:date="2026-10-05T12:38:11Z">
        <w:r>
          <w:rPr>
            <w:sz w:val="20"/>
            <w:szCs w:val="20"/>
          </w:rPr>
          <w:t xml:space="preserve">OECD (2020), </w:t>
        </w:r>
        <w:r>
          <w:rPr>
            <w:i/>
            <w:iCs/>
            <w:sz w:val="20"/>
            <w:szCs w:val="20"/>
          </w:rPr>
          <w:t xml:space="preserve">TALIS 2018 Results (Volume II): Teachers and School Leaders as Valued Professionals</w:t>
        </w:r>
        <w:r>
          <w:rPr>
            <w:sz w:val="20"/>
            <w:szCs w:val="20"/>
          </w:rPr>
          <w:t xml:space="preserve">, TALIS, OECD Publishing, Paris, https://doi.org/10.1787/19cf08df-en.</w:t>
        </w:r>
      </w:ins>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rPr>
          <w:ins w:id="9" w:author="TORRES José Manuel, EDU/IMEP" w:date="2026-09-17T16:48:00Z" w16du:dateUtc="2026-09-17T14:48:00Z"/>
        </w:rPr>
      </w:pPr>
    </w:p>
    <w:p w14:paraId="1313B9A2" w14:textId="634A6C2B" w:rsidR="00F40E91" w:rsidRDefault="00A42790">
      <w:pPr>
        <w:spacing w:after="130" w:line="242" w:lineRule="auto"/>
        <w:jc w:val="both"/>
        <w:rPr>
          <w:del w:id="9036" w:author="Claude" w:date="2026-10-05T12:38:11Z"/>
        </w:rPr>
      </w:pPr>
      <w:del w:id="9027" w:author="Claude" w:date="2026-10-05T12:38:11Z">
        <w:r>
          <w:delTex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delText>
        </w:r>
      </w:del>
      <w:del w:id="9028" w:author="Claude" w:date="2026-10-05T12:38:11Z">
        <w:r>
          <w:rPr>
            <w:color w:val="0563C1"/>
          </w:rPr>
          <w:delText>(Aldeman and Yi, 2025)</w:delText>
        </w:r>
      </w:del>
      <w:del w:id="9029" w:author="Claude" w:date="2026-10-05T12:38:11Z">
        <w:r>
          <w:delText xml:space="preserve">, an ordering already visible in the 1990s </w:delText>
        </w:r>
      </w:del>
      <w:del w:id="9030" w:author="Claude" w:date="2026-10-05T12:38:11Z">
        <w:r>
          <w:rPr>
            <w:color w:val="0563C1"/>
          </w:rPr>
          <w:delText>(Harris and Adams, 2007)</w:delText>
        </w:r>
      </w:del>
      <w:del w:id="9031" w:author="Claude" w:date="2026-10-05T12:38:11Z">
        <w:r>
          <w:delText xml:space="preserve">; in Australia, a study using administrative records finds that the teacher leaving rate was the lowest among 97 occupation groups </w:delText>
        </w:r>
      </w:del>
      <w:del w:id="9032" w:author="Claude" w:date="2026-10-05T12:38:11Z">
        <w:r>
          <w:rPr>
            <w:color w:val="0563C1"/>
          </w:rPr>
          <w:delText>(Buckley and Griselda, 2025)</w:delText>
        </w:r>
      </w:del>
      <w:del w:id="9033" w:author="Claude" w:date="2026-10-05T12:38:11Z">
        <w:r>
          <w:delText xml:space="preserve"> and in Sweden, register data show that annual exits among teachers, preschool teachers, nurses and police are alike </w:delText>
        </w:r>
      </w:del>
      <w:del w:id="9034" w:author="Claude" w:date="2026-10-05T12:38:11Z">
        <w:r>
          <w:rPr>
            <w:color w:val="0563C1"/>
          </w:rPr>
          <w:delText>(Adermon and Laun, 2018)</w:delText>
        </w:r>
      </w:del>
      <w:del w:id="9035" w:author="Claude" w:date="2026-10-05T12:38:11Z">
        <w:r>
          <w:delText>.</w:delText>
        </w:r>
      </w:del>
    </w:p>
    <w:p>
      <w:pPr>
        <w:spacing w:after="130" w:line="242" w:lineRule="auto"/>
        <w:jc w:val="both"/>
        <w:rPr>
          <w:ins w:id="9025" w:author="Claude" w:date="2026-10-05T12:38:11Z"/>
        </w:rPr>
      </w:pPr>
      <w:ins w:id="9026" w:author="Claude" w:date="2026-10-05T12:38:11Z">
        <w:r>
          <w:t xml:space="preserve">Leaving is not worrying in itself, since a continuous outflow is a common feature of any profession in a dynamic labour market. No comparable benchmark has been published for most OECD countries, but 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ins>
    </w:p>
    <w:p w14:paraId="76C54116" w14:textId="4194AC45" w:rsidR="00F40E91" w:rsidRDefault="00A42790">
      <w:pPr>
        <w:spacing w:after="130" w:line="242" w:lineRule="auto"/>
        <w:jc w:val="both"/>
        <w:rPr>
          <w:del w:id="9046" w:author="Claude" w:date="2026-10-05T12:38:11Z"/>
        </w:rPr>
      </w:pPr>
      <w:commentRangeStart w:id="10"/>
      <w:commentRangeStart w:id="62"/>
      <w:commentRangeStart w:id="11"/>
      <w:del w:id="9039" w:author="Claude" w:date="2026-10-05T12:38:11Z">
        <w:r>
          <w:delTex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delText>
        </w:r>
      </w:del>
      <w:del w:id="9040" w:author="Claude" w:date="2026-10-05T12:38:11Z">
        <w:r>
          <w:rPr>
            <w:color w:val="0563C1"/>
          </w:rPr>
          <w:delText>(UNESCO, 2024; Carver-Thomas and Darling-Hammond, 2019; Nguyen, Lam and Bruno, 2024)</w:delText>
        </w:r>
      </w:del>
      <w:del w:id="9041" w:author="Claude" w:date="2026-10-05T12:38:11Z">
        <w:r>
          <w:delText xml:space="preserve">. The magnitude of this policy margin depends on the baseline leaving and retirement rates, since in countries such as France, Greece, Ireland or Israel, whose low leaving rates are almost solely explained by retirement, its potential is scarce </w:delText>
        </w:r>
      </w:del>
      <w:del w:id="9042" w:author="Claude" w:date="2026-10-05T12:38:11Z">
        <w:r>
          <w:rPr>
            <w:color w:val="0563C1"/>
          </w:rPr>
          <w:delText>(OECD, 2025a)</w:delText>
        </w:r>
      </w:del>
      <w:del w:id="9043" w:author="Claude" w:date="2026-10-05T12:38:11Z">
        <w:r>
          <w:delText xml:space="preserve">. Beyond short-run relief to shortages, returners and retired teachers can bring benefits of their own, such as positive experience spillovers to colleagues, mentorship for beginning teachers and tutoring roles with experimental backing </w:delText>
        </w:r>
      </w:del>
      <w:del w:id="9044" w:author="Claude" w:date="2026-10-05T12:38:11Z">
        <w:r>
          <w:rPr>
            <w:color w:val="0563C1"/>
          </w:rPr>
          <w:delText>(Papay et al., 2020; DeCesare et al., 2017; Nickow, Oreopoulos and Quan, 2024)</w:delText>
        </w:r>
      </w:del>
      <w:del w:id="9045" w:author="Claude" w:date="2026-10-05T12:38:11Z">
        <w:r>
          <w:delText>.</w:delText>
        </w:r>
      </w:del>
      <w:commentRangeEnd w:id="62"/>
      <w:commentRangeEnd w:id="10"/>
      <w:r>
        <w:rPr>
          <w:rStyle w:val="CommentReference"/>
          <w:sz w:val="23"/>
          <w:szCs w:val="23"/>
        </w:rPr>
        <w:commentReference w:id="10"/>
      </w:r>
      <w:r>
        <w:rPr>
          <w:rStyle w:val="CommentReference"/>
        </w:rPr>
        <w:commentReference w:id="62"/>
      </w:r>
      <w:commentRangeEnd w:id="11"/>
      <w:r>
        <w:rPr>
          <w:rStyle w:val="CommentReference"/>
          <w:sz w:val="23"/>
          <w:szCs w:val="23"/>
        </w:rPr>
        <w:commentReference w:id="11"/>
      </w:r>
    </w:p>
    <w:p>
      <w:pPr>
        <w:spacing w:after="130" w:line="242" w:lineRule="auto"/>
        <w:jc w:val="both"/>
        <w:rPr>
          <w:ins w:id="9037" w:author="Claude" w:date="2026-10-05T12:38:11Z"/>
        </w:rPr>
      </w:pPr>
      <w:ins w:id="9038" w:author="Claude" w:date="2026-10-05T12:38:11Z">
        <w:r>
          <w:t xml:space="preserve">A stable and moderate leaving rate does not make the reasons behind it less important. Every departure is a vacancy to fill, and shortages concentrate in the schools and subjects where filling it is hardest. The policies examined in Section 3 are addressed to the teachers behind these rates, and their design depends on why those teachers left and on what would bring them back. The next section therefore turns to the determinants of leaving.</w:t>
        </w:r>
      </w:ins>
    </w:p>
    <w:p w14:paraId="085ED38B" w14:textId="77777777" w:rsidR="00F40E91" w:rsidRDefault="00A42790">
      <w:pPr>
        <w:pStyle w:val="Heading2"/>
        <w:spacing w:before="200" w:after="120"/>
      </w:pPr>
      <w:bookmarkStart w:id="12" w:name="_Toc239235955"/>
      <w:r>
        <w:rPr>
          <w:b/>
          <w:bCs/>
          <w:color w:val="04629A"/>
          <w:sz w:val="25"/>
          <w:szCs w:val="25"/>
        </w:rPr>
        <w:t>2.2 Determinants of teachers leaving</w:t>
      </w:r>
      <w:bookmarkEnd w:id="12"/>
    </w:p>
    <w:p w14:paraId="38E63A5D" w14:textId="30FBA683" w:rsidR="00F40E91" w:rsidRDefault="00A42790">
      <w:pPr>
        <w:spacing w:after="130" w:line="242" w:lineRule="auto"/>
        <w:jc w:val="both"/>
        <w:rPr>
          <w:del w:id="9054" w:author="Claude" w:date="2026-10-05T12:38:11Z"/>
        </w:rPr>
      </w:pPr>
      <w:del w:id="9049" w:author="Claude" w:date="2026-10-05T12:38:11Z">
        <w:r>
          <w:delTex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in their external validity and in the way motives </w:delText>
          <w:lastRenderedPageBreak/>
          <w:delText xml:space="preserve">are grouped. Building on a comprehensive review of this literature and on recent meta-analyses </w:delText>
        </w:r>
      </w:del>
      <w:del w:id="9050" w:author="Claude" w:date="2026-10-05T12:38:11Z">
        <w:r>
          <w:rPr>
            <w:color w:val="0563C1"/>
          </w:rPr>
          <w:delText>(Nguyen et al., 2020; Gundlach, Slemp and Hattie, 2024)</w:delText>
        </w:r>
      </w:del>
      <w:del w:id="9051" w:author="Claude" w:date="2026-10-05T12:38:11Z">
        <w:r>
          <w:delText>, this paper classifies the reasons into six areas</w:delText>
        </w:r>
      </w:del>
      <w:del w:id="9052" w:author="Claude" w:date="2026-10-05T12:38:11Z">
        <w:r>
          <w:rPr>
            <w:rStyle w:val="FootnoteReference"/>
          </w:rPr>
          <w:footnoteReference w:id="4"/>
        </w:r>
      </w:del>
      <w:del w:id="9053" w:author="Claude" w:date="2026-10-05T12:38:11Z">
        <w:r>
          <w:delText xml:space="preserve"> (see Table 1).</w:delText>
        </w:r>
      </w:del>
    </w:p>
    <w:p>
      <w:pPr>
        <w:spacing w:after="130" w:line="242" w:lineRule="auto"/>
        <w:jc w:val="both"/>
        <w:rPr>
          <w:ins w:id="9047" w:author="Claude" w:date="2026-10-05T12:38:11Z"/>
        </w:rPr>
      </w:pPr>
      <w:ins w:id="9048" w:author="Claude" w:date="2026-10-05T12:38:11Z">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areas: working conditions, organisational factors, financial factors, professional factors, personal and life-course factors, and accountability and regulation. They are presented starting with those that the evidence identifies as most important and ending with the least studied. Each area closes with its implications for policies that seek to re-attract former teachers, and Box 1 at the end of the section summarises them.</w:t>
        </w:r>
      </w:ins>
    </w:p>
    <w:p w14:paraId="7359C478" w14:textId="77777777" w:rsidR="00F40E91" w:rsidRDefault="00A42790">
      <w:pPr>
        <w:spacing w:after="130" w:line="242" w:lineRule="auto"/>
        <w:jc w:val="both"/>
        <w:rPr>
          <w:del w:id="9091" w:author="Claude" w:date="2026-10-05T12:38:11Z"/>
        </w:rPr>
      </w:pPr>
      <w:commentRangeStart w:id="13"/>
      <w:commentRangeStart w:id="63"/>
      <w:commentRangeStart w:id="14"/>
      <w:del w:id="9090" w:author="Claude" w:date="2026-10-05T12:38:11Z">
        <w:r>
          <w:rPr>
            <w:b/>
            <w:bCs/>
          </w:rPr>
          <w:delText>Table 1. Reasons for leaving teaching, by area</w:delText>
        </w:r>
      </w:del>
      <w:commentRangeEnd w:id="63"/>
      <w:commentRangeEnd w:id="13"/>
      <w:r>
        <w:rPr>
          <w:rStyle w:val="CommentReference"/>
          <w:sz w:val="23"/>
          <w:szCs w:val="23"/>
        </w:rPr>
        <w:commentReference w:id="13"/>
      </w:r>
      <w:r>
        <w:rPr>
          <w:rStyle w:val="CommentReference"/>
        </w:rPr>
        <w:commentReference w:id="63"/>
      </w:r>
      <w:commentRangeEnd w:id="14"/>
      <w:r>
        <w:rPr>
          <w:rStyle w:val="CommentReference"/>
          <w:sz w:val="23"/>
          <w:szCs w:val="23"/>
        </w:rPr>
        <w:commentReference w:id="14"/>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del w:id="9059" w:author="Claude" w:date="2026-10-05T12:38:11Z"/>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1E0C13" w:rsidRDefault="00A42790">
            <w:pPr>
              <w:spacing w:after="40"/>
              <w:rPr>
                <w:del w:id="9056" w:author="Claude" w:date="2026-10-05T12:38:11Z"/>
                <w:sz w:val="20"/>
                <w:szCs w:val="20"/>
                <w:rPrChange w:id="15" w:author="TORRES José Manuel, EDU/IMEP" w:date="2026-09-17T17:02:00Z" w16du:dateUtc="2026-09-17T15:02:00Z">
                  <w:rPr/>
                </w:rPrChange>
              </w:rPr>
            </w:pPr>
            <w:del w:id="9055" w:author="Claude" w:date="2026-10-05T12:38:11Z">
              <w:r>
                <w:rPr>
                  <w:b/>
                  <w:bCs/>
                  <w:sz w:val="20"/>
                  <w:szCs w:val="20"/>
                  <w:rPrChange w:id="16" w:author="TORRES José Manuel, EDU/IMEP" w:date="2026-09-17T17:02:00Z" w16du:dateUtc="2026-09-17T15:02:00Z">
                    <w:rPr>
                      <w:b/>
                      <w:bCs/>
                      <w:sz w:val="17"/>
                      <w:szCs w:val="17"/>
                    </w:rPr>
                  </w:rPrChange>
                </w:rPr>
                <w:delText>Area</w:delText>
              </w:r>
            </w:del>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1E0C13" w:rsidRDefault="00A42790">
            <w:pPr>
              <w:spacing w:after="40"/>
              <w:rPr>
                <w:del w:id="9058" w:author="Claude" w:date="2026-10-05T12:38:11Z"/>
                <w:sz w:val="20"/>
                <w:szCs w:val="20"/>
                <w:rPrChange w:id="17" w:author="TORRES José Manuel, EDU/IMEP" w:date="2026-09-17T17:02:00Z" w16du:dateUtc="2026-09-17T15:02:00Z">
                  <w:rPr/>
                </w:rPrChange>
              </w:rPr>
            </w:pPr>
            <w:del w:id="9057" w:author="Claude" w:date="2026-10-05T12:38:11Z">
              <w:r>
                <w:rPr>
                  <w:b/>
                  <w:bCs/>
                  <w:sz w:val="20"/>
                  <w:szCs w:val="20"/>
                  <w:rPrChange w:id="18" w:author="TORRES José Manuel, EDU/IMEP" w:date="2026-09-17T17:02:00Z" w16du:dateUtc="2026-09-17T15:02:00Z">
                    <w:rPr>
                      <w:b/>
                      <w:bCs/>
                      <w:sz w:val="17"/>
                      <w:szCs w:val="17"/>
                    </w:rPr>
                  </w:rPrChange>
                </w:rPr>
                <w:delText>Reasons</w:delText>
              </w:r>
            </w:del>
          </w:p>
        </w:tc>
      </w:tr>
      <w:tr w:rsidR="00F40E91" w:rsidRPr="001E0C13" w14:paraId="02C06284" w14:textId="77777777" w:rsidTr="00B0592A">
        <w:trPr>
          <w:trHeight w:val="424"/>
          <w:del w:id="9064" w:author="Claude" w:date="2026-10-05T12:38:11Z"/>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1E0C13" w:rsidRDefault="00A42790">
            <w:pPr>
              <w:spacing w:after="40"/>
              <w:rPr>
                <w:del w:id="9061" w:author="Claude" w:date="2026-10-05T12:38:11Z"/>
                <w:i/>
                <w:iCs/>
                <w:sz w:val="20"/>
                <w:szCs w:val="20"/>
                <w:rPrChange w:id="19" w:author="TORRES José Manuel, EDU/IMEP" w:date="2026-09-17T17:02:00Z" w16du:dateUtc="2026-09-17T15:02:00Z">
                  <w:rPr/>
                </w:rPrChange>
              </w:rPr>
            </w:pPr>
            <w:del w:id="9060" w:author="Claude" w:date="2026-10-05T12:38:11Z">
              <w:r>
                <w:rPr>
                  <w:i/>
                  <w:iCs/>
                  <w:sz w:val="20"/>
                  <w:szCs w:val="20"/>
                  <w:rPrChange w:id="20" w:author="TORRES José Manuel, EDU/IMEP" w:date="2026-09-17T17:02:00Z" w16du:dateUtc="2026-09-17T15:02:00Z">
                    <w:rPr>
                      <w:sz w:val="17"/>
                      <w:szCs w:val="17"/>
                    </w:rPr>
                  </w:rPrChange>
                </w:rPr>
                <w:delText>Professional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1E0C13" w:rsidRDefault="00A42790">
            <w:pPr>
              <w:spacing w:after="40"/>
              <w:rPr>
                <w:del w:id="9063" w:author="Claude" w:date="2026-10-05T12:38:11Z"/>
                <w:sz w:val="20"/>
                <w:szCs w:val="20"/>
                <w:rPrChange w:id="21" w:author="TORRES José Manuel, EDU/IMEP" w:date="2026-09-17T17:02:00Z" w16du:dateUtc="2026-09-17T15:02:00Z">
                  <w:rPr/>
                </w:rPrChange>
              </w:rPr>
            </w:pPr>
            <w:del w:id="9062" w:author="Claude" w:date="2026-10-05T12:38:11Z">
              <w:r>
                <w:rPr>
                  <w:sz w:val="20"/>
                  <w:szCs w:val="20"/>
                  <w:rPrChange w:id="22" w:author="TORRES José Manuel, EDU/IMEP" w:date="2026-09-17T17:02:00Z" w16du:dateUtc="2026-09-17T15:02:00Z">
                    <w:rPr>
                      <w:sz w:val="17"/>
                      <w:szCs w:val="17"/>
                    </w:rPr>
                  </w:rPrChange>
                </w:rPr>
                <w:delText>Loss of professional purpose; limited autonomy over the work; professional standing; exposure to parental complaint and legal risk</w:delText>
              </w:r>
            </w:del>
          </w:p>
        </w:tc>
      </w:tr>
      <w:tr w:rsidR="00F40E91" w:rsidRPr="001E0C13" w14:paraId="260786D4" w14:textId="77777777" w:rsidTr="00B0592A">
        <w:trPr>
          <w:trHeight w:val="429"/>
          <w:del w:id="9069" w:author="Claude" w:date="2026-10-05T12:38:11Z"/>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1E0C13" w:rsidRDefault="00A42790">
            <w:pPr>
              <w:spacing w:after="40"/>
              <w:rPr>
                <w:del w:id="9066" w:author="Claude" w:date="2026-10-05T12:38:11Z"/>
                <w:i/>
                <w:iCs/>
                <w:sz w:val="20"/>
                <w:szCs w:val="20"/>
                <w:rPrChange w:id="23" w:author="TORRES José Manuel, EDU/IMEP" w:date="2026-09-17T17:02:00Z" w16du:dateUtc="2026-09-17T15:02:00Z">
                  <w:rPr/>
                </w:rPrChange>
              </w:rPr>
            </w:pPr>
            <w:del w:id="9065" w:author="Claude" w:date="2026-10-05T12:38:11Z">
              <w:r>
                <w:rPr>
                  <w:i/>
                  <w:iCs/>
                  <w:sz w:val="20"/>
                  <w:szCs w:val="20"/>
                  <w:rPrChange w:id="24" w:author="TORRES José Manuel, EDU/IMEP" w:date="2026-09-17T17:02:00Z" w16du:dateUtc="2026-09-17T15:02:00Z">
                    <w:rPr>
                      <w:sz w:val="17"/>
                      <w:szCs w:val="17"/>
                    </w:rPr>
                  </w:rPrChange>
                </w:rPr>
                <w:delText>Working conditions</w:delText>
              </w:r>
            </w:del>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1E0C13" w:rsidRDefault="00A42790">
            <w:pPr>
              <w:spacing w:after="40"/>
              <w:rPr>
                <w:del w:id="9068" w:author="Claude" w:date="2026-10-05T12:38:11Z"/>
                <w:sz w:val="20"/>
                <w:szCs w:val="20"/>
                <w:rPrChange w:id="25" w:author="TORRES José Manuel, EDU/IMEP" w:date="2026-09-17T17:02:00Z" w16du:dateUtc="2026-09-17T15:02:00Z">
                  <w:rPr/>
                </w:rPrChange>
              </w:rPr>
            </w:pPr>
            <w:del w:id="9067" w:author="Claude" w:date="2026-10-05T12:38:11Z">
              <w:r>
                <w:rPr>
                  <w:sz w:val="20"/>
                  <w:szCs w:val="20"/>
                  <w:rPrChange w:id="26" w:author="TORRES José Manuel, EDU/IMEP" w:date="2026-09-17T17:02:00Z" w16du:dateUtc="2026-09-17T15:02:00Z">
                    <w:rPr>
                      <w:sz w:val="17"/>
                      <w:szCs w:val="17"/>
                    </w:rPr>
                  </w:rPrChange>
                </w:rPr>
                <w:delText>Hours and total workload; pupil behaviour and classroom discipline; administrative and documentation demands; limited access to reduced hours; burnout and exhaustion</w:delText>
              </w:r>
            </w:del>
          </w:p>
        </w:tc>
      </w:tr>
      <w:tr w:rsidR="00F40E91" w:rsidRPr="001E0C13" w14:paraId="6186E1E2" w14:textId="77777777" w:rsidTr="00B0592A">
        <w:trPr>
          <w:trHeight w:val="233"/>
          <w:del w:id="9074" w:author="Claude" w:date="2026-10-05T12:38:11Z"/>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1E0C13" w:rsidRDefault="00A42790">
            <w:pPr>
              <w:spacing w:after="40"/>
              <w:rPr>
                <w:del w:id="9071" w:author="Claude" w:date="2026-10-05T12:38:11Z"/>
                <w:i/>
                <w:iCs/>
                <w:sz w:val="20"/>
                <w:szCs w:val="20"/>
                <w:rPrChange w:id="27" w:author="TORRES José Manuel, EDU/IMEP" w:date="2026-09-17T17:02:00Z" w16du:dateUtc="2026-09-17T15:02:00Z">
                  <w:rPr/>
                </w:rPrChange>
              </w:rPr>
            </w:pPr>
            <w:del w:id="9070" w:author="Claude" w:date="2026-10-05T12:38:11Z">
              <w:r>
                <w:rPr>
                  <w:i/>
                  <w:iCs/>
                  <w:sz w:val="20"/>
                  <w:szCs w:val="20"/>
                  <w:rPrChange w:id="28" w:author="TORRES José Manuel, EDU/IMEP" w:date="2026-09-17T17:02:00Z" w16du:dateUtc="2026-09-17T15:02:00Z">
                    <w:rPr>
                      <w:sz w:val="17"/>
                      <w:szCs w:val="17"/>
                    </w:rPr>
                  </w:rPrChange>
                </w:rPr>
                <w:delText>Organisational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1E0C13" w:rsidRDefault="00A42790">
            <w:pPr>
              <w:spacing w:after="40"/>
              <w:rPr>
                <w:del w:id="9073" w:author="Claude" w:date="2026-10-05T12:38:11Z"/>
                <w:sz w:val="20"/>
                <w:szCs w:val="20"/>
                <w:rPrChange w:id="29" w:author="TORRES José Manuel, EDU/IMEP" w:date="2026-09-17T17:02:00Z" w16du:dateUtc="2026-09-17T15:02:00Z">
                  <w:rPr/>
                </w:rPrChange>
              </w:rPr>
            </w:pPr>
            <w:del w:id="9072" w:author="Claude" w:date="2026-10-05T12:38:11Z">
              <w:r>
                <w:rPr>
                  <w:sz w:val="20"/>
                  <w:szCs w:val="20"/>
                  <w:rPrChange w:id="30" w:author="TORRES José Manuel, EDU/IMEP" w:date="2026-09-17T17:02:00Z" w16du:dateUtc="2026-09-17T15:02:00Z">
                    <w:rPr>
                      <w:sz w:val="17"/>
                      <w:szCs w:val="17"/>
                    </w:rPr>
                  </w:rPrChange>
                </w:rPr>
                <w:delText>School leadership; collegial support and team structure</w:delText>
              </w:r>
            </w:del>
          </w:p>
        </w:tc>
      </w:tr>
      <w:tr w:rsidR="00F40E91" w:rsidRPr="001E0C13" w14:paraId="335B703D" w14:textId="77777777" w:rsidTr="00B0592A">
        <w:trPr>
          <w:trHeight w:val="429"/>
          <w:del w:id="9079" w:author="Claude" w:date="2026-10-05T12:38:11Z"/>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1E0C13" w:rsidRDefault="00A42790">
            <w:pPr>
              <w:spacing w:after="40"/>
              <w:rPr>
                <w:del w:id="9076" w:author="Claude" w:date="2026-10-05T12:38:11Z"/>
                <w:i/>
                <w:iCs/>
                <w:sz w:val="20"/>
                <w:szCs w:val="20"/>
                <w:rPrChange w:id="31" w:author="TORRES José Manuel, EDU/IMEP" w:date="2026-09-17T17:02:00Z" w16du:dateUtc="2026-09-17T15:02:00Z">
                  <w:rPr/>
                </w:rPrChange>
              </w:rPr>
            </w:pPr>
            <w:del w:id="9075" w:author="Claude" w:date="2026-10-05T12:38:11Z">
              <w:r>
                <w:rPr>
                  <w:i/>
                  <w:iCs/>
                  <w:sz w:val="20"/>
                  <w:szCs w:val="20"/>
                  <w:rPrChange w:id="32" w:author="TORRES José Manuel, EDU/IMEP" w:date="2026-09-17T17:02:00Z" w16du:dateUtc="2026-09-17T15:02:00Z">
                    <w:rPr>
                      <w:sz w:val="17"/>
                      <w:szCs w:val="17"/>
                    </w:rPr>
                  </w:rPrChange>
                </w:rPr>
                <w:delText>Accountability and regulation</w:delText>
              </w:r>
            </w:del>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1E0C13" w:rsidRDefault="00A42790">
            <w:pPr>
              <w:spacing w:after="40"/>
              <w:rPr>
                <w:del w:id="9078" w:author="Claude" w:date="2026-10-05T12:38:11Z"/>
                <w:sz w:val="20"/>
                <w:szCs w:val="20"/>
                <w:rPrChange w:id="33" w:author="TORRES José Manuel, EDU/IMEP" w:date="2026-09-17T17:02:00Z" w16du:dateUtc="2026-09-17T15:02:00Z">
                  <w:rPr/>
                </w:rPrChange>
              </w:rPr>
            </w:pPr>
            <w:del w:id="9077" w:author="Claude" w:date="2026-10-05T12:38:11Z">
              <w:r>
                <w:rPr>
                  <w:sz w:val="20"/>
                  <w:szCs w:val="20"/>
                  <w:rPrChange w:id="34" w:author="TORRES José Manuel, EDU/IMEP" w:date="2026-09-17T17:02:00Z" w16du:dateUtc="2026-09-17T15:02:00Z">
                    <w:rPr>
                      <w:sz w:val="17"/>
                      <w:szCs w:val="17"/>
                    </w:rPr>
                  </w:rPrChange>
                </w:rPr>
                <w:delText>External inspection and its consequences; certification and licensing requirements</w:delText>
              </w:r>
            </w:del>
          </w:p>
        </w:tc>
      </w:tr>
      <w:tr w:rsidR="00F40E91" w:rsidRPr="001E0C13" w14:paraId="5A581155" w14:textId="77777777" w:rsidTr="00B0592A">
        <w:trPr>
          <w:trHeight w:val="233"/>
          <w:del w:id="9084" w:author="Claude" w:date="2026-10-05T12:38:11Z"/>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1E0C13" w:rsidRDefault="00A42790">
            <w:pPr>
              <w:spacing w:after="40"/>
              <w:rPr>
                <w:del w:id="9081" w:author="Claude" w:date="2026-10-05T12:38:11Z"/>
                <w:i/>
                <w:iCs/>
                <w:sz w:val="20"/>
                <w:szCs w:val="20"/>
                <w:rPrChange w:id="35" w:author="TORRES José Manuel, EDU/IMEP" w:date="2026-09-17T17:02:00Z" w16du:dateUtc="2026-09-17T15:02:00Z">
                  <w:rPr/>
                </w:rPrChange>
              </w:rPr>
            </w:pPr>
            <w:del w:id="9080" w:author="Claude" w:date="2026-10-05T12:38:11Z">
              <w:r>
                <w:rPr>
                  <w:i/>
                  <w:iCs/>
                  <w:sz w:val="20"/>
                  <w:szCs w:val="20"/>
                  <w:rPrChange w:id="36" w:author="TORRES José Manuel, EDU/IMEP" w:date="2026-09-17T17:02:00Z" w16du:dateUtc="2026-09-17T15:02:00Z">
                    <w:rPr>
                      <w:sz w:val="17"/>
                      <w:szCs w:val="17"/>
                    </w:rPr>
                  </w:rPrChange>
                </w:rPr>
                <w:delText>Financial factors</w:delText>
              </w:r>
            </w:del>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1E0C13" w:rsidRDefault="00A42790">
            <w:pPr>
              <w:spacing w:after="40"/>
              <w:rPr>
                <w:del w:id="9083" w:author="Claude" w:date="2026-10-05T12:38:11Z"/>
                <w:sz w:val="20"/>
                <w:szCs w:val="20"/>
                <w:rPrChange w:id="37" w:author="TORRES José Manuel, EDU/IMEP" w:date="2026-09-17T17:02:00Z" w16du:dateUtc="2026-09-17T15:02:00Z">
                  <w:rPr/>
                </w:rPrChange>
              </w:rPr>
            </w:pPr>
            <w:del w:id="9082" w:author="Claude" w:date="2026-10-05T12:38:11Z">
              <w:r>
                <w:rPr>
                  <w:sz w:val="20"/>
                  <w:szCs w:val="20"/>
                  <w:rPrChange w:id="38" w:author="TORRES José Manuel, EDU/IMEP" w:date="2026-09-17T17:02:00Z" w16du:dateUtc="2026-09-17T15:02:00Z">
                    <w:rPr>
                      <w:sz w:val="17"/>
                      <w:szCs w:val="17"/>
                    </w:rPr>
                  </w:rPrChange>
                </w:rPr>
                <w:delText>Salary relative to outside options; pension design and its timing incentives; contract insecurity</w:delText>
              </w:r>
            </w:del>
          </w:p>
        </w:tc>
      </w:tr>
      <w:tr w:rsidR="00F40E91" w:rsidRPr="001E0C13" w14:paraId="4982CBB8" w14:textId="77777777" w:rsidTr="00B0592A">
        <w:trPr>
          <w:trHeight w:val="424"/>
          <w:del w:id="9089" w:author="Claude" w:date="2026-10-05T12:38:11Z"/>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1E0C13" w:rsidRDefault="00A42790">
            <w:pPr>
              <w:spacing w:after="40"/>
              <w:rPr>
                <w:del w:id="9086" w:author="Claude" w:date="2026-10-05T12:38:11Z"/>
                <w:i/>
                <w:iCs/>
                <w:sz w:val="20"/>
                <w:szCs w:val="20"/>
                <w:rPrChange w:id="39" w:author="TORRES José Manuel, EDU/IMEP" w:date="2026-09-17T17:02:00Z" w16du:dateUtc="2026-09-17T15:02:00Z">
                  <w:rPr/>
                </w:rPrChange>
              </w:rPr>
            </w:pPr>
            <w:del w:id="9085" w:author="Claude" w:date="2026-10-05T12:38:11Z">
              <w:r>
                <w:rPr>
                  <w:i/>
                  <w:iCs/>
                  <w:sz w:val="20"/>
                  <w:szCs w:val="20"/>
                  <w:rPrChange w:id="40" w:author="TORRES José Manuel, EDU/IMEP" w:date="2026-09-17T17:02:00Z" w16du:dateUtc="2026-09-17T15:02:00Z">
                    <w:rPr>
                      <w:sz w:val="17"/>
                      <w:szCs w:val="17"/>
                    </w:rPr>
                  </w:rPrChange>
                </w:rPr>
                <w:delText>Personal and life-course factors</w:delText>
              </w:r>
            </w:del>
          </w:p>
        </w:tc>
        <w:tc>
          <w:tcPr>
            <w:tcW w:w="0" w:type="auto"/>
            <w:tcBorders>
              <w:top w:val="single" w:sz="4" w:space="0" w:color="auto"/>
            </w:tcBorders>
            <w:tcMar>
              <w:top w:w="60" w:type="dxa"/>
              <w:left w:w="80" w:type="dxa"/>
              <w:bottom w:w="60" w:type="dxa"/>
              <w:right w:w="80" w:type="dxa"/>
            </w:tcMar>
          </w:tcPr>
          <w:p w14:paraId="6455C566" w14:textId="77777777" w:rsidR="00F40E91" w:rsidRPr="001E0C13" w:rsidRDefault="00A42790">
            <w:pPr>
              <w:spacing w:after="40"/>
              <w:rPr>
                <w:del w:id="9088" w:author="Claude" w:date="2026-10-05T12:38:11Z"/>
                <w:sz w:val="20"/>
                <w:szCs w:val="20"/>
                <w:rPrChange w:id="41" w:author="TORRES José Manuel, EDU/IMEP" w:date="2026-09-17T17:02:00Z" w16du:dateUtc="2026-09-17T15:02:00Z">
                  <w:rPr/>
                </w:rPrChange>
              </w:rPr>
            </w:pPr>
            <w:del w:id="9087" w:author="Claude" w:date="2026-10-05T12:38:11Z">
              <w:r>
                <w:rPr>
                  <w:sz w:val="20"/>
                  <w:szCs w:val="20"/>
                  <w:rPrChange w:id="42" w:author="TORRES José Manuel, EDU/IMEP" w:date="2026-09-17T17:02:00Z" w16du:dateUtc="2026-09-17T15:02:00Z">
                    <w:rPr>
                      <w:sz w:val="17"/>
                      <w:szCs w:val="17"/>
                    </w:rPr>
                  </w:rPrChange>
                </w:rPr>
                <w:delText>Family formation and care; childbirth; health and incapacity; relocation and a partner's circumstances; retirement and career stage</w:delText>
              </w:r>
            </w:del>
          </w:p>
        </w:tc>
      </w:tr>
    </w:tbl>
    <w:p w14:paraId="39CE40BD" w14:textId="77777777" w:rsidR="00F40E91" w:rsidRDefault="00A42790">
      <w:pPr>
        <w:spacing w:after="60" w:line="242" w:lineRule="auto"/>
        <w:jc w:val="both"/>
        <w:rPr>
          <w:del w:id="9093" w:author="Claude" w:date="2026-10-05T12:38:11Z"/>
        </w:rPr>
      </w:pPr>
      <w:del w:id="9092" w:author="Claude" w:date="2026-10-05T12:38:11Z">
        <w:r>
          <w:rPr>
            <w:sz w:val="17"/>
            <w:szCs w:val="17"/>
          </w:rPr>
          <w:delText>Source: Authors' elaboration on the literature reviewed in this section.</w:delText>
        </w:r>
      </w:del>
    </w:p>
    <w:p w14:paraId="7F3F1F93" w14:textId="77777777" w:rsidR="001E0C13" w:rsidRDefault="001E0C13">
      <w:pPr>
        <w:spacing w:after="130" w:line="242" w:lineRule="auto"/>
        <w:jc w:val="both"/>
        <w:rPr>
          <w:ins w:id="43" w:author="TORRES José Manuel, EDU/IMEP" w:date="2026-09-17T17:02:00Z" w16du:dateUtc="2026-09-17T15:02:00Z"/>
          <w:color w:val="000000" w:themeColor="text1"/>
        </w:rPr>
      </w:pPr>
    </w:p>
    <w:p w14:paraId="151578E8" w14:textId="4E6B2389" w:rsidR="00EA4639" w:rsidRDefault="00BD2158">
      <w:pPr>
        <w:spacing w:after="130" w:line="242" w:lineRule="auto"/>
        <w:jc w:val="both"/>
        <w:rPr>
          <w:del w:id="9122" w:author="Claude" w:date="2026-10-05T12:38:11Z"/>
          <w:color w:val="000000" w:themeColor="text1"/>
        </w:rPr>
      </w:pPr>
      <w:del w:id="9118" w:author="Claude" w:date="2026-10-05T12:38:11Z">
        <w:r>
          <w:rPr>
            <w:color w:val="000000" w:themeColor="text1"/>
          </w:rPr>
          <w:delText xml:space="preserve">First, professional factors group the motives related to the purpose, autonomy and standing of the teaching work. This area covers teachers who decide to leave because they no longer find meaning in teaching, who feel they have lost control over how to exercise it, or who perceive a deterioration in the standing of the profession, often due to the exposure to parental complaint and legal action. </w:delText>
        </w:r>
      </w:del>
      <w:commentRangeStart w:id="44"/>
      <w:commentRangeStart w:id="64"/>
      <w:del w:id="9119" w:author="Claude" w:date="2026-10-05T12:38:11Z">
        <w:r>
          <w:rPr>
            <w:color w:val="000000" w:themeColor="text1"/>
          </w:rPr>
          <w:delText xml:space="preserve">The evidence on this area comes mainly from surveys and focus groups where teachers declare their intention to leave and the reasons associated with it, that that despite being an imperfect proxy of actual leaving</w:delText>
        </w:r>
      </w:del>
      <w:del w:id="9120" w:author="Claude" w:date="2026-10-05T12:38:11Z">
        <w:r>
          <w:rPr>
            <w:rStyle w:val="FootnoteReference"/>
            <w:color w:val="000000" w:themeColor="text1"/>
          </w:rPr>
          <w:footnoteReference w:id="5"/>
        </w:r>
      </w:del>
      <w:del w:id="9121" w:author="Claude" w:date="2026-10-05T12:38:11Z">
        <w:r>
          <w:rPr>
            <w:color w:val="000000" w:themeColor="text1"/>
          </w:rPr>
          <w:delText xml:space="preserve">, reaches motives that administrative records cannot register. </w:delText>
        </w:r>
      </w:del>
    </w:p>
    <w:p w14:paraId="06D42C4E" w14:textId="1ED7C954" w:rsidR="00865AF8" w:rsidRDefault="00BD2158">
      <w:pPr>
        <w:spacing w:after="130" w:line="242" w:lineRule="auto"/>
        <w:jc w:val="both"/>
        <w:rPr>
          <w:del w:id="9131" w:author="Claude" w:date="2026-10-05T12:38:11Z"/>
          <w:color w:val="000000" w:themeColor="text1"/>
        </w:rPr>
      </w:pPr>
      <w:del w:id="9123" w:author="Claude" w:date="2026-10-05T12:38:11Z">
        <w:r>
          <w:rPr>
            <w:color w:val="000000" w:themeColor="text1"/>
          </w:rPr>
          <w:delText xml:space="preserve">A great example is Finland, where a longitudinal survey that followed teachers over five years found a lack of professional commitment named persistently over workload and interpersonal relation difficulties among those declaring an intention to leave </w:delText>
        </w:r>
      </w:del>
      <w:del w:id="9124" w:author="Claude" w:date="2026-10-05T12:38:11Z">
        <w:r>
          <w:rPr>
            <w:color w:val="0070C0"/>
          </w:rPr>
          <w:delText>(Räsänen et al., 2020)</w:delText>
        </w:r>
      </w:del>
      <w:del w:id="9125" w:author="Claude" w:date="2026-10-05T12:38:11Z">
        <w:r>
          <w:rPr>
            <w:color w:val="000000" w:themeColor="text1"/>
          </w:rPr>
          <w:delText xml:space="preserve">.  Similarly, in England, teachers with the intention of leaving declared that their views are not considered by policymakers, giving this concern more importance than salary and economic incentives </w:delText>
        </w:r>
      </w:del>
      <w:del w:id="9126" w:author="Claude" w:date="2026-10-05T12:38:11Z">
        <w:r>
          <w:rPr>
            <w:color w:val="0070C0"/>
          </w:rPr>
          <w:delText>(Department for Education, 2024b)</w:delText>
        </w:r>
      </w:del>
      <w:del w:id="9127" w:author="Claude" w:date="2026-10-05T12:38:11Z">
        <w:r>
          <w:rPr>
            <w:color w:val="000000" w:themeColor="text1"/>
          </w:rPr>
          <w:delText xml:space="preserve">. When the question turns to actual leavers, this pattern remains consistent, in the United States, most switchers rate their new job above teaching in autonomy, influence and professional prestige, although not always in salary </w:delText>
        </w:r>
      </w:del>
      <w:del w:id="9128" w:author="Claude" w:date="2026-10-05T12:38:11Z">
        <w:r>
          <w:rPr>
            <w:color w:val="0070C0"/>
          </w:rPr>
          <w:delText>(NCES, 2014)</w:delText>
        </w:r>
      </w:del>
      <w:del w:id="9129" w:author="Claude" w:date="2026-10-05T12:38:11Z">
        <w:r>
          <w:rPr>
            <w:color w:val="000000" w:themeColor="text1"/>
          </w:rPr>
          <w:delText xml:space="preserve">. Similar findings are found in the leaver surveys of the Netherlands and Sweden, where the lack of professional challenge and the limited control over one's own work rank among the leading motives, only behind working conditions </w:delText>
        </w:r>
      </w:del>
      <w:del w:id="9130" w:author="Claude" w:date="2026-10-05T12:38:11Z">
        <w:r>
          <w:rPr>
            <w:color w:val="0070C0"/>
          </w:rPr>
          <w:delText>(Van Casteren et al., 2023; Statistics Sweden, 2023).</w:delText>
        </w:r>
      </w:del>
    </w:p>
    <w:p w14:paraId="5A609B4A" w14:textId="33ED5985" w:rsidR="0037463F" w:rsidRDefault="00D20F84">
      <w:pPr>
        <w:spacing w:after="130" w:line="242" w:lineRule="auto"/>
        <w:jc w:val="both"/>
        <w:rPr>
          <w:del w:id="9136" w:author="Claude" w:date="2026-10-05T12:38:11Z"/>
          <w:color w:val="000000" w:themeColor="text1"/>
        </w:rPr>
      </w:pPr>
      <w:del w:id="9132" w:author="Claude" w:date="2026-10-05T12:38:11Z">
        <w:r>
          <w:rPr>
            <w:color w:val="000000" w:themeColor="text1"/>
          </w:rPr>
          <w:delText xml:space="preserve">Moreover, the apparent decline in the perception of professional purpose of the teaching profession is not only a problem for those deciding to leave. The TALIS survey, which asks teachers across more than fifty countries about their work and its conditions, shows that across the OECD only 26% of teachers felt their profession was valued in society, and those who do feel valued are over 10% less likely to intend leaving within five years </w:delText>
        </w:r>
      </w:del>
      <w:del w:id="9133" w:author="Claude" w:date="2026-10-05T12:38:11Z">
        <w:r>
          <w:rPr>
            <w:color w:val="0070C0"/>
          </w:rPr>
          <w:delText>(OECD, 2020; OECD, 2025c).</w:delText>
        </w:r>
      </w:del>
      <w:del w:id="9134" w:author="Claude" w:date="2026-10-05T12:38:11Z">
        <w:r>
          <w:rPr>
            <w:color w:val="000000" w:themeColor="text1"/>
          </w:rPr>
          <w:delText xml:space="preserve"> Taken together the evidence points to recognition and professional purpose as decisive in the decision to leave, consistent with teaching remaining as one of the most vocational career choices. </w:delText>
        </w:r>
      </w:del>
      <w:commentRangeStart w:id="45"/>
      <w:commentRangeStart w:id="65"/>
      <w:del w:id="9135" w:author="Claude" w:date="2026-10-05T12:38:11Z">
        <w:r>
          <w:rPr>
            <w:color w:val="000000" w:themeColor="text1"/>
          </w:rPr>
          <w:delText xml:space="preserve">This matters for policies that seek to </w:delText>
          <w:lastRenderedPageBreak/>
          <w:delText xml:space="preserve">bring former teachers back and highlight the importance of the recognition of their previous service, roles that make use of their experience and initiatives that increase their participation in decisions about their own work.</w:delText>
        </w:r>
      </w:del>
      <w:commentRangeEnd w:id="64"/>
      <w:commentRangeEnd w:id="44"/>
      <w:r>
        <w:rPr>
          <w:rStyle w:val="CommentReference"/>
          <w:color w:val="000000" w:themeColor="text1"/>
          <w:sz w:val="23"/>
          <w:szCs w:val="23"/>
        </w:rPr>
        <w:commentReference w:id="44"/>
      </w:r>
      <w:r>
        <w:rPr>
          <w:rStyle w:val="CommentReference"/>
        </w:rPr>
        <w:commentReference w:id="64"/>
      </w:r>
      <w:commentRangeEnd w:id="65"/>
      <w:commentRangeEnd w:id="45"/>
      <w:r>
        <w:rPr>
          <w:rStyle w:val="CommentReference"/>
          <w:color w:val="000000" w:themeColor="text1"/>
          <w:sz w:val="23"/>
          <w:szCs w:val="23"/>
        </w:rPr>
        <w:commentReference w:id="45"/>
      </w:r>
      <w:r>
        <w:rPr>
          <w:rStyle w:val="CommentReference"/>
        </w:rPr>
        <w:commentReference w:id="65"/>
      </w:r>
    </w:p>
    <w:p w14:paraId="54495EDD" w14:textId="448E04CC" w:rsidR="00365378" w:rsidRDefault="007906A8">
      <w:pPr>
        <w:spacing w:after="130" w:line="242" w:lineRule="auto"/>
        <w:jc w:val="both"/>
        <w:rPr>
          <w:del w:id="9140" w:author="Claude" w:date="2026-10-05T12:38:11Z"/>
        </w:rPr>
      </w:pPr>
      <w:del w:id="9137" w:author="Claude" w:date="2026-10-05T12:38:11Z">
        <w:r>
          <w:delText xml:space="preserve">Secondly, complaints about working conditions are the most frequently declared factor associated with intention to leave in international surveys. In this area we group motives such as working hours and total workload, pupil behavior and classroom discipline, class size, administrative demands and the burnout that accumulates when these run together. According to TALIS 2024, one in four teachers across the OECD declare an intention to leave the profession within the next five years, and teachers who report high levels of stress are almost twice as likely to declare that intention. That stress comes mainly from too much administrative work and marking, from keeping up with constant changes in government requirements and from maintaining classroom discipline </w:delText>
        </w:r>
      </w:del>
      <w:del w:id="9138" w:author="Claude" w:date="2026-10-05T12:38:11Z">
        <w:r>
          <w:rPr>
            <w:color w:val="0563C1"/>
          </w:rPr>
          <w:delText>(OECD, 2020; OECD, 2025c)</w:delText>
        </w:r>
      </w:del>
      <w:del w:id="9139" w:author="Claude" w:date="2026-10-05T12:38:11Z">
        <w:r>
          <w:delText>.</w:delText>
        </w:r>
      </w:del>
    </w:p>
    <w:p w14:paraId="0A0C1CE4" w14:textId="2AE744F6" w:rsidR="00E5737D" w:rsidRDefault="00605373">
      <w:pPr>
        <w:spacing w:after="130" w:line="242" w:lineRule="auto"/>
        <w:jc w:val="both"/>
        <w:rPr>
          <w:del w:id="9152" w:author="Claude" w:date="2026-10-05T12:38:11Z"/>
        </w:rPr>
      </w:pPr>
      <w:del w:id="9141" w:author="Claude" w:date="2026-10-05T12:38:11Z">
        <w:r>
          <w:delText xml:space="preserve">In the same line, when actual leavers declare their motives, workload, </w:delText>
        </w:r>
      </w:del>
      <w:commentRangeStart w:id="46"/>
      <w:commentRangeStart w:id="66"/>
      <w:del w:id="9142" w:author="Claude" w:date="2026-10-05T12:38:11Z">
        <w:r>
          <w:delText>understood as an excessive number of hours both in the school and in preparation outside it</w:delText>
        </w:r>
      </w:del>
      <w:commentRangeEnd w:id="66"/>
      <w:commentRangeEnd w:id="46"/>
      <w:r>
        <w:rPr>
          <w:rStyle w:val="CommentReference"/>
          <w:sz w:val="23"/>
          <w:szCs w:val="23"/>
        </w:rPr>
        <w:commentReference w:id="46"/>
      </w:r>
      <w:r>
        <w:rPr>
          <w:rStyle w:val="CommentReference"/>
        </w:rPr>
        <w:commentReference w:id="66"/>
      </w:r>
      <w:del w:id="9143" w:author="Claude" w:date="2026-10-05T12:38:11Z">
        <w:r>
          <w:delText xml:space="preserve">, emerges as the most cited reason among those related to working conditions. In the Netherlands, workload, stress and burden were named ahead of every other category, by 47% of recent leavers, complaining about intense working days, little rest within them and recurrent overtime </w:delText>
        </w:r>
      </w:del>
      <w:del w:id="9144" w:author="Claude" w:date="2026-10-05T12:38:11Z">
        <w:r>
          <w:rPr>
            <w:color w:val="0563C1"/>
          </w:rPr>
          <w:delText>(Van Casteren et al., 2023)</w:delText>
        </w:r>
      </w:del>
      <w:del w:id="9145" w:author="Claude" w:date="2026-10-05T12:38:11Z">
        <w:r>
          <w:delText xml:space="preserve">. Among these leavers, 80% declared that they could have been retained, most often with less workload or a smaller class, and a quarter with more supportive school leadership. In Sweden the most important motives where workload and parental expectations first and administrative tasks and the lack of control over one's own work following </w:delText>
        </w:r>
      </w:del>
      <w:del w:id="9146" w:author="Claude" w:date="2026-10-05T12:38:11Z">
        <w:r>
          <w:rPr>
            <w:color w:val="0563C1"/>
          </w:rPr>
          <w:delText>(Statistics Sweden, 2023)</w:delText>
        </w:r>
      </w:del>
      <w:del w:id="9147" w:author="Claude" w:date="2026-10-05T12:38:11Z">
        <w:r>
          <w:delText xml:space="preserve">, and in Australia, the intensification of workload ranked second, only behind dissatisfaction with school leadership, which is examined later in this section </w:delText>
        </w:r>
      </w:del>
      <w:del w:id="9148" w:author="Claude" w:date="2026-10-05T12:38:11Z">
        <w:r>
          <w:rPr>
            <w:color w:val="0563C1"/>
          </w:rPr>
          <w:delText xml:space="preserve">(Brandenburg et al., </w:delText>
        </w:r>
      </w:del>
      <w:commentRangeStart w:id="47"/>
      <w:commentRangeStart w:id="67"/>
      <w:commentRangeStart w:id="48"/>
      <w:del w:id="9149" w:author="Claude" w:date="2026-10-05T12:38:11Z">
        <w:r>
          <w:rPr>
            <w:color w:val="0563C1"/>
          </w:rPr>
          <w:delText>2024</w:delText>
        </w:r>
      </w:del>
      <w:commentRangeEnd w:id="67"/>
      <w:commentRangeEnd w:id="47"/>
      <w:r>
        <w:rPr>
          <w:rStyle w:val="CommentReference"/>
          <w:color w:val="0563C1"/>
          <w:sz w:val="23"/>
          <w:szCs w:val="23"/>
        </w:rPr>
        <w:commentReference w:id="47"/>
      </w:r>
      <w:r>
        <w:rPr>
          <w:rStyle w:val="CommentReference"/>
        </w:rPr>
        <w:commentReference w:id="67"/>
      </w:r>
      <w:commentRangeEnd w:id="48"/>
      <w:r>
        <w:rPr>
          <w:rStyle w:val="CommentReference"/>
          <w:color w:val="0563C1"/>
          <w:sz w:val="23"/>
          <w:szCs w:val="23"/>
        </w:rPr>
        <w:commentReference w:id="48"/>
      </w:r>
      <w:del w:id="9150" w:author="Claude" w:date="2026-10-05T12:38:11Z">
        <w:r>
          <w:rPr>
            <w:color w:val="0563C1"/>
          </w:rPr>
          <w:delText>)</w:delText>
        </w:r>
      </w:del>
      <w:del w:id="9151" w:author="Claude" w:date="2026-10-05T12:38:11Z">
        <w:r>
          <w:delText xml:space="preserve">. </w:delText>
        </w:r>
      </w:del>
    </w:p>
    <w:p w14:paraId="2B6E9F69" w14:textId="4C9B84B1" w:rsidR="00E5737D" w:rsidRDefault="00F47CDC">
      <w:pPr>
        <w:spacing w:after="130" w:line="242" w:lineRule="auto"/>
        <w:jc w:val="both"/>
        <w:rPr>
          <w:del w:id="9163" w:author="Claude" w:date="2026-10-05T12:38:11Z"/>
          <w:color w:val="0563C1"/>
        </w:rPr>
      </w:pPr>
      <w:del w:id="9153" w:author="Claude" w:date="2026-10-05T12:38:11Z">
        <w:r>
          <w:delText xml:space="preserve">However, the workload teachers declare goes beyond the number of hours of work stipulated by contract and mainly reflects the burden they perceive in the classroom. This can be observed in England, where TALIS responses were linked to administrative registers of the school workforce</w:delText>
        </w:r>
      </w:del>
      <w:del w:id="9154" w:author="Claude" w:date="2026-10-05T12:38:11Z">
        <w:r>
          <w:rPr>
            <w:rStyle w:val="FootnoteReference"/>
          </w:rPr>
          <w:footnoteReference w:id="6"/>
        </w:r>
      </w:del>
      <w:del w:id="9155" w:author="Claude" w:date="2026-10-05T12:38:11Z">
        <w:r>
          <w:delText xml:space="preserve">, so actual departures could be observed. Teachers in schools with worse discipline were more likely to leave the profession, specifically an improvement of one standard deviation in the school's discipline climate halves a teacher's annual probability of leaving the profession</w:delText>
        </w:r>
      </w:del>
      <w:del w:id="9156" w:author="Claude" w:date="2026-10-05T12:38:11Z">
        <w:r>
          <w:rPr>
            <w:rStyle w:val="FootnoteReference"/>
          </w:rPr>
          <w:footnoteReference w:id="7"/>
        </w:r>
      </w:del>
      <w:del w:id="9157" w:author="Claude" w:date="2026-10-05T12:38:11Z">
        <w:r>
          <w:delText xml:space="preserve">. In the same study, the amount of hours teachers worked did not predict their departure </w:delText>
        </w:r>
      </w:del>
      <w:del w:id="9158" w:author="Claude" w:date="2026-10-05T12:38:11Z">
        <w:r>
          <w:rPr>
            <w:color w:val="0563C1"/>
          </w:rPr>
          <w:delText xml:space="preserve">(Sims and Jerrim, 2020). </w:delText>
        </w:r>
      </w:del>
      <w:del w:id="9159" w:author="Claude" w:date="2026-10-05T12:38:11Z">
        <w:r>
          <w:delText xml:space="preserve">This is relevant for policies that aim to re-attract former teachers, because teacher shortages tend to concentrate in disadvantaged or rural schools where the classroom climate is worst </w:delText>
        </w:r>
      </w:del>
      <w:del w:id="9160" w:author="Claude" w:date="2026-10-05T12:38:11Z">
        <w:r>
          <w:rPr>
            <w:color w:val="0563C1"/>
          </w:rPr>
          <w:delText>(Simon and Johnson, 2015; UNESCO, 2024)</w:delText>
        </w:r>
      </w:del>
      <w:del w:id="9161" w:author="Claude" w:date="2026-10-05T12:38:11Z">
        <w:r>
          <w:delText xml:space="preserve">. It also points to what such policies should attend to, the discipline climate of the school where a returner is placed and the teaching load they are offered </w:delText>
        </w:r>
      </w:del>
      <w:del w:id="9162" w:author="Claude" w:date="2026-10-05T12:38:11Z">
        <w:r>
          <w:rPr>
            <w:color w:val="0563C1"/>
          </w:rPr>
          <w:delText>(Sims and Jerrim, 2020; Van Casteren et al., 2023).</w:delText>
        </w:r>
      </w:del>
    </w:p>
    <w:p w14:paraId="250217BF" w14:textId="328AC184" w:rsidR="00A14A55" w:rsidRPr="00A14A55" w:rsidRDefault="00C44524" w:rsidP="00A14A55">
      <w:pPr>
        <w:spacing w:after="130" w:line="242" w:lineRule="auto"/>
        <w:jc w:val="both"/>
        <w:rPr>
          <w:del w:id="9169" w:author="Claude" w:date="2026-10-05T12:38:11Z"/>
        </w:rPr>
      </w:pPr>
      <w:del w:id="9164" w:author="Claude" w:date="2026-10-05T12:38:11Z">
        <w:r>
          <w:delText xml:space="preserve">Thirdly, closely linked to the daily pressures of teaching, organisational factors play a decisive role in retention, as the quality of institutional support influences a teacher’s decision to stay. This area includes the quality of school leadership, the structuring of collaborative time, and the degree of collegial support within the institution. Among these, dissatisfaction with school leadership emerges as one of the most frequently cited predictors of teacher departure in the literature (</w:delText>
        </w:r>
      </w:del>
      <w:del w:id="9165" w:author="Claude" w:date="2026-10-05T12:38:11Z">
        <w:r>
          <w:rPr>
            <w:color w:val="0563C1"/>
          </w:rPr>
          <w:delText>Boyd et al., 2011; Ladd, 2011; Simon and Johnson, 2015)</w:delText>
        </w:r>
      </w:del>
      <w:del w:id="9166" w:author="Claude" w:date="2026-10-05T12:38:11Z">
        <w:r>
          <w:delText xml:space="preserve">. However, isolating the causal effect of school administration on retention is methodologically challenging as </w:delText>
        </w:r>
      </w:del>
      <w:commentRangeStart w:id="49"/>
      <w:commentRangeStart w:id="68"/>
      <w:del w:id="9167" w:author="Claude" w:date="2026-10-05T12:38:11Z">
        <w:r>
          <w:delText>schools with highly effective principals tend to be the ones that already benefit from greater resources, more experienced staff, and a higher socio-economic student composition</w:delText>
        </w:r>
      </w:del>
      <w:commentRangeEnd w:id="68"/>
      <w:commentRangeEnd w:id="49"/>
      <w:r>
        <w:rPr>
          <w:rStyle w:val="CommentReference"/>
          <w:sz w:val="23"/>
          <w:szCs w:val="23"/>
        </w:rPr>
        <w:commentReference w:id="49"/>
      </w:r>
      <w:r>
        <w:rPr>
          <w:rStyle w:val="CommentReference"/>
        </w:rPr>
        <w:commentReference w:id="68"/>
      </w:r>
      <w:del w:id="9168" w:author="Claude" w:date="2026-10-05T12:38:11Z">
        <w:r>
          <w:delText>, making it difficult to disentangle the impact of leadership from favorable student and school characteristics.</w:delText>
        </w:r>
      </w:del>
    </w:p>
    <w:p w14:paraId="05420067" w14:textId="67FA4A83" w:rsidR="00243FDC" w:rsidRDefault="00080071">
      <w:pPr>
        <w:spacing w:after="130" w:line="242" w:lineRule="auto"/>
        <w:jc w:val="both"/>
        <w:rPr>
          <w:del w:id="9174" w:author="Claude" w:date="2026-10-05T12:38:11Z"/>
        </w:rPr>
      </w:pPr>
      <w:del w:id="9170" w:author="Claude" w:date="2026-10-05T12:38:11Z">
        <w:r>
          <w:lastRenderedPageBreak/>
          <w:delText xml:space="preserve">Nonetheless, when studies account for these sorting dynamics, the direct effect of leadership remains substantial. Using comprehensive survey data matched to administrative records in New York, </w:delText>
        </w:r>
      </w:del>
      <w:del w:id="9171" w:author="Claude" w:date="2026-10-05T12:38:11Z">
        <w:r>
          <w:rPr>
            <w:color w:val="0563C1"/>
          </w:rPr>
          <w:delText xml:space="preserve">Boyd et al. (2011) </w:delText>
        </w:r>
      </w:del>
      <w:del w:id="9172" w:author="Claude" w:date="2026-10-05T12:38:11Z">
        <w:r>
          <w:delText xml:space="preserve">found that teachers' perceptions of school administration was the central factor to retain staff in schools, outweighing other working conditions and student demographics. Moreover, studies tracking the same schools over time demonstrate that when a school's leadership improves -specifically in supportiveness, trust, and communication- its teacher turnover falls </w:delText>
        </w:r>
      </w:del>
      <w:del w:id="9173" w:author="Claude" w:date="2026-10-05T12:38:11Z">
        <w:r>
          <w:rPr>
            <w:color w:val="0563C1"/>
          </w:rPr>
          <w:delText>(Kraft, Marinell and Shen-Wei Yee, 2016).</w:delText>
        </w:r>
      </w:del>
    </w:p>
    <w:p w14:paraId="5E1B449D" w14:textId="491A4F48" w:rsidR="00616200" w:rsidRDefault="00616200" w:rsidP="00842847">
      <w:pPr>
        <w:spacing w:after="130" w:line="242" w:lineRule="auto"/>
        <w:jc w:val="both"/>
        <w:rPr>
          <w:del w:id="9185" w:author="Claude" w:date="2026-10-05T12:38:11Z"/>
          <w:color w:val="0563C1"/>
        </w:rPr>
      </w:pPr>
      <w:del w:id="9175" w:author="Claude" w:date="2026-10-05T12:38:11Z">
        <w:r>
          <w:delText xml:space="preserve">Additionally, mentorship is also a relevant organisational lever as it accelerates the pedagogical development of novice educators and mitigates the professional isolation common in early-career teaching. The results from </w:delText>
        </w:r>
      </w:del>
      <w:commentRangeStart w:id="50"/>
      <w:commentRangeStart w:id="69"/>
      <w:del w:id="9176" w:author="Claude" w:date="2026-10-05T12:38:11Z">
        <w:r>
          <w:delText xml:space="preserve">TALIS indicate that across the OECD only 22% of novice teachers report having an assigned mentor in their current school </w:delText>
        </w:r>
      </w:del>
      <w:del w:id="9177" w:author="Claude" w:date="2026-10-05T12:38:11Z">
        <w:r>
          <w:rPr>
            <w:color w:val="0563C1"/>
          </w:rPr>
          <w:delText>(OECD, 2020</w:delText>
        </w:r>
      </w:del>
      <w:commentRangeEnd w:id="69"/>
      <w:commentRangeEnd w:id="50"/>
      <w:r>
        <w:rPr>
          <w:rStyle w:val="CommentReference"/>
          <w:color w:val="0563C1"/>
          <w:sz w:val="23"/>
          <w:szCs w:val="23"/>
        </w:rPr>
        <w:commentReference w:id="50"/>
      </w:r>
      <w:r>
        <w:rPr>
          <w:rStyle w:val="CommentReference"/>
        </w:rPr>
        <w:commentReference w:id="69"/>
      </w:r>
      <w:del w:id="9178" w:author="Claude" w:date="2026-10-05T12:38:11Z">
        <w:r>
          <w:rPr>
            <w:color w:val="0563C1"/>
          </w:rPr>
          <w:delText>)</w:delText>
        </w:r>
      </w:del>
      <w:del w:id="9179" w:author="Claude" w:date="2026-10-05T12:38:11Z">
        <w:r>
          <w:delText xml:space="preserve">. Furthermore, in a meta-analysis pooling 120 observational studies, </w:delText>
        </w:r>
      </w:del>
      <w:del w:id="9180" w:author="Claude" w:date="2026-10-05T12:38:11Z">
        <w:r>
          <w:rPr>
            <w:color w:val="0563C1"/>
          </w:rPr>
          <w:delText>Nguyen et al. (2020)</w:delText>
        </w:r>
      </w:del>
      <w:del w:id="9181" w:author="Claude" w:date="2026-10-05T12:38:11Z">
        <w:r>
          <w:delText xml:space="preserve"> find that novice teachers who receive induction support are less likely to experience professional turnover. A particular example of this policy margin is England's Early Career Framework, which entitles every new teacher to two years of mentoring increasing teacher retention within their original school </w:delText>
        </w:r>
      </w:del>
      <w:del w:id="9182" w:author="Claude" w:date="2026-10-05T12:38:11Z">
        <w:r>
          <w:rPr>
            <w:color w:val="0563C1"/>
          </w:rPr>
          <w:delText>(Walker et al., 2024)</w:delText>
        </w:r>
      </w:del>
      <w:del w:id="9183" w:author="Claude" w:date="2026-10-05T12:38:11Z">
        <w:r>
          <w:delText xml:space="preserve">. More broadly, strong collegial support and collaborative school environments consistently correlate with lower attrition intentions </w:delText>
        </w:r>
      </w:del>
      <w:del w:id="9184" w:author="Claude" w:date="2026-10-05T12:38:11Z">
        <w:r>
          <w:rPr>
            <w:color w:val="0563C1"/>
          </w:rPr>
          <w:delText>(Johnson, Kraft and Papay, 2012; Simon and Johnson, 2015).</w:delText>
        </w:r>
      </w:del>
    </w:p>
    <w:p w14:paraId="316EA4E8" w14:textId="2A5A87A4" w:rsidR="00DE4C1C" w:rsidRDefault="00DD5104" w:rsidP="00842847">
      <w:pPr>
        <w:spacing w:after="130" w:line="242" w:lineRule="auto"/>
        <w:jc w:val="both"/>
        <w:rPr>
          <w:del w:id="9190" w:author="Claude" w:date="2026-10-05T12:38:11Z"/>
        </w:rPr>
      </w:pPr>
      <w:del w:id="9186" w:author="Claude" w:date="2026-10-05T12:38:11Z">
        <w:r>
          <w:delText xml:space="preserve">Thus, organisational factors matter in two ways for the re-entry policies examined in this paper. The first is where returners are placed, since leadership and collegial support are what the evidence above identifies as decisive, and a teacher who returns to a school with weak leadership meets the conditions that produced the first departure </w:delText>
        </w:r>
      </w:del>
      <w:del w:id="9187" w:author="Claude" w:date="2026-10-05T12:38:11Z">
        <w:r>
          <w:rPr>
            <w:color w:val="0563C1"/>
          </w:rPr>
          <w:delText>(Boyd et al., 2011; Kraft, Marinell and Shen-Wei Yee, 2016)</w:delText>
        </w:r>
      </w:del>
      <w:del w:id="9188" w:author="Claude" w:date="2026-10-05T12:38:11Z">
        <w:r>
          <w:delText xml:space="preserve">. The second is the potential for retired teachers to re-enter the profession as dedicated mentors, addressing the mentoring shortages identified by TALIS and contributing to the peer collaboration and professional interaction that directly improve instructional quality </w:delText>
        </w:r>
      </w:del>
      <w:del w:id="9189" w:author="Claude" w:date="2026-10-05T12:38:11Z">
        <w:r>
          <w:rPr>
            <w:color w:val="0563C1"/>
          </w:rPr>
          <w:delText>(Papay et al., 2020).</w:delText>
        </w:r>
      </w:del>
    </w:p>
    <w:p w14:paraId="0CD4CEB0" w14:textId="750A45E0" w:rsidR="00E7094E" w:rsidRDefault="00731A34">
      <w:pPr>
        <w:spacing w:after="130" w:line="242" w:lineRule="auto"/>
        <w:jc w:val="both"/>
        <w:rPr>
          <w:del w:id="9196" w:author="Claude" w:date="2026-10-05T12:38:11Z"/>
        </w:rPr>
      </w:pPr>
      <w:del w:id="9191" w:author="Claude" w:date="2026-10-05T12:38:11Z">
        <w:r>
          <w:delText xml:space="preserve">Fourth,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delText>
        </w:r>
      </w:del>
      <w:del w:id="9192" w:author="Claude" w:date="2026-10-05T12:38:11Z">
        <w:r>
          <w:rPr>
            <w:color w:val="0563C1"/>
          </w:rPr>
          <w:delText>(OECD, 2020)</w:delText>
        </w:r>
      </w:del>
      <w:del w:id="9193" w:author="Claude" w:date="2026-10-05T12:38:11Z">
        <w:r>
          <w:delText xml:space="preserve">. Additionally, beyond evaluation, maintaining a valid teaching license requires meeting specific regulatory obligations that vary by country, typically taking the form of mandatory periodic training or documented evidence of continued classroom practice</w:delText>
        </w:r>
      </w:del>
      <w:del w:id="9194" w:author="Claude" w:date="2026-10-05T12:38:11Z">
        <w:r>
          <w:rPr>
            <w:rStyle w:val="FootnoteReference"/>
          </w:rPr>
          <w:footnoteReference w:id="8"/>
        </w:r>
      </w:del>
      <w:del w:id="9195" w:author="Claude" w:date="2026-10-05T12:38:11Z">
        <w:r>
          <w:delText>.</w:delText>
        </w:r>
      </w:del>
    </w:p>
    <w:p w14:paraId="1C8DDECD" w14:textId="7610ADEB" w:rsidR="005370F6" w:rsidRPr="00A43F9A" w:rsidRDefault="00224F86">
      <w:pPr>
        <w:spacing w:after="130" w:line="242" w:lineRule="auto"/>
        <w:jc w:val="both"/>
        <w:rPr>
          <w:del w:id="9206" w:author="Claude" w:date="2026-10-05T12:38:11Z"/>
        </w:rPr>
      </w:pPr>
      <w:del w:id="9197" w:author="Claude" w:date="2026-10-05T12:38:11Z">
        <w:r>
          <w:delText xml:space="preserve">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w:delText>
        </w:r>
      </w:del>
      <w:del w:id="9198" w:author="Claude" w:date="2026-10-05T12:38:11Z">
        <w:r>
          <w:rPr>
            <w:color w:val="0563C1"/>
          </w:rPr>
          <w:delText xml:space="preserve"> (OECD, 2020)</w:delText>
        </w:r>
      </w:del>
      <w:del w:id="9199" w:author="Claude" w:date="2026-10-05T12:38:11Z">
        <w:r>
          <w:delText xml:space="preserve">. The importance of accountability and regulation motives is nonetheless minor compared to other determinants of leaving, since even if test-based accountability does elevate stress and turnover intentions </w:delText>
        </w:r>
      </w:del>
      <w:del w:id="9200" w:author="Claude" w:date="2026-10-05T12:38:11Z">
        <w:r>
          <w:rPr>
            <w:color w:val="0563C1"/>
          </w:rPr>
          <w:delText>(Ryan et al., 2017)</w:delText>
        </w:r>
      </w:del>
      <w:del w:id="9201" w:author="Claude" w:date="2026-10-05T12:38:11Z">
        <w:r>
          <w:delText xml:space="preserve"> ranks below affective commitment, burnout and job satisfaction </w:delText>
        </w:r>
      </w:del>
      <w:del w:id="9202" w:author="Claude" w:date="2026-10-05T12:38:11Z">
        <w:r>
          <w:rPr>
            <w:color w:val="0563C1"/>
          </w:rPr>
          <w:delText>(Gundlach, Slemp and Hattie, 2024)</w:delText>
        </w:r>
      </w:del>
      <w:del w:id="9203" w:author="Claude" w:date="2026-10-05T12:38:11Z">
        <w:r>
          <w:delText xml:space="preserve">. </w:delText>
        </w:r>
      </w:del>
      <w:commentRangeStart w:id="51"/>
      <w:commentRangeStart w:id="70"/>
      <w:del w:id="9204" w:author="Claude" w:date="2026-10-05T12:38:11Z">
        <w:r>
          <w:delText>For</w:delText>
        </w:r>
      </w:del>
      <w:commentRangeEnd w:id="70"/>
      <w:commentRangeEnd w:id="51"/>
      <w:r>
        <w:rPr>
          <w:rStyle w:val="CommentReference"/>
          <w:sz w:val="23"/>
          <w:szCs w:val="23"/>
        </w:rPr>
        <w:commentReference w:id="51"/>
      </w:r>
      <w:r>
        <w:rPr>
          <w:rStyle w:val="CommentReference"/>
        </w:rPr>
        <w:commentReference w:id="70"/>
      </w:r>
      <w:del w:id="9205" w:author="Claude" w:date="2026-10-05T12:38:11Z">
        <w:r>
          <w:delText xml:space="preserve"> policies aiming to re-attract teachers, this suggests that the cost of recertification is worth attention, as higher costs and the isolation teachers face in navigating the process affect the decision to leave, deter re-entry, and reduces retention once back, which argues for keeping such burdens as low as regulatory purposes allow.</w:delText>
        </w:r>
      </w:del>
    </w:p>
    <w:p w14:paraId="4A7C5A3A" w14:textId="35786A68" w:rsidR="001272F3" w:rsidRPr="001272F3" w:rsidRDefault="003A2ED9">
      <w:pPr>
        <w:spacing w:after="130" w:line="242" w:lineRule="auto"/>
        <w:jc w:val="both"/>
        <w:rPr>
          <w:del w:id="9215" w:author="Claude" w:date="2026-10-05T12:38:11Z"/>
        </w:rPr>
      </w:pPr>
      <w:del w:id="9207" w:author="Claude" w:date="2026-10-05T12:38:11Z">
        <w:r>
          <w:delText xml:space="preserve">Fifth, </w:delText>
        </w:r>
      </w:del>
      <w:commentRangeStart w:id="52"/>
      <w:commentRangeStart w:id="71"/>
      <w:del w:id="9208" w:author="Claude" w:date="2026-10-05T12:38:11Z">
        <w:r>
          <w:delText>economic incentives represent the most extensively studied determinant of teacher retention</w:delText>
        </w:r>
      </w:del>
      <w:commentRangeEnd w:id="71"/>
      <w:commentRangeEnd w:id="52"/>
      <w:r>
        <w:rPr>
          <w:rStyle w:val="CommentReference"/>
          <w:sz w:val="23"/>
          <w:szCs w:val="23"/>
        </w:rPr>
        <w:commentReference w:id="52"/>
      </w:r>
      <w:r>
        <w:rPr>
          <w:rStyle w:val="CommentReference"/>
        </w:rPr>
        <w:commentReference w:id="71"/>
      </w:r>
      <w:del w:id="9209" w:author="Claude" w:date="2026-10-05T12:38:11Z">
        <w:r>
          <w:delText xml:space="preserve">, including the salary relative to outside options, the design of pensions and the insecurity of contracts. From an economic perspective, a relevant margin for retention depends on comparing teaching wages </w:delText>
          <w:lastRenderedPageBreak/>
          <w:delText xml:space="preserve">against the best alternative available in the outside labor market. Because outside options vary by subject, qualification, and local labor market characteristics, uniform pay scales generate highly heterogeneous exit rates across disciplines and regions. For most teachers this comparison is unfavorable, since actual primary teacher salaries average 83% of the earnings of tertiary-educated workers across the OECD, with considerable heterogeneity across countries (see Figure 2). Only four systems pay at or above parity, led by Portugal at 128% of the benchmark, whereas the United States registers the lowest relative compensation at 63%. Where pay has been tested causally, money retains, with targeted payments cutting departures by 9% to 23% in Norway, England and North Carolina </w:delText>
        </w:r>
      </w:del>
      <w:del w:id="9210" w:author="Claude" w:date="2026-10-05T12:38:11Z">
        <w:r>
          <w:rPr>
            <w:color w:val="0563C1"/>
          </w:rPr>
          <w:delText>(Falch, 2011; Sims and Benhenda, 2022; Clotfelter et al., 2008)</w:delText>
        </w:r>
      </w:del>
      <w:del w:id="9211" w:author="Claude" w:date="2026-10-05T12:38:11Z">
        <w:r>
          <w:delText xml:space="preserve">, though the effect has lasted only as long as the payment itself </w:delText>
        </w:r>
      </w:del>
      <w:del w:id="9212" w:author="Claude" w:date="2026-10-05T12:38:11Z">
        <w:r>
          <w:rPr>
            <w:color w:val="0563C1"/>
          </w:rPr>
          <w:delText>(See et al., 2020)</w:delText>
        </w:r>
      </w:del>
      <w:del w:id="9213" w:author="Claude" w:date="2026-10-05T12:38:11Z">
        <w:r>
          <w:rPr>
            <w:rStyle w:val="FootnoteReference"/>
            <w:color w:val="0563C1"/>
          </w:rPr>
          <w:footnoteReference w:id="9"/>
        </w:r>
      </w:del>
      <w:del w:id="9214" w:author="Claude" w:date="2026-10-05T12:38:11Z">
        <w:r>
          <w:delText>.</w:delText>
        </w:r>
      </w:del>
    </w:p>
    <w:p>
      <w:pPr>
        <w:pStyle w:val="Heading3"/>
        <w:keepNext/>
        <w:rPr>
          <w:ins w:id="9094" w:author="Claude" w:date="2026-10-05T12:38:11Z"/>
        </w:rPr>
      </w:pPr>
      <w:ins w:id="9095" w:author="Claude" w:date="2026-10-05T12:38:11Z">
        <w:r>
          <w:t xml:space="preserve">Working conditions</w:t>
        </w:r>
      </w:ins>
    </w:p>
    <w:p>
      <w:pPr>
        <w:spacing w:after="130" w:line="242" w:lineRule="auto"/>
        <w:jc w:val="both"/>
        <w:rPr>
          <w:ins w:id="9096" w:author="Claude" w:date="2026-10-05T12:38:11Z"/>
        </w:rPr>
      </w:pPr>
      <w:ins w:id="9097" w:author="Claude" w:date="2026-10-05T12:38:11Z">
        <w:r>
          <w:t xml:space="preserve">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ins>
    </w:p>
    <w:p>
      <w:pPr>
        <w:spacing w:after="130" w:line="242" w:lineRule="auto"/>
        <w:jc w:val="both"/>
        <w:rPr>
          <w:ins w:id="9098" w:author="Claude" w:date="2026-10-05T12:38:11Z"/>
        </w:rPr>
      </w:pPr>
      <w:ins w:id="9099" w:author="Claude" w:date="2026-10-05T12:38:11Z">
        <w:r>
          <w:t xml:space="preserve">Actual leavers confirm this picture. In the Netherlands, workload, stress and burden were named ahead of every other category by 47% of recent leavers, who complained about intense working days, little rest within them and recurrent overtime (Van Casteren et al., 2023). Among them, 80% declared that they could have been retained, most often with less workload or a smaller class, and a quarter with more supportive school leadership. In Sweden, workload and parental expectations came first, followed by administrative tasks and the lack of control over one's own work (Statistics Sweden, 2023). In Australia, the intensification of workload ranked second, behind dissatisfaction with school leadership (Brandenburg et al., 2024).</w:t>
        </w:r>
      </w:ins>
    </w:p>
    <w:p>
      <w:pPr>
        <w:spacing w:after="130" w:line="242" w:lineRule="auto"/>
        <w:jc w:val="both"/>
        <w:rPr>
          <w:ins w:id="9100" w:author="Claude" w:date="2026-10-05T12:38:11Z"/>
        </w:rPr>
      </w:pPr>
      <w:ins w:id="9101" w:author="Claude" w:date="2026-10-05T12:38:11Z">
        <w:r>
          <w:t xml:space="preserve">These complaints do not mean that teachers' conditions are worse than those of other professions. When TALIS 2024 responses are compared with those of similarly qualified workers in the Survey of Adult Skills, teachers report fewer weekly hours in 13 of 26 systems and no clear difference in another 11 (OECD, 2025b). What distinguishes teaching is less the number of hours than their intensity and the burden perceived in the classroom. This is confirmed where declared workload can be set against observed departures. In England, the TALIS 2018 responses of teachers were linked to the School Workforce Census, the administrative register of state-school staff, so that actual departures could be followed (Sims and Jerrim, 2020). Teachers in schools with worse discipline were more likely to leave the profession. An improvement of one standard deviation in the school's discipline climate, an index built from teachers' reports on how far they can control disruptive behaviour, how consistently the school enforces rules and how much stress pupil behaviour causes them, halved a teacher's annual probability of leaving. In the same study, the hours teachers worked did not predict their departure.</w:t>
        </w:r>
      </w:ins>
    </w:p>
    <w:p>
      <w:pPr>
        <w:spacing w:after="130" w:line="242" w:lineRule="auto"/>
        <w:jc w:val="both"/>
        <w:rPr>
          <w:ins w:id="9102" w:author="Claude" w:date="2026-10-05T12:38:11Z"/>
        </w:rPr>
      </w:pPr>
      <w:ins w:id="9103" w:author="Claude" w:date="2026-10-05T12:38:11Z">
        <w:r>
          <w:t xml:space="preserve">For re-entry policies, two lessons follow. The first concerns placement. Shortages concentrate in disadvantaged and rural schools where the classroom climate is worst (Simon and Johnson, 2015; UNESCO, 2024), so a returner placed there on the strength of an incentive alone meets the conditions that drive departures. The second concerns the load offered. Working conditions weigh on switchers and leavers alike, and a reduced teaching load or a smaller class is the retention measure that leavers themselves most often name (Van Casteren et al., 2023).</w:t>
        </w:r>
      </w:ins>
    </w:p>
    <w:p>
      <w:pPr>
        <w:pStyle w:val="Heading3"/>
        <w:keepNext/>
        <w:rPr>
          <w:ins w:id="9104" w:author="Claude" w:date="2026-10-05T12:38:11Z"/>
        </w:rPr>
      </w:pPr>
      <w:ins w:id="9105" w:author="Claude" w:date="2026-10-05T12:38:11Z">
        <w:r>
          <w:t xml:space="preserve">Organisational factors</w:t>
        </w:r>
      </w:ins>
    </w:p>
    <w:p>
      <w:pPr>
        <w:spacing w:after="130" w:line="242" w:lineRule="auto"/>
        <w:jc w:val="both"/>
        <w:rPr>
          <w:ins w:id="9106" w:author="Claude" w:date="2026-10-05T12:38:11Z"/>
        </w:rPr>
      </w:pPr>
      <w:ins w:id="9107" w:author="Claude" w:date="2026-10-05T12:38:11Z">
        <w:r>
          <w:t xml:space="preserve">Closely linked to the daily pressures of teaching, organisational factors cover the quality of school leadership, the structuring of collaborative time and the degree of support among colleagues. Dissatisfaction with school leadership is one of the most frequently cited predictors of teacher departure (Boyd et al., 2011; Ladd, 2011; Simon and Johnson, 2015). Isolating its causal effect is difficult, because principals and teachers sort across schools. Experienced principals tend to move towards schools with more advantaged students, so leadership quality and school context are correlated and their effects are hard to separate (Béteille, Kalogrides and Loeb, 2012).</w:t>
        </w:r>
      </w:ins>
    </w:p>
    <w:p>
      <w:pPr>
        <w:spacing w:after="130" w:line="242" w:lineRule="auto"/>
        <w:jc w:val="both"/>
        <w:rPr>
          <w:ins w:id="9108" w:author="Claude" w:date="2026-10-05T12:38:11Z"/>
        </w:rPr>
      </w:pPr>
      <w:ins w:id="9109" w:author="Claude" w:date="2026-10-05T12:38:11Z">
        <w:r>
          <w:t xml:space="preserve">Studies that account for this sorting still find a substantial effect. 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The effect of principals is largest precisely in disadvantaged schools, where an effective principal raises teacher satisfaction and lowers turnover more than elsewhere (Grissom, 2011).</w:t>
        </w:r>
      </w:ins>
    </w:p>
    <w:p>
      <w:pPr>
        <w:spacing w:after="130" w:line="242" w:lineRule="auto"/>
        <w:jc w:val="both"/>
        <w:rPr>
          <w:ins w:id="9110" w:author="Claude" w:date="2026-10-05T12:38:11Z"/>
        </w:rPr>
      </w:pPr>
      <w:ins w:id="9111" w:author="Claude" w:date="2026-10-05T12:38:11Z">
        <w:r>
          <w:t xml:space="preserve">Mentoring is a further organisational lever. It accelerates the development of novice teachers and reduces the isolation common in the first years. Across the OECD, only 26% of novice teachers had an assigned mentor in 2024, although four in five worked in schools that offer a mentoring programme (OECD, 2025b). Novice teachers who receive induction support are less likely to leave (Nguyen et al., 2020), and England's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ins>
    </w:p>
    <w:p>
      <w:pPr>
        <w:spacing w:after="130" w:line="242" w:lineRule="auto"/>
        <w:jc w:val="both"/>
        <w:rPr>
          <w:ins w:id="9112" w:author="Claude" w:date="2026-10-05T12:38:11Z"/>
        </w:rPr>
      </w:pPr>
      <w:ins w:id="9113" w:author="Claude" w:date="2026-10-05T12:38:11Z">
        <w:r>
          <w:t xml:space="preserve">For re-entry policies, organisational factors matter in two ways. The first is again placement. Leadership and collegial support are decisive for all three profiles, and a teacher who returns to a school with weak leadership meets the conditions that produced the first departure. The second is the role that retired teachers can play. Where fewer than one in three novices has a mentor, experienced returners can fill that gap, and the peer interaction they bring improves the instruction of their colleagues (Papay et al., 2020; DeCesare et al., 2017).</w:t>
        </w:r>
      </w:ins>
    </w:p>
    <w:p>
      <w:pPr>
        <w:pStyle w:val="Heading3"/>
        <w:keepNext/>
        <w:rPr>
          <w:ins w:id="9114" w:author="Claude" w:date="2026-10-05T12:38:11Z"/>
        </w:rPr>
      </w:pPr>
      <w:ins w:id="9115" w:author="Claude" w:date="2026-10-05T12:38:11Z">
        <w:r>
          <w:t xml:space="preserve">Financial factors</w:t>
        </w:r>
      </w:ins>
    </w:p>
    <w:p>
      <w:pPr>
        <w:spacing w:after="130" w:line="242" w:lineRule="auto"/>
        <w:jc w:val="both"/>
        <w:rPr>
          <w:ins w:id="9116" w:author="Claude" w:date="2026-10-05T12:38:11Z"/>
        </w:rPr>
      </w:pPr>
      <w:ins w:id="9117" w:author="Claude" w:date="2026-10-05T12:38:11Z">
        <w:r>
          <w:t xml:space="preserve">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(OECD, 2025d).</w:t>
        </w:r>
      </w:ins>
    </w:p>
    <w:p w14:paraId="62FFFA0B" w14:textId="054BDD7B" w:rsidR="00F40E91" w:rsidRPr="009E7410" w:rsidRDefault="00A42790">
      <w:pPr>
        <w:spacing w:after="130" w:line="242" w:lineRule="auto"/>
        <w:jc w:val="both"/>
        <w:rPr>
          <w:b/>
          <w:bCs/>
        </w:rPr>
      </w:pPr>
      <w:r>
        <w:rPr>
          <w:b/>
          <w:bCs/>
        </w:rPr>
        <w:t xml:space="preserve">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0C280E90" w14:textId="655CEF0D" w:rsidR="00237103" w:rsidRDefault="00237103">
      <w:pPr>
        <w:spacing w:after="130" w:line="242" w:lineRule="auto"/>
        <w:jc w:val="both"/>
        <w:rPr>
          <w:del w:id="9287" w:author="Claude" w:date="2026-10-05T12:38:11Z"/>
          <w:color w:val="0563C1"/>
        </w:rPr>
      </w:pPr>
      <w:del w:id="9279" w:author="Claude" w:date="2026-10-05T12:38:11Z">
        <w:r>
          <w:delText xml:space="preserve">Moreover, pension rules also affect the decision to leave, since they set the retirement age and, along the teaching career, create incentives for retention depending on the pension system’s rigidity. In most schemes covering teachers, retiring before the age stipulated by law reduces the pension and retiring later marginally increases it, so retirement concentrates around that age</w:delText>
        </w:r>
      </w:del>
      <w:del w:id="9280" w:author="Claude" w:date="2026-10-05T12:38:11Z">
        <w:r>
          <w:rPr>
            <w:rStyle w:val="FootnoteReference"/>
          </w:rPr>
          <w:footnoteReference w:id="10"/>
        </w:r>
      </w:del>
      <w:del w:id="9281" w:author="Claude" w:date="2026-10-05T12:38:11Z">
        <w:r>
          <w:delText xml:space="preserve">. This phenomenon is closely related to the way pensions funds growth and accumulate. In defined-benefit schemes, most of the pension is earned in the final years before the full-pension age and little accrues after it, so one more year of work carries a substantial pension gain at 54 and almost nothing at 60 </w:delText>
        </w:r>
      </w:del>
      <w:del w:id="9282" w:author="Claude" w:date="2026-10-05T12:38:11Z">
        <w:r>
          <w:rPr>
            <w:color w:val="0563C1"/>
          </w:rPr>
          <w:delText>(Costrell and Podgursky, 2009)</w:delText>
        </w:r>
      </w:del>
      <w:del w:id="9283" w:author="Claude" w:date="2026-10-05T12:38:11Z">
        <w:r>
          <w:delText xml:space="preserve">. This is mostly the case across the civil-service teacher schemes of Europe and North America, while defined-contribution systems, as in Sweden or Australia, are close to actuarially neutral and spread retirements accordingly </w:delText>
        </w:r>
      </w:del>
      <w:del w:id="9284" w:author="Claude" w:date="2026-10-05T12:38:11Z">
        <w:r>
          <w:rPr>
            <w:color w:val="0563C1"/>
          </w:rPr>
          <w:delText>(OECD, 2025e)</w:delText>
        </w:r>
      </w:del>
      <w:del w:id="9285" w:author="Claude" w:date="2026-10-05T12:38:11Z">
        <w:r>
          <w:delText xml:space="preserve">. The available estimates of how much teachers value that </w:delText>
          <w:lastRenderedPageBreak/>
          <w:delText xml:space="preserve">deferred income present mixed results, with estimates running from about 20 cents per dollar of present value to near parity </w:delText>
        </w:r>
      </w:del>
      <w:del w:id="9286" w:author="Claude" w:date="2026-10-05T12:38:11Z">
        <w:r>
          <w:rPr>
            <w:color w:val="0563C1"/>
          </w:rPr>
          <w:delText>(Fitzpatrick, 2015; Ni, Podgursky and Wang, 2022).</w:delText>
        </w:r>
      </w:del>
    </w:p>
    <w:p w14:paraId="271D9F44" w14:textId="6181E86C" w:rsidR="00F967DE" w:rsidRPr="00DC226F" w:rsidRDefault="00F967DE">
      <w:pPr>
        <w:spacing w:after="130" w:line="242" w:lineRule="auto"/>
        <w:jc w:val="both"/>
        <w:rPr>
          <w:del w:id="9299" w:author="Claude" w:date="2026-10-05T12:38:11Z"/>
          <w:highlight w:val="cyan"/>
        </w:rPr>
      </w:pPr>
      <w:del w:id="9288" w:author="Claude" w:date="2026-10-05T12:38:11Z">
        <w:r>
          <w:delText xml:space="preserve">Finally, personal and life-course factors drive a substantial share of departures. Unlike the preceding dimensions, these causes originate entirely outside the school environment, placing them as the least predictable from an institutional perspective and the least responsive to standard administrative levers. </w:delText>
        </w:r>
      </w:del>
      <w:commentRangeStart w:id="53"/>
      <w:commentRangeStart w:id="72"/>
      <w:del w:id="9289" w:author="Claude" w:date="2026-10-05T12:38:11Z">
        <w:r>
          <w:delText xml:space="preserve">Along the teaching career, the leaving rate exhibits a pronounced U-shape, concentrated among novice teachers during early-career sorting and late-career workers approaching retirement but with a stable middle lifecycle phase </w:delText>
        </w:r>
      </w:del>
      <w:del w:id="9290" w:author="Claude" w:date="2026-10-05T12:38:11Z">
        <w:r>
          <w:rPr>
            <w:color w:val="0563C1"/>
          </w:rPr>
          <w:delText>(Nguyen et al., 2020)</w:delText>
        </w:r>
      </w:del>
      <w:del w:id="9291" w:author="Claude" w:date="2026-10-05T12:38:11Z">
        <w:r>
          <w:delText xml:space="preserve">. </w:delText>
        </w:r>
      </w:del>
      <w:commentRangeEnd w:id="72"/>
      <w:commentRangeEnd w:id="53"/>
      <w:r>
        <w:rPr>
          <w:rStyle w:val="CommentReference"/>
          <w:sz w:val="23"/>
          <w:szCs w:val="23"/>
        </w:rPr>
        <w:commentReference w:id="53"/>
      </w:r>
      <w:r>
        <w:rPr>
          <w:rStyle w:val="CommentReference"/>
        </w:rPr>
        <w:commentReference w:id="72"/>
      </w:r>
      <w:del w:id="9292" w:author="Claude" w:date="2026-10-05T12:38:11Z">
        <w:r>
          <w:delText xml:space="preserve">The early peak reflects the exits of novice teachers who leave for further study, family formation or alternative employment while the quality of their match with the profession is still being revealed </w:delText>
        </w:r>
      </w:del>
      <w:del w:id="9293" w:author="Claude" w:date="2026-10-05T12:38:11Z">
        <w:r>
          <w:rPr>
            <w:color w:val="0563C1"/>
          </w:rPr>
          <w:delText>(Guarino, Santibañez and Daley, 2006)</w:delText>
        </w:r>
      </w:del>
      <w:del w:id="9294" w:author="Claude" w:date="2026-10-05T12:38:11Z">
        <w:r>
          <w:delText xml:space="preserve">, </w:delText>
        </w:r>
      </w:del>
      <w:commentRangeStart w:id="54"/>
      <w:commentRangeStart w:id="73"/>
      <w:del w:id="9295" w:author="Claude" w:date="2026-10-05T12:38:11Z">
        <w:r>
          <w:delText xml:space="preserve">while </w:delText>
        </w:r>
      </w:del>
      <w:commentRangeEnd w:id="73"/>
      <w:commentRangeEnd w:id="54"/>
      <w:r>
        <w:rPr>
          <w:rStyle w:val="CommentReference"/>
          <w:sz w:val="23"/>
          <w:szCs w:val="23"/>
        </w:rPr>
        <w:commentReference w:id="54"/>
      </w:r>
      <w:r>
        <w:rPr>
          <w:rStyle w:val="CommentReference"/>
        </w:rPr>
        <w:commentReference w:id="73"/>
      </w:r>
      <w:del w:id="9296" w:author="Claude" w:date="2026-10-05T12:38:11Z">
        <w:r>
          <w:delText xml:space="preserve">the late peak responds to the retirement incentives just examined </w:delText>
        </w:r>
      </w:del>
      <w:del w:id="9297" w:author="Claude" w:date="2026-10-05T12:38:11Z">
        <w:r>
          <w:rPr>
            <w:color w:val="0563C1"/>
          </w:rPr>
          <w:delText>(Costrell and Podgursky, 2009)</w:delText>
        </w:r>
      </w:del>
      <w:del w:id="9298" w:author="Claude" w:date="2026-10-05T12:38:11Z">
        <w:r>
          <w:delText>.</w:delText>
        </w:r>
      </w:del>
    </w:p>
    <w:p w14:paraId="1560B130" w14:textId="078793FF" w:rsidR="00EE6A01" w:rsidRPr="00D75A88" w:rsidRDefault="00D75A88" w:rsidP="00DC226F">
      <w:pPr>
        <w:spacing w:after="130" w:line="242" w:lineRule="auto"/>
        <w:jc w:val="both"/>
        <w:rPr>
          <w:del w:id="9311" w:author="Claude" w:date="2026-10-05T12:38:11Z"/>
        </w:rPr>
      </w:pPr>
      <w:del w:id="9300" w:author="Claude" w:date="2026-10-05T12:38:11Z">
        <w:r>
          <w:delText>The teaching workforce is predominantly female</w:delText>
        </w:r>
      </w:del>
      <w:del w:id="9301" w:author="Claude" w:date="2026-10-05T12:38:11Z">
        <w:r>
          <w:rPr>
            <w:rStyle w:val="FootnoteReference"/>
          </w:rPr>
          <w:footnoteReference w:id="11"/>
        </w:r>
      </w:del>
      <w:del w:id="9302" w:author="Claude" w:date="2026-10-05T12:38:11Z">
        <w:r>
          <w:delText xml:space="preserve">, so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w:delText>
        </w:r>
      </w:del>
      <w:del w:id="9303" w:author="Claude" w:date="2026-10-05T12:38:11Z">
        <w:r>
          <w:rPr>
            <w:color w:val="0563C1"/>
          </w:rPr>
          <w:delText>(Department for Education, 2023)</w:delText>
        </w:r>
      </w:del>
      <w:del w:id="9304" w:author="Claude" w:date="2026-10-05T12:38:11Z">
        <w:r>
          <w:delText xml:space="preserve">. In the United States and Sweden the same event has long driven female exits, and personal life reasons, covering health, childcare and the care of relatives, remain as the most non-retirement motive among voluntary leavers, </w:delText>
        </w:r>
      </w:del>
      <w:del w:id="9305" w:author="Claude" w:date="2026-10-05T12:38:11Z">
        <w:r>
          <w:rPr>
            <w:color w:val="0563C1"/>
          </w:rPr>
          <w:delText>(Stinebrickner, 2002; NCES, 2024; Statistics Sweden, 2023)</w:delText>
        </w:r>
      </w:del>
      <w:del w:id="9306" w:author="Claude" w:date="2026-10-05T12:38:11Z">
        <w:r>
          <w:delText xml:space="preserve">. Family circumstances beyond childbirth weight in the same direction, since personal life reasons, covering health, childcare and the care of family members, form the most important non-retirement motive among American voluntary leavers, at 15% </w:delText>
        </w:r>
      </w:del>
      <w:del w:id="9307" w:author="Claude" w:date="2026-10-05T12:38:11Z">
        <w:r>
          <w:rPr>
            <w:color w:val="0563C1"/>
          </w:rPr>
          <w:delText>(NCES, 2024)</w:delText>
        </w:r>
      </w:del>
      <w:del w:id="9308" w:author="Claude" w:date="2026-10-05T12:38:11Z">
        <w:r>
          <w:delText xml:space="preserve">, and the difficulty of combining work and family is named by 15% of Swedish leavers </w:delText>
        </w:r>
      </w:del>
      <w:del w:id="9309" w:author="Claude" w:date="2026-10-05T12:38:11Z">
        <w:r>
          <w:rPr>
            <w:color w:val="0563C1"/>
          </w:rPr>
          <w:delText>(Statistics Sweden, 2023)</w:delText>
        </w:r>
      </w:del>
      <w:del w:id="9310" w:author="Claude" w:date="2026-10-05T12:38:11Z">
        <w:r>
          <w:delText xml:space="preserve">. </w:delText>
        </w:r>
      </w:del>
    </w:p>
    <w:p w14:paraId="746AE7A4" w14:textId="67DDCB37" w:rsidR="00502E0E" w:rsidRPr="00EB39D6" w:rsidRDefault="00B55BC2">
      <w:pPr>
        <w:spacing w:after="130" w:line="242" w:lineRule="auto"/>
        <w:jc w:val="both"/>
        <w:rPr>
          <w:del w:id="9316" w:author="Claude" w:date="2026-10-05T12:38:11Z"/>
        </w:rPr>
      </w:pPr>
      <w:del w:id="9312" w:author="Claude" w:date="2026-10-05T12:38:11Z">
        <w:r>
          <w:delText xml:space="preserve">This matters for policies that seek to bring former teachers back, since those who left over a birth or a family obligation did not leave over the conditions of the school, and the constraint behind the exit can ease with time. However, there is evidence suggesting that re-entry after a period of childcare or other family responsibilities, once predicted by gender and child-rearing, no longer follows on its own. An example of this is the United States, where among teachers who left between 2000 and 2019 that association has disappeared and only about one in five returned </w:delText>
        </w:r>
      </w:del>
      <w:del w:id="9313" w:author="Claude" w:date="2026-10-05T12:38:11Z">
        <w:r>
          <w:rPr>
            <w:color w:val="0563C1"/>
          </w:rPr>
          <w:delText>(Grissom and Reininger, 2012; Moyer, 2022)</w:delText>
        </w:r>
      </w:del>
      <w:del w:id="9314" w:author="Claude" w:date="2026-10-05T12:38:11Z">
        <w:r>
          <w:delText xml:space="preserve">. Thus, policies that aim to recover teaching leavers should focus on flexibility, the margin to which this group is most responsive, through part-time and phased returns, predictable timetables and placements compatible with care </w:delText>
        </w:r>
      </w:del>
      <w:commentRangeStart w:id="55"/>
      <w:commentRangeStart w:id="74"/>
      <w:commentRangeStart w:id="56"/>
      <w:commentRangeStart w:id="57"/>
      <w:del w:id="9315" w:author="Claude" w:date="2026-10-05T12:38:11Z">
        <w:r>
          <w:delText>responsibilities.</w:delText>
        </w:r>
      </w:del>
      <w:commentRangeEnd w:id="74"/>
      <w:commentRangeEnd w:id="55"/>
      <w:r>
        <w:rPr>
          <w:rStyle w:val="CommentReference"/>
          <w:sz w:val="23"/>
          <w:szCs w:val="23"/>
        </w:rPr>
        <w:commentReference w:id="55"/>
      </w:r>
      <w:r>
        <w:rPr>
          <w:rStyle w:val="CommentReference"/>
        </w:rPr>
        <w:commentReference w:id="74"/>
      </w:r>
      <w:commentRangeEnd w:id="56"/>
      <w:r>
        <w:rPr>
          <w:rStyle w:val="CommentReference"/>
          <w:sz w:val="23"/>
          <w:szCs w:val="23"/>
        </w:rPr>
        <w:commentReference w:id="56"/>
      </w:r>
      <w:commentRangeEnd w:id="57"/>
      <w:r>
        <w:rPr>
          <w:rStyle w:val="CommentReference"/>
          <w:sz w:val="23"/>
          <w:szCs w:val="23"/>
        </w:rPr>
        <w:commentReference w:id="57"/>
      </w:r>
    </w:p>
    <w:p w14:paraId="73BC5B0F" w14:textId="0C1CF60F" w:rsidR="00D80668" w:rsidRPr="00D80668" w:rsidRDefault="00D80668" w:rsidP="00D80668">
      <w:pPr>
        <w:spacing w:after="130" w:line="242" w:lineRule="auto"/>
        <w:jc w:val="both"/>
        <w:rPr>
          <w:del w:id="9324" w:author="Claude" w:date="2026-10-05T12:38:11Z"/>
        </w:rPr>
      </w:pPr>
      <w:del w:id="9317" w:author="Claude" w:date="2026-10-05T12:38:11Z">
        <w:r>
          <w:delText xml:space="preserve">Finally, not all the motives listed in the table have been studied with the same intensity, nor can their relative importance be compared perfectly across studies. The best available basis for doing so comes from recent meta-analyses of teacher turnover, which pool hundreds of estimates accumulated by the literature </w:delText>
        </w:r>
      </w:del>
      <w:del w:id="9318" w:author="Claude" w:date="2026-10-05T12:38:11Z">
        <w:r>
          <w:rPr>
            <w:color w:val="0070C0"/>
          </w:rPr>
          <w:delText xml:space="preserve">(Nguyen et al., 2020; Gundlach, Slemp </w:delText>
        </w:r>
      </w:del>
      <w:del w:id="9319" w:author="Claude" w:date="2026-10-05T12:38:11Z">
        <w:r>
          <w:rPr>
            <w:color w:val="215E99" w:themeColor="text2" w:themeTint="BF"/>
          </w:rPr>
          <w:delText>and Hattie</w:delText>
        </w:r>
      </w:del>
      <w:del w:id="9320" w:author="Claude" w:date="2026-10-05T12:38:11Z">
        <w:r>
          <w:rPr>
            <w:color w:val="0070C0"/>
          </w:rPr>
          <w:delText>, 2024)</w:delText>
        </w:r>
      </w:del>
      <w:del w:id="9321" w:author="Claude" w:date="2026-10-05T12:38:11Z">
        <w:r>
          <w:rPr>
            <w:rStyle w:val="FootnoteReference"/>
            <w:color w:val="0070C0"/>
          </w:rPr>
          <w:footnoteReference w:id="12"/>
        </w:r>
      </w:del>
      <w:del w:id="9322" w:author="Claude" w:date="2026-10-05T12:38:11Z">
        <w:r>
          <w:rPr>
            <w:color w:val="0070C0"/>
          </w:rPr>
          <w:delText xml:space="preserve">. </w:delText>
        </w:r>
      </w:del>
      <w:del w:id="9323" w:author="Claude" w:date="2026-10-05T12:38:11Z">
        <w:r>
          <w:delText>Taken together, they point to working conditions and organisational features of the school as the most consistently important determinants of leaving, above financial incentives, accountability and personal characteristics. Teachers exposed to high workload, stress and weak organisational support are substantially more likely to leave, while salary and regulatory factors, although relevant, tend to have smaller effects when compared across determinants (Nguyen et al., 2020; Gundlach, Slemp and Hattie, 2024). This does not mean that personal or life-course motives are secondary for every teacher, but rather that the conditions under which teaching takes place appear to be the main institutional margin through which systems can influence retention.</w:delText>
        </w:r>
      </w:del>
    </w:p>
    <w:p w14:paraId="1BFE4331" w14:textId="29393685" w:rsidR="00D80668" w:rsidRPr="00D80668" w:rsidRDefault="00D80668" w:rsidP="00D80668">
      <w:pPr>
        <w:spacing w:after="130" w:line="242" w:lineRule="auto"/>
        <w:jc w:val="both"/>
        <w:rPr>
          <w:del w:id="9331" w:author="Claude" w:date="2026-10-05T12:38:11Z"/>
        </w:rPr>
      </w:pPr>
      <w:del w:id="9325" w:author="Claude" w:date="2026-10-05T12:38:11Z">
        <w:r>
          <w:lastRenderedPageBreak/>
          <w:delText xml:space="preserve">This distinction is particularly important for policies aiming to re-attract former </w:delText>
        </w:r>
      </w:del>
      <w:commentRangeStart w:id="58"/>
      <w:commentRangeStart w:id="75"/>
      <w:del w:id="9326" w:author="Claude" w:date="2026-10-05T12:38:11Z">
        <w:r>
          <w:delText>teachers</w:delText>
        </w:r>
      </w:del>
      <w:commentRangeEnd w:id="75"/>
      <w:commentRangeEnd w:id="58"/>
      <w:r>
        <w:rPr>
          <w:rStyle w:val="CommentReference"/>
          <w:sz w:val="23"/>
          <w:szCs w:val="23"/>
        </w:rPr>
        <w:commentReference w:id="58"/>
      </w:r>
      <w:r>
        <w:rPr>
          <w:rStyle w:val="CommentReference"/>
        </w:rPr>
        <w:commentReference w:id="75"/>
      </w:r>
      <w:del w:id="9327" w:author="Claude" w:date="2026-10-05T12:38:11Z">
        <w:r>
          <w:delText xml:space="preserve">. The </w:delText>
        </w:r>
      </w:del>
      <w:commentRangeStart w:id="59"/>
      <w:commentRangeStart w:id="76"/>
      <w:del w:id="9328" w:author="Claude" w:date="2026-10-05T12:38:11Z">
        <w:r>
          <w:delText>evidence suggests</w:delText>
        </w:r>
      </w:del>
      <w:commentRangeEnd w:id="76"/>
      <w:commentRangeEnd w:id="59"/>
      <w:r>
        <w:rPr>
          <w:rStyle w:val="CommentReference"/>
          <w:sz w:val="23"/>
          <w:szCs w:val="23"/>
        </w:rPr>
        <w:commentReference w:id="59"/>
      </w:r>
      <w:r>
        <w:rPr>
          <w:rStyle w:val="CommentReference"/>
        </w:rPr>
        <w:commentReference w:id="76"/>
      </w:r>
      <w:del w:id="9329" w:author="Claude" w:date="2026-10-05T12:38:11Z">
        <w:r>
          <w:delText xml:space="preserve"> that bringing a teacher back without changing the conditions under which they previously left risks reproducing the same decision further down the line. Re-entry policies should therefore be understood not only as a mechanism to reduce the cost of returning, but also as an opportunity to improve the quality of the match between teachers and schools: reducing workload, ensuring supportive leadership and collegial environments, offering adequate classroom conditions and, where the original exit was driven by personal circumstances, providing the flexibility required to combine teaching with family responsibilities. In this sense, what the literature teaches us is that the relevant question is not simply how to make former teachers return, but whether the system can offer them a different set of conditions once they do</w:delText>
        </w:r>
      </w:del>
      <w:ins w:id="60" w:author="DURÁN ROA José Elías, EDU/IMEP" w:date="2026-10-01T11:41:00Z" w16du:dateUtc="2026-10-01T09:41:00Z">
        <w:del w:id="9330" w:author="Claude" w:date="2026-10-05T12:38:11Z">
          <w:r>
            <w:delText>.</w:delText>
          </w:r>
        </w:del>
      </w:ins>
    </w:p>
    <w:p>
      <w:pPr>
        <w:spacing w:after="130" w:line="242" w:lineRule="auto"/>
        <w:jc w:val="both"/>
        <w:rPr>
          <w:ins w:id="9224" w:author="Claude" w:date="2026-10-05T12:38:11Z"/>
        </w:rPr>
      </w:pPr>
      <w:ins w:id="9225" w:author="Claude" w:date="2026-10-05T12:38:11Z">
        <w:r>
          <w:t xml:space="preserve">Where pay has been tested causally, money retains. Targeted payments cut departures by 9% to 23% in Norway, England and North Carolina (Falch, 2011; Sims and Benhenda, 2022; Clotfelter et al., 2008). This causal evidence rests on a small number of studies exploiting policy discontinuities and carries three lessons. Payments work when they are large and teachers know they are eligible (Falch, 2011; Clotfelter et al., 2008). Their effect is confined to the teachers they target and negligible for the rest (Springer, Swain and Rodriguez, 2016). And one-off bonuses produce larger short-run effects than permanent increases, which indicates that the retention gain does not outlast the payment (Feng and Sass, 2018; See et al., 2020).</w:t>
        </w:r>
      </w:ins>
    </w:p>
    <w:p>
      <w:pPr>
        <w:spacing w:after="130" w:line="242" w:lineRule="auto"/>
        <w:jc w:val="both"/>
        <w:rPr>
          <w:ins w:id="9226" w:author="Claude" w:date="2026-10-05T12:38:11Z"/>
        </w:rPr>
      </w:pPr>
      <w:ins w:id="9227" w:author="Claude" w:date="2026-10-05T12:38:11Z">
        <w:r>
          <w:t xml:space="preserve">Pension rules also shape the decision to leave. They set the retirement age, which falls between 62 and 67 in most OECD countries and is lowest for teachers in France and Spain, where retirement is possible from 59 for the former primary corps and from 60 for civil-servant teachers with thirty years of service (OECD, 2025e; Ministère de l'Éducation nationale, 2023; Government of Spain, 2015). Retiring before that age reduces the pension and retiring later adds little to it, so retirements concentrate around it. In defined-benefit schemes, most of the pension is earned in the final years before the full-pension age and little accrues after it, so one more year of work carries a substantial gain at 54 and almost nothing at 60 (Costrell and Podgursky, 2009). This is the case in most civil-service teacher schemes of Europe and North America, while defined-contribution systems, as in Sweden or Australia, are close to actuarially neutral and spread retirements accordingly (OECD, 2025e). How much teachers value that deferred income is less clear, with estimates ranging from about 20 cents per dollar of present value to near parity (Fitzpatrick, 2015; Ni, Podgursky and Wang, 2022).</w:t>
        </w:r>
      </w:ins>
    </w:p>
    <w:p>
      <w:pPr>
        <w:spacing w:after="130" w:line="242" w:lineRule="auto"/>
        <w:jc w:val="both"/>
        <w:rPr>
          <w:ins w:id="9228" w:author="Claude" w:date="2026-10-05T12:38:11Z"/>
        </w:rPr>
      </w:pPr>
      <w:ins w:id="9229" w:author="Claude" w:date="2026-10-05T12:38:11Z">
        <w:r>
          <w:t xml:space="preserve">For re-entry policies, the lesson is twofold. Pay can bring switchers back, but the evidence above suggests that it keeps them only while it is paid, so a financial incentive opens the door rather than keeping teachers inside. For retired teachers the binding constraint is not the salary but the pension rules that penalise working after retirement. Removing those penalties, as several of the policies in Section 3 do, costs little and acts directly on the largest reserve of experienced teachers.</w:t>
        </w:r>
      </w:ins>
    </w:p>
    <w:p>
      <w:pPr>
        <w:pStyle w:val="Heading3"/>
        <w:keepNext/>
        <w:rPr>
          <w:ins w:id="9230" w:author="Claude" w:date="2026-10-05T12:38:11Z"/>
        </w:rPr>
      </w:pPr>
      <w:ins w:id="9231" w:author="Claude" w:date="2026-10-05T12:38:11Z">
        <w:r>
          <w:t xml:space="preserve">Professional factors</w:t>
        </w:r>
      </w:ins>
    </w:p>
    <w:p>
      <w:pPr>
        <w:spacing w:after="130" w:line="242" w:lineRule="auto"/>
        <w:jc w:val="both"/>
        <w:rPr>
          <w:ins w:id="9232" w:author="Claude" w:date="2026-10-05T12:38:11Z"/>
        </w:rPr>
      </w:pPr>
      <w:ins w:id="9233" w:author="Claude" w:date="2026-10-05T12:38:11Z">
        <w:r>
          <w:t xml:space="preserve">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 and legal action. The evidence comes mainly from surveys of intentions, which reach motives that administrative records cannot register.</w:t>
        </w:r>
      </w:ins>
    </w:p>
    <w:p>
      <w:pPr>
        <w:spacing w:after="130" w:line="242" w:lineRule="auto"/>
        <w:jc w:val="both"/>
        <w:rPr>
          <w:ins w:id="9234" w:author="Claude" w:date="2026-10-05T12:38:11Z"/>
        </w:rPr>
      </w:pPr>
      <w:ins w:id="9235" w:author="Claude" w:date="2026-10-05T12:38:11Z">
        <w:r>
          <w:t xml:space="preserve">In Finland, a survey that followed teachers over five years found that a lack of professional commitment was named persistently, above workload and interpersonal difficulties, among those intending to leave (Räsänen et al., 2020). In England, teachers who intend to leave say that their views are not considered by policymakers, and give this more weight than pay (Department for Education, 2024b). Actual leavers tell a consistent story. In the United States, most switchers rate their new job above teaching in autonomy, influence and professional prestige, although not always in salary (NCES, 2014). In the Netherlands and Sweden, the lack of professional challenge and the limited control over one's own work rank among the leading motives, behind working conditions only (Van Casteren et al., 2023; Statistics Sweden, 2023).</w:t>
        </w:r>
      </w:ins>
    </w:p>
    <w:p>
      <w:pPr>
        <w:spacing w:after="130" w:line="242" w:lineRule="auto"/>
        <w:jc w:val="both"/>
        <w:rPr>
          <w:ins w:id="9236" w:author="Claude" w:date="2026-10-05T12:38:11Z"/>
        </w:rPr>
      </w:pPr>
      <w:ins w:id="9237" w:author="Claude" w:date="2026-10-05T12:38:11Z">
        <w:r>
          <w:t xml:space="preserve">The decline in the perceived standing of the profession goes beyond those who leave. Across the OECD, only 26% of teachers feel that their profession is valued in society, and those who do are over 10% less likely to intend to leave within five years (OECD, 2020; OECD, 2025b). Recognition and professional purpose thus appear decisive in the decision to leave, consistent with teaching remaining one of the most vocational career choices.</w:t>
        </w:r>
      </w:ins>
    </w:p>
    <w:p>
      <w:pPr>
        <w:spacing w:after="130" w:line="242" w:lineRule="auto"/>
        <w:jc w:val="both"/>
        <w:rPr>
          <w:ins w:id="9238" w:author="Claude" w:date="2026-10-05T12:38:11Z"/>
        </w:rPr>
      </w:pPr>
      <w:ins w:id="9239" w:author="Claude" w:date="2026-10-05T12:38:11Z">
        <w:r>
          <w:t xml:space="preserve">For re-entry policies, this area concerns switchers above all, since they are the ones who found elsewhere the autonomy and standing they missed. Bringing them back calls for recognition of their previous service, roles that make use of their experience and a say in decisions about their own work.</w:t>
        </w:r>
      </w:ins>
    </w:p>
    <w:p>
      <w:pPr>
        <w:pStyle w:val="Heading3"/>
        <w:keepNext/>
        <w:rPr>
          <w:ins w:id="9240" w:author="Claude" w:date="2026-10-05T12:38:11Z"/>
        </w:rPr>
      </w:pPr>
      <w:ins w:id="9241" w:author="Claude" w:date="2026-10-05T12:38:11Z">
        <w:r>
          <w:t xml:space="preserve">Personal and life-course factors</w:t>
        </w:r>
      </w:ins>
    </w:p>
    <w:p>
      <w:pPr>
        <w:spacing w:after="130" w:line="242" w:lineRule="auto"/>
        <w:jc w:val="both"/>
        <w:rPr>
          <w:ins w:id="9242" w:author="Claude" w:date="2026-10-05T12:38:11Z"/>
        </w:rPr>
      </w:pPr>
      <w:ins w:id="9243" w:author="Claude" w:date="2026-10-05T12:38:11Z">
        <w:r>
          <w:t xml:space="preserve">Personal and life-course factors drive a substantial share of departures. Unlike the preceding areas, these causes originate outside the school, which makes them the least predictable from an institutional perspective and the least responsive to administrative levers. Along the career, the leaving rate follows a pronounced U-shape, high among novice teachers, stable in the middle years and rising again as retirement approaches (Nguyen et al., 2020). Figure 3 shows this profile for the United States. The early peak reflects novice teachers who leave for further study, family formation or other employment while the quality of their match with the profession is still being revealed (Guarino, Santibañez and Daley, 2006). The late peak responds to the retirement incentives examined above (Costrell and Podgursky, 2009). The figure also shows that the whole profile has shifted upwards in the last decade, most of all at career entry.</w:t>
        </w:r>
      </w:ins>
    </w:p>
    <w:p>
      <w:pPr>
        <w:keepNext/>
        <w:spacing w:after="130" w:line="242" w:lineRule="auto"/>
        <w:jc w:val="both"/>
        <w:rPr>
          <w:ins w:id="9216" w:author="Claude" w:date="2026-10-05T12:38:11Z"/>
        </w:rPr>
      </w:pPr>
      <w:ins w:id="9217" w:author="Claude" w:date="2026-10-05T12:38:11Z">
        <w:r>
          <w:rPr>
            <w:b/>
            <w:bCs/>
          </w:rPr>
          <w:t xml:space="preserve">Figure 3. The leaving rate by age in the United States, 2005-2014 and 2015-2024</w:t>
        </w:r>
      </w:ins>
    </w:p>
    <w:p>
      <w:pPr>
        <w:keepNext/>
        <w:spacing w:after="60"/>
        <w:jc w:val="center"/>
        <w:rPr>
          <w:ins w:id="9218" w:author="Claude" w:date="2026-10-05T12:38:11Z"/>
        </w:rPr>
      </w:pPr>
      <w:ins w:id="9219" w:author="Claude" w:date="2026-10-05T12:38:11Z">
        <w:r>
          <w:drawing>
            <wp:inline distT="0" distB="0" distL="0" distR="0">
              <wp:extent cx="5394960" cy="2617610"/>
              <wp:effectExtent l="0" t="0" r="0" b="0"/>
              <wp:docPr id="77"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4"/>
                      <a:stretch>
                        <a:fillRect/>
                      </a:stretch>
                    </pic:blipFill>
                    <pic:spPr>
                      <a:xfrm>
                        <a:off x="0" y="0"/>
                        <a:ext cx="5394960" cy="2617610"/>
                      </a:xfrm>
                      <a:prstGeom prst="rect">
                        <a:avLst/>
                      </a:prstGeom>
                    </pic:spPr>
                  </pic:pic>
                </a:graphicData>
              </a:graphic>
            </wp:inline>
          </w:drawing>
        </w:r>
      </w:ins>
    </w:p>
    <w:p>
      <w:pPr>
        <w:spacing w:after="50" w:line="200" w:lineRule="auto"/>
        <w:jc w:val="both"/>
        <w:rPr>
          <w:ins w:id="9220" w:author="Claude" w:date="2026-10-05T12:38:11Z"/>
        </w:rPr>
      </w:pPr>
      <w:ins w:id="9221" w:author="Claude" w:date="2026-10-05T12:38:11Z">
        <w:r>
          <w:rPr>
            <w:sz w:val="17"/>
            <w:szCs w:val="17"/>
          </w:rPr>
          <w:t xml:space="preserve">Note: </w:t>
        </w:r>
        <w:r>
          <w:rPr>
            <w:sz w:val="15"/>
            <w:szCs w:val="15"/>
          </w:rPr>
          <w:t xml:space="preserve">Share of teachers who were no longer teaching twelve months later and did not return in any later interview, by age at the first interview, pooled within 2005-2014 and 2015-2024.</w:t>
        </w:r>
      </w:ins>
    </w:p>
    <w:p>
      <w:pPr>
        <w:spacing w:after="130" w:line="200" w:lineRule="auto"/>
        <w:jc w:val="both"/>
        <w:rPr>
          <w:ins w:id="9222" w:author="Claude" w:date="2026-10-05T12:38:11Z"/>
        </w:rPr>
      </w:pPr>
      <w:ins w:id="9223" w:author="Claude" w:date="2026-10-05T12:38:11Z">
        <w:r>
          <w:rPr>
            <w:sz w:val="17"/>
            <w:szCs w:val="17"/>
          </w:rPr>
          <w:t xml:space="preserve">Source: </w:t>
        </w:r>
        <w:r>
          <w:rPr>
            <w:sz w:val="15"/>
            <w:szCs w:val="15"/>
          </w:rPr>
          <w:t xml:space="preserve">Authors' calculations from linked Current Population Survey panels, 2005-2025.</w:t>
        </w:r>
      </w:ins>
    </w:p>
    <w:p>
      <w:pPr>
        <w:spacing w:after="130" w:line="242" w:lineRule="auto"/>
        <w:jc w:val="both"/>
        <w:rPr>
          <w:ins w:id="9244" w:author="Claude" w:date="2026-10-05T12:38:11Z"/>
        </w:rPr>
      </w:pPr>
      <w:ins w:id="9245" w:author="Claude" w:date="2026-10-05T12:38:11Z">
        <w:r>
          <w:t xml:space="preserve">The teaching workforce is predominantly female, at around seven in ten lower secondary teachers across the OECD (OECD, 2025b), so the events of family life weigh on it with particular force. The birth of a child is the best documented of these motives. In England, where the workforce census follows teachers after maternity leave, between 17% and 20% of those who return leave the profession within a year, double the rate of comparable teachers, and women aged 30 to 39 form the largest group among leavers (Department for Education, 2023). In the United States and Sweden the same event has long driven female exits (Stinebrickner, 2002). Family circumstances beyond childbirth point in the same direction. Personal life reasons, covering health, childcare and the care of relatives, are the most important non-retirement motive among American voluntary leavers, at 15% (NCES, 2024), and the difficulty of combining work and family is named by 15% of Swedish leavers (Statistics Sweden, 2023).</w:t>
        </w:r>
      </w:ins>
    </w:p>
    <w:p>
      <w:pPr>
        <w:spacing w:after="130" w:line="242" w:lineRule="auto"/>
        <w:jc w:val="both"/>
        <w:rPr>
          <w:ins w:id="9246" w:author="Claude" w:date="2026-10-05T12:38:11Z"/>
        </w:rPr>
      </w:pPr>
      <w:ins w:id="9247" w:author="Claude" w:date="2026-10-05T12:38:11Z">
        <w:r>
          <w:t xml:space="preserve">For re-entry policies, this area concerns leavers above all. Those who left over a birth, care or health did not leave over the conditions of the school, and the constraint behind the exit often eases with time. Yet their return no longer follows on its own. In the United States, re-entry after a period of childcare was once predicted by gender and child-rearing, but among teachers who left between 2000 and 2019 that association has disappeared and only about one in five returned (Grissom and Reininger, 2012; Moyer, 2022). This group responds to flexibility, through part-time and phased returns, predictable timetables and placements compatible with care responsibilities, and to being asked.</w:t>
        </w:r>
      </w:ins>
    </w:p>
    <w:p>
      <w:pPr>
        <w:pStyle w:val="Heading3"/>
        <w:keepNext/>
        <w:rPr>
          <w:ins w:id="9248" w:author="Claude" w:date="2026-10-05T12:38:11Z"/>
        </w:rPr>
      </w:pPr>
      <w:ins w:id="9249" w:author="Claude" w:date="2026-10-05T12:38:11Z">
        <w:r>
          <w:t xml:space="preserve">Accountability and regulation</w:t>
        </w:r>
      </w:ins>
    </w:p>
    <w:p>
      <w:pPr>
        <w:spacing w:after="130" w:line="242" w:lineRule="auto"/>
        <w:jc w:val="both"/>
        <w:rPr>
          <w:ins w:id="9250" w:author="Claude" w:date="2026-10-05T12:38:11Z"/>
        </w:rPr>
      </w:pPr>
      <w:ins w:id="9251" w:author="Claude" w:date="2026-10-05T12:38:11Z">
        <w:r>
          <w:t xml:space="preserve">Accountability and regulation group the motives related to external evaluation and to licensing rules. Teacher evaluation can be internal, carried out by the school's own leadership, or external, carried out by a public body, usually an inspectorate. Internal evaluation is common: 64% of teachers across the OECD work in schools where the principal evaluates every teacher at least once a year, most often through classroom observation (OECD, 2020). What matters for leavers is the time these obligations take and the little they get in return. Nearly half report that evaluation in their school is carried out merely to fulfil administrative requirements, without feedback they can use, and 54% that mandatory training competes with their working schedule (OECD, 2020). External inspection weighs more where its consequences are high. In England, a lower inspection judgement raises departures from the school in the following year (Sims, 2016), and teachers name inspection among their reasons for leaving the profession (Perryman et al., 2025).</w:t>
        </w:r>
      </w:ins>
    </w:p>
    <w:p>
      <w:pPr>
        <w:spacing w:after="130" w:line="242" w:lineRule="auto"/>
        <w:jc w:val="both"/>
        <w:rPr>
          <w:ins w:id="9252" w:author="Claude" w:date="2026-10-05T12:38:11Z"/>
        </w:rPr>
      </w:pPr>
      <w:ins w:id="9253" w:author="Claude" w:date="2026-10-05T12:38:11Z">
        <w:r>
          <w:t xml:space="preserve">Licensing requirements appear in this area for a different reason. Keeping a licence valid requires periodic training, from 8 hours a year in Luxembourg to 35 in Scotland (European Commission/EACEA/Eurydice, 2021), or a minimum amount of teaching, such as 20 days a year in Australia or two years of classroom practice in New Zealand (Victorian Institute of Teaching, 2025; Teaching Council of Aotearoa New Zealand, 2016). For fully qualified teachers these obligations rarely drive departures. They weigh on teachers who entered without full certification, who leave at higher rates (Redding and Smith, 2016), and above all on those who consider returning after their licence has lapsed.</w:t>
        </w:r>
      </w:ins>
    </w:p>
    <w:p>
      <w:pPr>
        <w:spacing w:after="130" w:line="242" w:lineRule="auto"/>
        <w:jc w:val="both"/>
        <w:rPr>
          <w:ins w:id="9254" w:author="Claude" w:date="2026-10-05T12:38:11Z"/>
        </w:rPr>
      </w:pPr>
      <w:ins w:id="9255" w:author="Claude" w:date="2026-10-05T12:38:11Z">
        <w:r>
          <w:t xml:space="preserve">Overall, this area ranks below the others as a determinant of leaving. Test-based accountability raises stress and intentions to leave (Ryan et al., 2017), but its weight is small next to commitment, burnout and job satisfaction (Gundlach, Slemp and Hattie, 2024). For re-entry policies its relevance is nonetheless direct and concerns all three profiles. A lapsed licence must be renewed, and the cost and complexity of doing so deter return and reduce retention once back. Re-certification should therefore be as light as its regulatory purpose allows.</w:t>
        </w:r>
      </w:ins>
    </w:p>
    <w:p>
      <w:pPr>
        <w:spacing w:after="130" w:line="242" w:lineRule="auto"/>
        <w:jc w:val="both"/>
        <w:rPr>
          <w:ins w:id="9256" w:author="Claude" w:date="2026-10-05T12:38:11Z"/>
        </w:rPr>
      </w:pPr>
      <w:ins w:id="9257" w:author="Claude" w:date="2026-10-05T12:38:11Z">
        <w:r>
          <w:t xml:space="preserve">Not all these motives have been studied with the same intensity, and their relative importance cannot be compared perfectly across studies. The best basis for doing so comes from the two meta-analyses used throughout this section. Nguyen et al. (2020) pool 120 studies of observed turnover in the United States, while Gundlach, Slemp and Hattie (2024) pool 3 430 coefficients on close to 70 antecedents and estimate attrition, migration and retention separately, for intentions as well as for observed behaviour. Both count every departure from the school, so they combine teachers who leave the profession with teachers who move between schools. Taken together, they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ins>
    </w:p>
    <w:p>
      <w:pPr>
        <w:spacing w:after="130" w:line="242" w:lineRule="auto"/>
        <w:jc w:val="both"/>
        <w:rPr>
          <w:ins w:id="9258" w:author="Claude" w:date="2026-10-05T12:38:11Z"/>
        </w:rPr>
      </w:pPr>
      <w:ins w:id="9259" w:author="Claude" w:date="2026-10-05T12:38:11Z">
        <w:r>
          <w:t xml:space="preserve">This distinction matters for policies that aim to re-attract former teachers. Bringing a teacher back without changing the conditions under which they left risks reproducing the same decision later on, since the school climate and leadership that predict the first departure predict the next one (Sims and Jerrim, 2020; Kraft, Marinell and Shen-Wei Yee, 2016). How much this applies depends on the role in which former teachers return. A retired teacher who comes back as a mentor or a tutor for a few hours a week is exposed to few of the conditions that drive departures, whereas a leaver who returns to a full classroom load in a hard-to-staff school is exposed to all of them.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Box 1 summarises what each area teaches for that purpose.</w:t>
        </w:r>
      </w:ins>
    </w:p>
    <w:p>
      <w:pPr>
        <w:spacing w:after="0"/>
        <w:rPr>
          <w:ins w:id="9332" w:author="Claude" w:date="2026-10-05T12:38:11Z"/>
        </w:rPr>
      </w:pPr>
    </w:p>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tblPr>
      <w:tblGrid>
        <w:gridCol w:w="9062"/>
      </w:tblGrid>
      <w:tr>
        <w:trPr>
          <w:cantSplit/>
          <w:ins w:id="9278" w:author="Claude" w:date="2026-10-05T12:38:11Z"/>
        </w:trPr>
        <w:tc>
          <w:tcPr>
            <w:tcW w:w="5000" w:type="pct"/>
            <w:shd w:val="clear" w:color="auto" w:fill="E8EEF4"/>
          </w:tcPr>
          <w:p>
            <w:pPr>
              <w:keepNext/>
              <w:spacing w:before="60" w:after="120"/>
              <w:rPr>
                <w:ins w:id="9260" w:author="Claude" w:date="2026-10-05T12:38:11Z"/>
              </w:rPr>
            </w:pPr>
            <w:ins w:id="9261" w:author="Claude" w:date="2026-10-05T12:38:11Z">
              <w:r>
                <w:rPr>
                  <w:b/>
                  <w:bCs/>
                  <w:color w:val="1F4D78"/>
                  <w:sz w:val="24"/>
                  <w:szCs w:val="24"/>
                </w:rPr>
                <w:t xml:space="preserve">Box 1. What the reasons for leaving teach us about re-attracting former teachers</w:t>
              </w:r>
            </w:ins>
          </w:p>
          <w:p>
            <w:pPr>
              <w:spacing w:before="0" w:after="100" w:line="240" w:lineRule="auto"/>
              <w:jc w:val="both"/>
              <w:rPr>
                <w:ins w:id="9262" w:author="Claude" w:date="2026-10-05T12:38:11Z"/>
              </w:rPr>
            </w:pPr>
            <w:ins w:id="9263" w:author="Claude" w:date="2026-10-05T12:38:11Z">
              <w:r>
                <w:rPr>
                  <w:sz w:val="21"/>
                  <w:szCs w:val="21"/>
                </w:rPr>
                <w:t xml:space="preserve">Each reason for leaving points to a profile of former teachers and to a lever for bringing them back.</w:t>
              </w:r>
            </w:ins>
          </w:p>
          <w:p>
            <w:pPr>
              <w:spacing w:before="0" w:after="100" w:line="240" w:lineRule="auto"/>
              <w:jc w:val="both"/>
              <w:rPr>
                <w:ins w:id="9264" w:author="Claude" w:date="2026-10-05T12:38:11Z"/>
              </w:rPr>
            </w:pPr>
            <w:ins w:id="9265" w:author="Claude" w:date="2026-10-05T12:38:11Z">
              <w:r>
                <w:rPr>
                  <w:b/>
                  <w:bCs/>
                  <w:sz w:val="21"/>
                  <w:szCs w:val="21"/>
                </w:rPr>
                <w:t xml:space="preserve">Working conditions. </w:t>
              </w:r>
              <w:r>
                <w:rPr>
                  <w:i/>
                  <w:iCs/>
                  <w:sz w:val="21"/>
                  <w:szCs w:val="21"/>
                </w:rPr>
                <w:t xml:space="preserve">Switchers and leavers. </w:t>
              </w:r>
              <w:r>
                <w:rPr>
                  <w:sz w:val="21"/>
                  <w:szCs w:val="21"/>
                </w:rPr>
                <w:t xml:space="preserve">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ins>
          </w:p>
          <w:p>
            <w:pPr>
              <w:spacing w:before="0" w:after="100" w:line="240" w:lineRule="auto"/>
              <w:jc w:val="both"/>
              <w:rPr>
                <w:ins w:id="9266" w:author="Claude" w:date="2026-10-05T12:38:11Z"/>
              </w:rPr>
            </w:pPr>
            <w:ins w:id="9267" w:author="Claude" w:date="2026-10-05T12:38:11Z">
              <w:r>
                <w:rPr>
                  <w:b/>
                  <w:bCs/>
                  <w:sz w:val="21"/>
                  <w:szCs w:val="21"/>
                </w:rPr>
                <w:t xml:space="preserve">Organisational factors. </w:t>
              </w:r>
              <w:r>
                <w:rPr>
                  <w:i/>
                  <w:iCs/>
                  <w:sz w:val="21"/>
                  <w:szCs w:val="21"/>
                </w:rPr>
                <w:t xml:space="preserve">All profiles. </w:t>
              </w:r>
              <w:r>
                <w:rPr>
                  <w:sz w:val="21"/>
                  <w:szCs w:val="21"/>
                </w:rPr>
                <w:t xml:space="preserve">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ins>
          </w:p>
          <w:p>
            <w:pPr>
              <w:spacing w:before="0" w:after="100" w:line="240" w:lineRule="auto"/>
              <w:jc w:val="both"/>
              <w:rPr>
                <w:ins w:id="9268" w:author="Claude" w:date="2026-10-05T12:38:11Z"/>
              </w:rPr>
            </w:pPr>
            <w:ins w:id="9269" w:author="Claude" w:date="2026-10-05T12:38:11Z">
              <w:r>
                <w:rPr>
                  <w:b/>
                  <w:bCs/>
                  <w:sz w:val="21"/>
                  <w:szCs w:val="21"/>
                </w:rPr>
                <w:t xml:space="preserve">Financial factors. </w:t>
              </w:r>
              <w:r>
                <w:rPr>
                  <w:i/>
                  <w:iCs/>
                  <w:sz w:val="21"/>
                  <w:szCs w:val="21"/>
                </w:rPr>
                <w:t xml:space="preserve">Switchers and retired teachers. </w:t>
              </w:r>
              <w:r>
                <w:rPr>
                  <w:sz w:val="21"/>
                  <w:szCs w:val="21"/>
                </w:rPr>
                <w:t xml:space="preserve">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ins>
          </w:p>
          <w:p>
            <w:pPr>
              <w:spacing w:before="0" w:after="100" w:line="240" w:lineRule="auto"/>
              <w:jc w:val="both"/>
              <w:rPr>
                <w:ins w:id="9270" w:author="Claude" w:date="2026-10-05T12:38:11Z"/>
              </w:rPr>
            </w:pPr>
            <w:ins w:id="9271" w:author="Claude" w:date="2026-10-05T12:38:11Z">
              <w:r>
                <w:rPr>
                  <w:b/>
                  <w:bCs/>
                  <w:sz w:val="21"/>
                  <w:szCs w:val="21"/>
                </w:rPr>
                <w:t xml:space="preserve">Professional factors. </w:t>
              </w:r>
              <w:r>
                <w:rPr>
                  <w:i/>
                  <w:iCs/>
                  <w:sz w:val="21"/>
                  <w:szCs w:val="21"/>
                </w:rPr>
                <w:t xml:space="preserve">Mainly switchers. </w:t>
              </w:r>
              <w:r>
                <w:rPr>
                  <w:sz w:val="21"/>
                  <w:szCs w:val="21"/>
                </w:rPr>
                <w:t xml:space="preserve">Those who leave for another job rate it above teaching in autonomy, influence and standing, more than in pay. Bringing them back means recognising their previous service, offering roles that use their experience and giving them a say in decisions about their own work.</w:t>
              </w:r>
            </w:ins>
          </w:p>
          <w:p>
            <w:pPr>
              <w:spacing w:before="0" w:after="100" w:line="240" w:lineRule="auto"/>
              <w:jc w:val="both"/>
              <w:rPr>
                <w:ins w:id="9272" w:author="Claude" w:date="2026-10-05T12:38:11Z"/>
              </w:rPr>
            </w:pPr>
            <w:ins w:id="9273" w:author="Claude" w:date="2026-10-05T12:38:11Z">
              <w:r>
                <w:rPr>
                  <w:b/>
                  <w:bCs/>
                  <w:sz w:val="21"/>
                  <w:szCs w:val="21"/>
                </w:rPr>
                <w:t xml:space="preserve">Personal and life-course factors. </w:t>
              </w:r>
              <w:r>
                <w:rPr>
                  <w:i/>
                  <w:iCs/>
                  <w:sz w:val="21"/>
                  <w:szCs w:val="21"/>
                </w:rPr>
                <w:t xml:space="preserve">Mainly leavers. </w:t>
              </w:r>
              <w:r>
                <w:rPr>
                  <w:sz w:val="21"/>
                  <w:szCs w:val="21"/>
                </w:rPr>
                <w:t xml:space="preserve">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ins>
          </w:p>
          <w:p>
            <w:pPr>
              <w:spacing w:before="0" w:after="100" w:line="240" w:lineRule="auto"/>
              <w:jc w:val="both"/>
              <w:rPr>
                <w:ins w:id="9274" w:author="Claude" w:date="2026-10-05T12:38:11Z"/>
              </w:rPr>
            </w:pPr>
            <w:ins w:id="9275" w:author="Claude" w:date="2026-10-05T12:38:11Z">
              <w:r>
                <w:rPr>
                  <w:b/>
                  <w:bCs/>
                  <w:sz w:val="21"/>
                  <w:szCs w:val="21"/>
                </w:rPr>
                <w:t xml:space="preserve">Accountability and regulation. </w:t>
              </w:r>
              <w:r>
                <w:rPr>
                  <w:i/>
                  <w:iCs/>
                  <w:sz w:val="21"/>
                  <w:szCs w:val="21"/>
                </w:rPr>
                <w:t xml:space="preserve">Minor as a reason for leaving, decisive for re-entry. </w:t>
              </w:r>
              <w:r>
                <w:rPr>
                  <w:sz w:val="21"/>
                  <w:szCs w:val="21"/>
                </w:rPr>
                <w:t xml:space="preserve">Licensing and training obligations rarely drive qualified teachers out, but a lapsed licence must be renewed, and the cost and complexity of doing so deter those considering a return. Re-certification should be as light as its purpose allows.</w:t>
              </w:r>
            </w:ins>
          </w:p>
          <w:p>
            <w:pPr>
              <w:spacing w:before="0" w:after="60" w:line="240" w:lineRule="auto"/>
              <w:jc w:val="both"/>
              <w:rPr>
                <w:ins w:id="9276" w:author="Claude" w:date="2026-10-05T12:38:11Z"/>
              </w:rPr>
            </w:pPr>
            <w:ins w:id="9277" w:author="Claude" w:date="2026-10-05T12:38:11Z">
              <w:r>
                <w:rPr>
                  <w:b/>
                  <w:bCs/>
                  <w:sz w:val="21"/>
                  <w:szCs w:val="21"/>
                </w:rPr>
                <w:t xml:space="preserve">Overall. </w:t>
              </w:r>
              <w:r>
                <w:rPr>
                  <w:sz w:val="21"/>
                  <w:szCs w:val="21"/>
                </w:rPr>
                <w:t xml:space="preserve">Working conditions and the organisation of the school outweigh pay, regulation and personal characteristics as reasons for leaving. The lesson for re-entry is that the conditions a former teacher returns to matter as much as the incentive that brings them back, and that a policy driven only by shortages, which places returners in the hardest schools, risks reproducing the first departure.</w:t>
              </w:r>
            </w:ins>
          </w:p>
        </w:tc>
      </w:tr>
    </w:tbl>
    <w:p>
      <w:pPr>
        <w:spacing w:after="0"/>
        <w:rPr>
          <w:ins w:id="9333" w:author="Claude" w:date="2026-10-05T12:38:11Z"/>
        </w:rPr>
      </w:pPr>
    </w:p>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61" w:name="_Toc239235958"/>
      <w:r>
        <w:rPr>
          <w:b/>
          <w:bCs/>
          <w:color w:val="04629A"/>
          <w:sz w:val="30"/>
          <w:szCs w:val="30"/>
        </w:rPr>
        <w:lastRenderedPageBreak/>
        <w:t>3. The policies</w:t>
      </w:r>
      <w:bookmarkEnd w:id="61"/>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62" w:name="_Toc239235959"/>
      <w:r>
        <w:rPr>
          <w:b/>
          <w:bCs/>
          <w:color w:val="04629A"/>
          <w:sz w:val="30"/>
          <w:szCs w:val="30"/>
        </w:rPr>
        <w:lastRenderedPageBreak/>
        <w:t>4. Conclusions</w:t>
      </w:r>
      <w:bookmarkEnd w:id="62"/>
    </w:p>
    <w:p w14:paraId="111665AD" w14:textId="77777777" w:rsidR="00F40E91" w:rsidRDefault="00A42790">
      <w:pPr>
        <w:pStyle w:val="Heading2"/>
        <w:spacing w:before="200" w:after="120"/>
      </w:pPr>
      <w:bookmarkStart w:id="63" w:name="_Toc239235960"/>
      <w:r>
        <w:rPr>
          <w:b/>
          <w:bCs/>
          <w:color w:val="04629A"/>
          <w:sz w:val="25"/>
          <w:szCs w:val="25"/>
        </w:rPr>
        <w:t>References</w:t>
      </w:r>
      <w:bookmarkEnd w:id="63"/>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72291C9D" w14:textId="77777777" w:rsidR="00F40E91" w:rsidRDefault="00A42790">
      <w:pPr>
        <w:spacing w:after="70"/>
        <w:ind w:left="280" w:hanging="280"/>
      </w:pPr>
      <w:r>
        <w:rPr>
          <w:sz w:val="20"/>
          <w:szCs w:val="20"/>
        </w:rPr>
        <w:t>AE (2024), *Mange nye folkeskolelærere forlader folkeskolen på få år*, Arbejderbevægelsens Erhvervsråd, Copenhagen, https://www.ae.dk/analyse/2024-06-mange-nye-folkeskolelaerere-forlader-folkeskolen-paa-faa-aar.</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rPr>
          <w:ins w:id="9334" w:author="Claude" w:date="2026-10-05T12:38:11Z"/>
        </w:rPr>
      </w:pPr>
      <w:ins w:id="9335" w:author="Claude" w:date="2026-10-05T12:38:11Z">
        <w:r>
          <w:rPr>
            <w:sz w:val="20"/>
            <w:szCs w:val="20"/>
          </w:rPr>
          <w:t xml:space="preserve">Béteille, T., D. Kalogrides and S. Loeb (2012), "Stepping stones: Principal career paths and school outcomes", </w:t>
        </w:r>
        <w:r>
          <w:rPr>
            <w:i/>
            <w:iCs/>
            <w:sz w:val="20"/>
            <w:szCs w:val="20"/>
          </w:rPr>
          <w:t xml:space="preserve">Social Science Research</w:t>
        </w:r>
        <w:r>
          <w:rPr>
            <w:sz w:val="20"/>
            <w:szCs w:val="20"/>
          </w:rPr>
          <w:t xml:space="preserve">, Vol. 41/4, pp. 904-919, https://doi.org/10.1016/j.ssresearch.2012.03.003.</w:t>
        </w:r>
      </w:ins>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46077A44" w14:textId="77777777" w:rsidR="00F40E91" w:rsidRPr="00F15A52" w:rsidRDefault="00A42790">
      <w:pPr>
        <w:spacing w:after="70"/>
        <w:ind w:left="280" w:hanging="280"/>
        <w:rPr>
          <w:lang w:val="es-CL"/>
        </w:rPr>
      </w:pPr>
      <w:r>
        <w:rPr>
          <w:sz w:val="20"/>
          <w:szCs w:val="20"/>
          <w:lang w:val="es-CL"/>
        </w:rPr>
        <w:t>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lastRenderedPageBreak/>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pPr>
        <w:spacing w:after="70"/>
        <w:ind w:left="280" w:hanging="280"/>
        <w:rPr>
          <w:ins w:id="9336" w:author="Claude" w:date="2026-10-05T12:38:11Z"/>
        </w:rPr>
      </w:pPr>
      <w:ins w:id="9337" w:author="Claude" w:date="2026-10-05T12:38:11Z">
        <w:r>
          <w:rPr>
            <w:sz w:val="20"/>
            <w:szCs w:val="20"/>
          </w:rPr>
          <w:t xml:space="preserve">European Commission/EACEA/Eurydice (2021), </w:t>
        </w:r>
        <w:r>
          <w:rPr>
            <w:i/>
            <w:iCs/>
            <w:sz w:val="20"/>
            <w:szCs w:val="20"/>
          </w:rPr>
          <w:t xml:space="preserve">Teachers in Europe: Careers, Development and Well-being</w:t>
        </w:r>
        <w:r>
          <w:rPr>
            <w:sz w:val="20"/>
            <w:szCs w:val="20"/>
          </w:rPr>
          <w:t xml:space="preserve">, Eurydice Report, Publications Office of the European Union, Luxembourg.</w:t>
        </w:r>
      </w:ins>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pPr>
        <w:spacing w:after="70"/>
        <w:ind w:left="280" w:hanging="280"/>
        <w:rPr>
          <w:ins w:id="9338" w:author="Claude" w:date="2026-10-05T12:38:11Z"/>
        </w:rPr>
      </w:pPr>
      <w:ins w:id="9339" w:author="Claude" w:date="2026-10-05T12:38:11Z">
        <w:r>
          <w:rPr>
            <w:sz w:val="20"/>
            <w:szCs w:val="20"/>
          </w:rPr>
          <w:t xml:space="preserve">Feng, L. and T. R. Sass (2018), "The impact of incentives to recruit and retain teachers in "hard-to-staff" subjects", </w:t>
        </w:r>
        <w:r>
          <w:rPr>
            <w:i/>
            <w:iCs/>
            <w:sz w:val="20"/>
            <w:szCs w:val="20"/>
          </w:rPr>
          <w:t xml:space="preserve">Journal of Policy Analysis and Management</w:t>
        </w:r>
        <w:r>
          <w:rPr>
            <w:sz w:val="20"/>
            <w:szCs w:val="20"/>
          </w:rPr>
          <w:t xml:space="preserve">, Vol. 37/1, pp. 112-135.</w:t>
        </w:r>
      </w:ins>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pPr>
        <w:spacing w:after="70"/>
        <w:ind w:left="280" w:hanging="280"/>
        <w:rPr>
          <w:ins w:id="9340" w:author="Claude" w:date="2026-10-05T12:38:11Z"/>
        </w:rPr>
      </w:pPr>
      <w:ins w:id="9341" w:author="Claude" w:date="2026-10-05T12:38:11Z">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 xml:space="preserve">Teachers College Record</w:t>
        </w:r>
        <w:r>
          <w:rPr>
            <w:sz w:val="20"/>
            <w:szCs w:val="20"/>
          </w:rPr>
          <w:t xml:space="preserve">, Vol. 113/11, pp. 2552-2585.</w:t>
        </w:r>
      </w:ins>
    </w:p>
    <w:p>
      <w:pPr>
        <w:spacing w:after="70"/>
        <w:ind w:left="280" w:hanging="280"/>
        <w:rPr>
          <w:ins w:id="9342" w:author="Claude" w:date="2026-10-05T12:38:11Z"/>
        </w:rPr>
      </w:pPr>
      <w:ins w:id="9343" w:author="Claude" w:date="2026-10-05T12:38:11Z">
        <w:r>
          <w:rPr>
            <w:sz w:val="20"/>
            <w:szCs w:val="20"/>
          </w:rPr>
          <w:t xml:space="preserve">Grissom, J. A. and M. Reininger (2012), "Who comes back? A longitudinal analysis of the reentry behavior of exiting teachers", </w:t>
        </w:r>
        <w:r>
          <w:rPr>
            <w:i/>
            <w:iCs/>
            <w:sz w:val="20"/>
            <w:szCs w:val="20"/>
          </w:rPr>
          <w:t xml:space="preserve">Education Finance and Policy</w:t>
        </w:r>
        <w:r>
          <w:rPr>
            <w:sz w:val="20"/>
            <w:szCs w:val="20"/>
          </w:rPr>
          <w:t xml:space="preserve">, Vol. 7/4, pp. 425-454, https://doi.org/10.1162/EDFP_a_00075.</w:t>
        </w:r>
      </w:ins>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pPr>
        <w:spacing w:after="70"/>
        <w:ind w:left="280" w:hanging="280"/>
        <w:rPr>
          <w:ins w:id="9344" w:author="Claude" w:date="2026-10-05T12:38:11Z"/>
        </w:rPr>
      </w:pPr>
      <w:ins w:id="9345" w:author="Claude" w:date="2026-10-05T12:38:11Z">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 xml:space="preserve">Teachers College Record</w:t>
        </w:r>
        <w:r>
          <w:rPr>
            <w:sz w:val="20"/>
            <w:szCs w:val="20"/>
          </w:rPr>
          <w:t xml:space="preserve">, Vol. 114/10, pp. 1-39.</w:t>
        </w:r>
      </w:ins>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47031CD0" w14:textId="77777777" w:rsidR="00F40E91" w:rsidRDefault="00A42790">
      <w:pPr>
        <w:spacing w:after="70"/>
        <w:ind w:left="280" w:hanging="280"/>
      </w:pPr>
      <w:r>
        <w:rPr>
          <w:sz w:val="20"/>
          <w:szCs w:val="20"/>
        </w:rPr>
        <w:t>Kindsiko, E. (2023), analysis of teacher attrition in Estonia using EHIS register data 2005/06-2021/22, Arenguseire Keskus, Tallinn. [Full bibliographic details to be completed before publication.]</w:t>
      </w:r>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rPr>
          <w:ins w:id="9346" w:author="Claude" w:date="2026-10-05T12:38:11Z"/>
        </w:rPr>
      </w:pPr>
      <w:ins w:id="9347" w:author="Claude" w:date="2026-10-05T12:38:11Z">
        <w:r>
          <w:rPr>
            <w:sz w:val="20"/>
            <w:szCs w:val="20"/>
          </w:rPr>
          <w:t xml:space="preserve">Ladd, H. F. (2011), "Teachers' perceptions of their working conditions: How predictive of planned and actual teacher movement?", </w:t>
        </w:r>
        <w:r>
          <w:rPr>
            <w:i/>
            <w:iCs/>
            <w:sz w:val="20"/>
            <w:szCs w:val="20"/>
          </w:rPr>
          <w:t xml:space="preserve">Educational Evaluation and Policy Analysis</w:t>
        </w:r>
        <w:r>
          <w:rPr>
            <w:sz w:val="20"/>
            <w:szCs w:val="20"/>
          </w:rPr>
          <w:t xml:space="preserve">, Vol. 33/2, pp. 235-261.</w:t>
        </w:r>
      </w:ins>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t>Madigan, D. J. and L. E. Kim (2021), "Towards an understanding of teacher attrition: A meta-analysis of burnout, job satisfaction, and teachers' intentions to quit", *Teaching and Teacher Education*, Vol. 105, 103425, https://doi.org/10.1016/j.tate.2021.103425.</w:t>
      </w:r>
    </w:p>
    <w:p w14:paraId="5E4367D6" w14:textId="77777777" w:rsidR="00F40E91" w:rsidRDefault="00A42790">
      <w:pPr>
        <w:spacing w:after="70"/>
        <w:ind w:left="280" w:hanging="280"/>
      </w:pPr>
      <w:r>
        <w:rPr>
          <w:sz w:val="20"/>
          <w:szCs w:val="20"/>
        </w:rPr>
        <w:t>Ministry of Education Korea (2023), statistics on mid-career teacher separations 2019-2023, Ministry of Education, Sejong. [Full bibliographic details to be completed before publication.]</w:t>
      </w:r>
    </w:p>
    <w:p w14:paraId="5AF35FB9" w14:textId="77777777" w:rsidR="00F40E91" w:rsidRDefault="00A42790">
      <w:pPr>
        <w:spacing w:after="70"/>
        <w:ind w:left="280" w:hanging="280"/>
      </w:pPr>
      <w:r>
        <w:rPr>
          <w:sz w:val="20"/>
          <w:szCs w:val="20"/>
        </w:rPr>
        <w:lastRenderedPageBreak/>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pPr>
        <w:spacing w:after="70"/>
        <w:ind w:left="280" w:hanging="280"/>
        <w:rPr>
          <w:ins w:id="9348" w:author="Claude" w:date="2026-10-05T12:38:11Z"/>
        </w:rPr>
      </w:pPr>
      <w:ins w:id="9349" w:author="Claude" w:date="2026-10-05T12:38:11Z">
        <w:r>
          <w:rPr>
            <w:sz w:val="20"/>
            <w:szCs w:val="20"/>
          </w:rPr>
          <w:t xml:space="preserve">NCES (2014), </w:t>
        </w:r>
        <w:r>
          <w:rPr>
            <w:i/>
            <w:iCs/>
            <w:sz w:val="20"/>
            <w:szCs w:val="20"/>
          </w:rPr>
          <w:t xml:space="preserve">Teacher Attrition and Mobility: Results from the 2012-13 Teacher Follow-up Survey</w:t>
        </w:r>
        <w:r>
          <w:rPr>
            <w:sz w:val="20"/>
            <w:szCs w:val="20"/>
          </w:rPr>
          <w:t xml:space="preserve">, NCES 2014-077, National Center for Education Statistics, Washington, DC.</w:t>
        </w:r>
      </w:ins>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7D545500" w14:textId="77777777" w:rsidR="00F40E91" w:rsidRDefault="00A42790">
      <w:pPr>
        <w:spacing w:after="70"/>
        <w:ind w:left="280" w:hanging="280"/>
      </w:pPr>
      <w:r>
        <w:rPr>
          <w:sz w:val="20"/>
          <w:szCs w:val="20"/>
        </w:rPr>
        <w:t>NŠA (2025), teacher demand and supply forecast, Nacionalinė švietimo agentūra, Vilnius. [Full bibliographic details to be completed before publication.]</w:t>
      </w:r>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66599942" w14:textId="77777777" w:rsidR="00F40E91" w:rsidRDefault="00A42790">
      <w:pPr>
        <w:spacing w:after="70"/>
        <w:ind w:left="280" w:hanging="280"/>
      </w:pPr>
      <w:r>
        <w:rPr>
          <w:sz w:val="20"/>
          <w:szCs w:val="20"/>
        </w:rPr>
        <w:t>OECD (2025c), *Results from TALIS 2024, Country Notes: Japan, France and the Netherlands*, OECD Publishing, Paris, https://doi.org/10.1787/e127f9e2-en.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4D642B90" w14:textId="77777777" w:rsidR="00F40E91" w:rsidRDefault="00A42790">
      <w:pPr>
        <w:spacing w:after="70"/>
        <w:ind w:left="280" w:hanging="280"/>
      </w:pPr>
      <w:r>
        <w:rPr>
          <w:sz w:val="20"/>
          <w:szCs w:val="20"/>
        </w:rPr>
        <w:t>Perryman, J. et al. (2025), "'A tipping point' in teacher retention and accountability: The case of inspection", *British Journal of Educational Studies*, Vol. 73/2, pp. 181-200, https://doi.org/10.1080/00071005.2024.2439791.</w:t>
      </w:r>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rPr>
          <w:ins w:id="9352" w:author="Claude" w:date="2026-10-05T12:38:11Z"/>
        </w:rPr>
      </w:pPr>
      <w:ins w:id="9353" w:author="Claude" w:date="2026-10-05T12:38:11Z">
        <w:r>
          <w:rPr>
            <w:sz w:val="20"/>
            <w:szCs w:val="20"/>
          </w:rPr>
          <w:t xml:space="preserve">Redding, C. and T. M. Smith (2016), "Easy in, easy out: Are alternatively certified teachers turning over at increased rates?", </w:t>
        </w:r>
        <w:r>
          <w:rPr>
            <w:i/>
            <w:iCs/>
            <w:sz w:val="20"/>
            <w:szCs w:val="20"/>
          </w:rPr>
          <w:t xml:space="preserve">American Educational Research Journal</w:t>
        </w:r>
        <w:r>
          <w:rPr>
            <w:sz w:val="20"/>
            <w:szCs w:val="20"/>
          </w:rPr>
          <w:t xml:space="preserve">, Vol. 53/4, pp. 1086-1125, https://doi.org/10.3102/0002831216653206.</w:t>
        </w:r>
      </w:ins>
    </w:p>
    <w:p w14:paraId="65897F21" w14:textId="77777777" w:rsidR="00F40E91" w:rsidRDefault="00A42790">
      <w:pPr>
        <w:spacing w:after="70"/>
        <w:ind w:left="280" w:hanging="280"/>
      </w:pPr>
      <w:r>
        <w:rPr>
          <w:sz w:val="20"/>
          <w:szCs w:val="20"/>
        </w:rPr>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rPr>
          <w:ins w:id="9354" w:author="Claude" w:date="2026-10-05T12:38:11Z"/>
        </w:rPr>
      </w:pPr>
      <w:ins w:id="9355" w:author="Claude" w:date="2026-10-05T12:38:11Z">
        <w:r>
          <w:rPr>
            <w:sz w:val="20"/>
            <w:szCs w:val="20"/>
          </w:rPr>
          <w:t xml:space="preserve">Ryan, S. V. et al. (2017), "Leaving the teaching profession: The role of teacher stress and educational accountability policies on turnover intent", </w:t>
        </w:r>
        <w:r>
          <w:rPr>
            <w:i/>
            <w:iCs/>
            <w:sz w:val="20"/>
            <w:szCs w:val="20"/>
          </w:rPr>
          <w:t xml:space="preserve">Teaching and Teacher Education</w:t>
        </w:r>
        <w:r>
          <w:rPr>
            <w:sz w:val="20"/>
            <w:szCs w:val="20"/>
          </w:rPr>
          <w:t xml:space="preserve">, Vol. 66, pp. 1-11.</w:t>
        </w:r>
      </w:ins>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lastRenderedPageBreak/>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rPr>
          <w:ins w:id="9356" w:author="Claude" w:date="2026-10-05T12:38:11Z"/>
        </w:rPr>
      </w:pPr>
      <w:ins w:id="9357" w:author="Claude" w:date="2026-10-05T12:38:11Z">
        <w:r>
          <w:rPr>
            <w:sz w:val="20"/>
            <w:szCs w:val="20"/>
          </w:rPr>
          <w:t xml:space="preserve">Simon, N. S. and S. M. Johnson (2015), "Teacher turnover in high-poverty schools: What we know and can do", </w:t>
        </w:r>
        <w:r>
          <w:rPr>
            <w:i/>
            <w:iCs/>
            <w:sz w:val="20"/>
            <w:szCs w:val="20"/>
          </w:rPr>
          <w:t xml:space="preserve">Teachers College Record</w:t>
        </w:r>
        <w:r>
          <w:rPr>
            <w:sz w:val="20"/>
            <w:szCs w:val="20"/>
          </w:rPr>
          <w:t xml:space="preserve">, Vol. 117/3, pp. 1-36.</w:t>
        </w:r>
      </w:ins>
    </w:p>
    <w:p w14:paraId="14A58B0C" w14:textId="77777777" w:rsidR="00F40E91" w:rsidRDefault="00A42790">
      <w:pPr>
        <w:spacing w:after="70"/>
        <w:ind w:left="280" w:hanging="280"/>
      </w:pPr>
      <w:r>
        <w:rPr>
          <w:sz w:val="20"/>
          <w:szCs w:val="20"/>
        </w:rPr>
        <w:t>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Default="00A42790">
      <w:pPr>
        <w:spacing w:after="70"/>
        <w:ind w:left="280" w:hanging="280"/>
      </w:pPr>
      <w:r>
        <w:rPr>
          <w:sz w:val="20"/>
          <w:szCs w:val="20"/>
        </w:rPr>
        <w:t>Somers, M. et al. (2024a), *Loont het om leraren financieel te prikkelen? De voltijdbonus onderzocht*, ROA, Maastricht University, Maastricht, https://roa.maastrichtuniversity.nl/.</w:t>
      </w:r>
    </w:p>
    <w:p w14:paraId="7847F30A" w14:textId="77777777" w:rsidR="00F40E91" w:rsidRDefault="00A42790">
      <w:pPr>
        <w:spacing w:after="70"/>
        <w:ind w:left="280" w:hanging="280"/>
      </w:pPr>
      <w:r>
        <w:rPr>
          <w:sz w:val="20"/>
          <w:szCs w:val="20"/>
        </w:rPr>
        <w:t>Somers, M. et al. (2024b), *De stille reserve aan leraren buiten het onderwijs*, ROA, Maastricht University, Maastricht, https://roa.maastrichtuniversity.nl/.</w:t>
      </w:r>
    </w:p>
    <w:p>
      <w:pPr>
        <w:spacing w:after="70"/>
        <w:ind w:left="280" w:hanging="280"/>
        <w:rPr>
          <w:ins w:id="9358" w:author="Claude" w:date="2026-10-05T12:38:11Z"/>
        </w:rPr>
      </w:pPr>
      <w:ins w:id="9359" w:author="Claude" w:date="2026-10-05T12:38:11Z">
        <w:r>
          <w:rPr>
            <w:sz w:val="20"/>
            <w:szCs w:val="20"/>
          </w:rPr>
          <w:t xml:space="preserve">Springer, M. G., W. A. Swain and L. A. Rodriguez (2016), "Effective teacher retention bonuses: Evidence from Tennessee", </w:t>
        </w:r>
        <w:r>
          <w:rPr>
            <w:i/>
            <w:iCs/>
            <w:sz w:val="20"/>
            <w:szCs w:val="20"/>
          </w:rPr>
          <w:t xml:space="preserve">Educational Evaluation and Policy Analysis</w:t>
        </w:r>
        <w:r>
          <w:rPr>
            <w:sz w:val="20"/>
            <w:szCs w:val="20"/>
          </w:rPr>
          <w:t xml:space="preserve">, Vol. 38/2, pp. 199-221.</w:t>
        </w:r>
      </w:ins>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7"/>
      <w:footerReference w:type="even" r:id="rId18"/>
      <w:footerReference w:type="default" r:id="rId19"/>
      <w:footerReference w:type="first" r:id="rId20"/>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TORRES José Manuel, EDU/IMEP" w:date="2026-09-18T10:07:00Z" w:initials="JT">
    <w:p w14:paraId="68D3E113" w14:textId="77777777" w:rsidR="00347EB0" w:rsidRDefault="00347EB0" w:rsidP="00347EB0">
      <w:pPr>
        <w:pStyle w:val="CommentText"/>
      </w:pPr>
      <w:r>
        <w:rPr>
          <w:rStyle w:val="CommentReference"/>
        </w:rPr>
        <w:annotationRef/>
      </w:r>
      <w:r>
        <w:rPr>
          <w:lang w:val="en-GB"/>
        </w:rPr>
        <w:t>General comments:</w:t>
      </w:r>
    </w:p>
    <w:p w14:paraId="236E8027" w14:textId="77777777" w:rsidR="00347EB0" w:rsidRDefault="00347EB0" w:rsidP="00347EB0">
      <w:pPr>
        <w:pStyle w:val="CommentText"/>
        <w:ind w:left="300"/>
      </w:pPr>
      <w:r>
        <w:rPr>
          <w:lang w:val="en-GB"/>
        </w:rPr>
        <w:t>Table 1 taxonomy is great and works well. Doubting about the order, although the current one (from intrinsic to extrinsic) also works.</w:t>
      </w:r>
    </w:p>
    <w:p w14:paraId="6137215F" w14:textId="77777777" w:rsidR="00347EB0" w:rsidRDefault="00347EB0" w:rsidP="00347EB0">
      <w:pPr>
        <w:pStyle w:val="CommentText"/>
        <w:ind w:left="300"/>
      </w:pPr>
      <w:r>
        <w:rPr>
          <w:lang w:val="en-GB"/>
        </w:rPr>
        <w:t>Scope/cover of the literature reviewed is perfect.</w:t>
      </w:r>
    </w:p>
    <w:p w14:paraId="1B08251C" w14:textId="77777777" w:rsidR="00347EB0" w:rsidRDefault="00347EB0" w:rsidP="00347EB0">
      <w:pPr>
        <w:pStyle w:val="CommentText"/>
        <w:ind w:left="300"/>
      </w:pPr>
      <w:r>
        <w:rPr>
          <w:lang w:val="en-GB"/>
        </w:rPr>
        <w:t>We usually don’t use footnotes on OECD publications, and currently there are plenty of them and they carry too much substantive content. They should be moved into the text.</w:t>
      </w:r>
    </w:p>
    <w:p w14:paraId="5087C117" w14:textId="77777777" w:rsidR="00347EB0" w:rsidRDefault="00347EB0" w:rsidP="00347EB0">
      <w:pPr>
        <w:pStyle w:val="CommentText"/>
        <w:ind w:left="300"/>
      </w:pPr>
      <w:r>
        <w:rPr>
          <w:lang w:val="en-GB"/>
        </w:rPr>
        <w:t>Some sentences are very long and carry too many ideas. Let’s try to shorten and smoothen them.</w:t>
      </w:r>
    </w:p>
  </w:comment>
  <w:comment w:id="7" w:author="TORRES José Manuel, EDU/IMEP" w:date="2026-09-18T09:25:00Z" w:initials="JT">
    <w:p w14:paraId="56AAA5F9" w14:textId="77777777" w:rsidR="00A552FF" w:rsidRDefault="00A552FF" w:rsidP="00A552FF">
      <w:pPr>
        <w:pStyle w:val="CommentText"/>
      </w:pPr>
      <w:r>
        <w:rPr>
          <w:rStyle w:val="CommentReference"/>
        </w:rPr>
        <w:annotationRef/>
      </w:r>
      <w:r>
        <w:rPr>
          <w:lang w:val="en-GB"/>
        </w:rPr>
        <w:t>This is useful and has a potential to be used afterwards, but mostly disappears in the following sections. Let’s see where to use them.</w:t>
      </w:r>
    </w:p>
  </w:comment>
  <w:comment w:id="10" w:author="TORRES José Manuel, EDU/IMEP" w:date="2026-09-17T16:56:00Z" w:initials="JT">
    <w:p w14:paraId="7B65540A" w14:textId="77777777" w:rsidR="00084A2D" w:rsidRDefault="00FB011F" w:rsidP="00084A2D">
      <w:pPr>
        <w:pStyle w:val="CommentText"/>
      </w:pPr>
      <w:r>
        <w:rPr>
          <w:rStyle w:val="CommentReference"/>
        </w:rPr>
        <w:annotationRef/>
      </w:r>
      <w:r w:rsidR="00084A2D">
        <w:rPr>
          <w:lang w:val="en-GB"/>
        </w:rPr>
        <w:t>I’d put this upfront, as it’s the main reason as to why we’re studying this.</w:t>
      </w:r>
    </w:p>
    <w:p w14:paraId="3F84AB5E" w14:textId="77777777" w:rsidR="00084A2D" w:rsidRDefault="00084A2D" w:rsidP="00084A2D">
      <w:pPr>
        <w:pStyle w:val="CommentText"/>
      </w:pPr>
      <w:r>
        <w:rPr>
          <w:lang w:val="en-GB"/>
        </w:rPr>
        <w:t>I mean, this would probably be part of the Introduction.</w:t>
      </w:r>
    </w:p>
  </w:comment>
  <w:comment w:id="11" w:author="TORRES José Manuel, EDU/IMEP" w:date="2026-09-18T09:25:00Z" w:initials="JT">
    <w:p w14:paraId="5FFA4E51" w14:textId="77777777" w:rsidR="00EA6F7F" w:rsidRDefault="00EA6F7F" w:rsidP="00EA6F7F">
      <w:pPr>
        <w:pStyle w:val="CommentText"/>
      </w:pPr>
      <w:r>
        <w:rPr>
          <w:rStyle w:val="CommentReference"/>
        </w:rPr>
        <w:annotationRef/>
      </w:r>
      <w:r>
        <w:rPr>
          <w:lang w:val="en-GB"/>
        </w:rPr>
        <w:t>And then we would need a smoother transition from 2.1 to 2.2.</w:t>
      </w:r>
    </w:p>
  </w:comment>
  <w:comment w:id="13" w:author="DURÁN ROA José Elías, EDU/IMEP" w:date="2026-09-15T15:24:00Z" w:initials="JD">
    <w:p w14:paraId="51D09100" w14:textId="77777777" w:rsidR="00520C8B" w:rsidRDefault="00F10B26" w:rsidP="00520C8B">
      <w:pPr>
        <w:pStyle w:val="CommentText"/>
      </w:pPr>
      <w:r>
        <w:rPr>
          <w:rStyle w:val="CommentReference"/>
        </w:rPr>
        <w:annotationRef/>
      </w:r>
      <w:r w:rsidR="00520C8B">
        <w:rPr>
          <w:lang w:val="en-GB"/>
        </w:rPr>
        <w:t>Otra opción sería eliminar la tabla y dejar las areas como subtitulos en el texto, ya que al final menciono todo su contenido, en orden, en el cuerpo del texto.</w:t>
      </w:r>
    </w:p>
  </w:comment>
  <w:comment w:id="14" w:author="TORRES José Manuel, EDU/IMEP" w:date="2026-09-17T17:03:00Z" w:initials="JT">
    <w:p w14:paraId="4C75C3AD" w14:textId="77777777" w:rsidR="00880588" w:rsidRDefault="00880588" w:rsidP="00880588">
      <w:pPr>
        <w:pStyle w:val="CommentText"/>
      </w:pPr>
      <w:r>
        <w:rPr>
          <w:rStyle w:val="CommentReference"/>
        </w:rPr>
        <w:annotationRef/>
      </w:r>
      <w:r>
        <w:rPr>
          <w:lang w:val="en-GB"/>
        </w:rPr>
        <w:t>Siempre es bueno dejar algo más user-friendly</w:t>
      </w:r>
    </w:p>
  </w:comment>
  <w:comment w:id="44" w:author="TORRES José Manuel, EDU/IMEP" w:date="2026-09-17T17:17:00Z" w:initials="JT">
    <w:p w14:paraId="07B35EFF" w14:textId="77777777" w:rsidR="003F3306" w:rsidRDefault="003F3306" w:rsidP="003F3306">
      <w:pPr>
        <w:pStyle w:val="CommentText"/>
      </w:pPr>
      <w:r>
        <w:rPr>
          <w:rStyle w:val="CommentReference"/>
        </w:rPr>
        <w:annotationRef/>
      </w:r>
      <w:r>
        <w:rPr>
          <w:lang w:val="en-GB"/>
        </w:rPr>
        <w:t xml:space="preserve">If (and most likely when) needed, I’d prune this bit. </w:t>
      </w:r>
    </w:p>
  </w:comment>
  <w:comment w:id="45" w:author="TORRES José Manuel, EDU/IMEP" w:date="2026-09-18T09:48:00Z" w:initials="JT">
    <w:p w14:paraId="1D396AC3" w14:textId="77777777" w:rsidR="009D2F35" w:rsidRDefault="009D2F35" w:rsidP="009D2F35">
      <w:pPr>
        <w:pStyle w:val="CommentText"/>
      </w:pPr>
      <w:r>
        <w:rPr>
          <w:rStyle w:val="CommentReference"/>
        </w:rPr>
        <w:annotationRef/>
      </w:r>
      <w:r>
        <w:rPr>
          <w:lang w:val="en-GB"/>
        </w:rPr>
        <w:t>Love the implications for re-entry angle, but let’s make them consistent across the different areas (some areas show them, others don’t).</w:t>
      </w:r>
    </w:p>
  </w:comment>
  <w:comment w:id="46" w:author="TORRES José Manuel, EDU/IMEP" w:date="2026-09-17T17:27:00Z" w:initials="JT">
    <w:p w14:paraId="2E2FD1BF" w14:textId="77777777" w:rsidR="006C2144" w:rsidRDefault="006C2144" w:rsidP="006C2144">
      <w:pPr>
        <w:pStyle w:val="CommentText"/>
      </w:pPr>
      <w:r>
        <w:rPr>
          <w:rStyle w:val="CommentReference"/>
        </w:rPr>
        <w:annotationRef/>
      </w:r>
      <w:r>
        <w:rPr>
          <w:lang w:val="en-GB"/>
        </w:rPr>
        <w:t>The definition should come before</w:t>
      </w:r>
    </w:p>
  </w:comment>
  <w:comment w:id="47" w:author="TORRES José Manuel, EDU/IMEP" w:date="2026-09-17T17:27:00Z" w:initials="JT">
    <w:p w14:paraId="4988E326" w14:textId="77777777" w:rsidR="00F45E4A" w:rsidRDefault="00F45E4A" w:rsidP="00F45E4A">
      <w:pPr>
        <w:pStyle w:val="CommentText"/>
      </w:pPr>
      <w:r>
        <w:rPr>
          <w:rStyle w:val="CommentReference"/>
        </w:rPr>
        <w:annotationRef/>
      </w:r>
      <w:r>
        <w:rPr>
          <w:lang w:val="en-GB"/>
        </w:rPr>
        <w:t>Let’s be aware that working conditions of teachers may not be “worse” than those of other sectors/professions</w:t>
      </w:r>
    </w:p>
  </w:comment>
  <w:comment w:id="48" w:author="TORRES José Manuel, EDU/IMEP" w:date="2026-09-17T17:29:00Z" w:initials="JT">
    <w:p w14:paraId="2BE8211D" w14:textId="77777777" w:rsidR="00793F59" w:rsidRDefault="00793F59" w:rsidP="00793F59">
      <w:pPr>
        <w:pStyle w:val="CommentText"/>
      </w:pPr>
      <w:r>
        <w:rPr>
          <w:rStyle w:val="CommentReference"/>
        </w:rPr>
        <w:annotationRef/>
      </w:r>
      <w:r>
        <w:rPr>
          <w:lang w:val="en-GB"/>
        </w:rPr>
        <w:t>Check WP on second-career teachers</w:t>
      </w:r>
    </w:p>
  </w:comment>
  <w:comment w:id="49" w:author="TORRES José Manuel, EDU/IMEP" w:date="2026-09-17T17:33:00Z" w:initials="JT">
    <w:p w14:paraId="1179A352" w14:textId="77777777" w:rsidR="00220E2C" w:rsidRDefault="00220E2C" w:rsidP="00220E2C">
      <w:pPr>
        <w:pStyle w:val="CommentText"/>
      </w:pPr>
      <w:r>
        <w:rPr>
          <w:rStyle w:val="CommentReference"/>
        </w:rPr>
        <w:annotationRef/>
      </w:r>
      <w:r>
        <w:rPr>
          <w:lang w:val="en-GB"/>
        </w:rPr>
        <w:t>Questionable, we would need to back it with refs.</w:t>
      </w:r>
    </w:p>
    <w:p w14:paraId="57949457" w14:textId="77777777" w:rsidR="00220E2C" w:rsidRDefault="00220E2C" w:rsidP="00220E2C">
      <w:pPr>
        <w:pStyle w:val="CommentText"/>
      </w:pPr>
      <w:r>
        <w:rPr>
          <w:lang w:val="en-GB"/>
        </w:rPr>
        <w:t>Schools in more vulnerable contexts / with less resources can be even more effective in terms of educational quality than schools in less vulnerable contexts / with more resources, differentiating by SE</w:t>
      </w:r>
    </w:p>
  </w:comment>
  <w:comment w:id="50" w:author="TORRES José Manuel, EDU/IMEP" w:date="2026-09-17T17:41:00Z" w:initials="JT">
    <w:p w14:paraId="17D90F6E" w14:textId="77777777" w:rsidR="00C40700" w:rsidRDefault="00073FD8" w:rsidP="00C40700">
      <w:pPr>
        <w:pStyle w:val="CommentText"/>
      </w:pPr>
      <w:r>
        <w:rPr>
          <w:rStyle w:val="CommentReference"/>
        </w:rPr>
        <w:annotationRef/>
      </w:r>
      <w:r w:rsidR="00C40700">
        <w:rPr>
          <w:lang w:val="en-GB"/>
        </w:rPr>
        <w:t>We should update this with the newest TALIS data (2024)</w:t>
      </w:r>
    </w:p>
  </w:comment>
  <w:comment w:id="51" w:author="TORRES José Manuel, EDU/IMEP" w:date="2026-09-18T09:30:00Z" w:initials="JT">
    <w:p w14:paraId="5290F8E1" w14:textId="77777777" w:rsidR="00400CB5" w:rsidRDefault="00C14D39" w:rsidP="00400CB5">
      <w:pPr>
        <w:pStyle w:val="CommentText"/>
      </w:pPr>
      <w:r>
        <w:rPr>
          <w:rStyle w:val="CommentReference"/>
        </w:rPr>
        <w:annotationRef/>
      </w:r>
      <w:r w:rsidR="00400CB5">
        <w:rPr>
          <w:lang w:val="en-GB"/>
        </w:rPr>
        <w:t xml:space="preserve">In the table, we mention certification as a reason to leave, but we don’t mention it here. </w:t>
      </w:r>
    </w:p>
    <w:p w14:paraId="4A97938F" w14:textId="77777777" w:rsidR="00400CB5" w:rsidRDefault="00400CB5" w:rsidP="00400CB5">
      <w:pPr>
        <w:pStyle w:val="CommentText"/>
      </w:pPr>
      <w:r>
        <w:rPr>
          <w:lang w:val="en-GB"/>
        </w:rPr>
        <w:t>I understand the logic behind re-certification though (and it’s quite good!), but that relates to re-entry, not leaving.</w:t>
      </w:r>
    </w:p>
  </w:comment>
  <w:comment w:id="52" w:author="TORRES José Manuel, EDU/IMEP" w:date="2026-09-17T17:46:00Z" w:initials="JT">
    <w:p w14:paraId="20C8EAA4" w14:textId="77777777" w:rsidR="00AC5EA8" w:rsidRDefault="00AC5EA8" w:rsidP="00AC5EA8">
      <w:pPr>
        <w:pStyle w:val="CommentText"/>
      </w:pPr>
      <w:r>
        <w:rPr>
          <w:rStyle w:val="CommentReference"/>
        </w:rPr>
        <w:annotationRef/>
      </w:r>
      <w:r>
        <w:rPr>
          <w:lang w:val="en-GB"/>
        </w:rPr>
        <w:t>For the same reason, we should present it before</w:t>
      </w:r>
    </w:p>
  </w:comment>
  <w:comment w:id="53" w:author="TORRES José Manuel, EDU/IMEP" w:date="2026-09-17T17:54:00Z" w:initials="JT">
    <w:p w14:paraId="1BE2B3D6" w14:textId="77777777" w:rsidR="00B45863" w:rsidRDefault="00B45863" w:rsidP="00B45863">
      <w:pPr>
        <w:pStyle w:val="CommentText"/>
      </w:pPr>
      <w:r>
        <w:rPr>
          <w:rStyle w:val="CommentReference"/>
        </w:rPr>
        <w:annotationRef/>
      </w:r>
      <w:r>
        <w:rPr>
          <w:lang w:val="en-GB"/>
        </w:rPr>
        <w:t xml:space="preserve">We can add a figure of the US data, which is quite telling </w:t>
      </w:r>
    </w:p>
  </w:comment>
  <w:comment w:id="54" w:author="TORRES José Manuel, EDU/IMEP" w:date="2026-09-17T17:55:00Z" w:initials="JT">
    <w:p w14:paraId="25D58660" w14:textId="77777777" w:rsidR="00212246" w:rsidRDefault="00212246" w:rsidP="00212246">
      <w:pPr>
        <w:pStyle w:val="CommentText"/>
      </w:pPr>
      <w:r>
        <w:rPr>
          <w:rStyle w:val="CommentReference"/>
        </w:rPr>
        <w:annotationRef/>
      </w:r>
      <w:r>
        <w:rPr>
          <w:lang w:val="en-GB"/>
        </w:rPr>
        <w:t>Double ‘while’</w:t>
      </w:r>
    </w:p>
  </w:comment>
  <w:comment w:id="55" w:author="DURÁN ROA José Elías, EDU/IMEP" w:date="2026-09-16T12:02:00Z" w:initials="JD">
    <w:p w14:paraId="37AE38B7" w14:textId="77777777" w:rsidR="003D32AA" w:rsidRDefault="003D32AA" w:rsidP="003D32AA">
      <w:pPr>
        <w:pStyle w:val="CommentText"/>
      </w:pPr>
      <w:r>
        <w:rPr>
          <w:rStyle w:val="CommentReference"/>
        </w:rPr>
        <w:annotationRef/>
      </w:r>
      <w:r>
        <w:rPr>
          <w:lang w:val="en-GB"/>
        </w:rPr>
        <w:t>No sé bien como funcionan las blue pages, pero aquí se podría hacer una de 1 página, un cierre, con lo que aprendemos y será útil para las políticas de re atracting former teachers</w:t>
      </w:r>
    </w:p>
  </w:comment>
  <w:comment w:id="56" w:author="DURÁN ROA José Elías, EDU/IMEP" w:date="2026-09-16T12:03:00Z" w:initials="JD">
    <w:p w14:paraId="6F61083B" w14:textId="77777777" w:rsidR="00D80668" w:rsidRDefault="003D32AA" w:rsidP="00D80668">
      <w:pPr>
        <w:pStyle w:val="CommentText"/>
      </w:pPr>
      <w:r>
        <w:rPr>
          <w:rStyle w:val="CommentReference"/>
        </w:rPr>
        <w:annotationRef/>
      </w:r>
      <w:r w:rsidR="00D80668">
        <w:rPr>
          <w:lang w:val="en-GB"/>
        </w:rPr>
        <w:t>Crees que tiene sentido? Tipo razón A - afecta mainly a swtchers… aprendemos X… razón B - afecta tanto a leavers como a swicthers y aprendemos… O crees que con los dos párrafos de cierre basta?</w:t>
      </w:r>
    </w:p>
  </w:comment>
  <w:comment w:id="57" w:author="TORRES José Manuel, EDU/IMEP" w:date="2026-09-17T17:58:00Z" w:initials="JT">
    <w:p w14:paraId="385ADF2B" w14:textId="77777777" w:rsidR="00501279" w:rsidRDefault="00501279" w:rsidP="00501279">
      <w:pPr>
        <w:pStyle w:val="CommentText"/>
      </w:pPr>
      <w:r>
        <w:rPr>
          <w:rStyle w:val="CommentReference"/>
        </w:rPr>
        <w:annotationRef/>
      </w:r>
      <w:r>
        <w:rPr>
          <w:lang w:val="en-GB"/>
        </w:rPr>
        <w:t>Hablémoslo, puede ser interesante, dependiendo de qué tan granular lo queramos hacer.</w:t>
      </w:r>
    </w:p>
    <w:p w14:paraId="70E514C7" w14:textId="77777777" w:rsidR="00501279" w:rsidRDefault="00501279" w:rsidP="00501279">
      <w:pPr>
        <w:pStyle w:val="CommentText"/>
      </w:pPr>
      <w:r>
        <w:rPr>
          <w:lang w:val="en-GB"/>
        </w:rPr>
        <w:t xml:space="preserve">En ese caso podemos borrar la tabla inicial y solo tener un infographic / blue page. </w:t>
      </w:r>
    </w:p>
  </w:comment>
  <w:comment w:id="58" w:author="TORRES José Manuel, EDU/IMEP" w:date="2026-09-17T18:01:00Z" w:initials="JT">
    <w:p w14:paraId="07DB48E4" w14:textId="77777777" w:rsidR="009D0DE9" w:rsidRDefault="009D0DE9" w:rsidP="009D0DE9">
      <w:pPr>
        <w:pStyle w:val="CommentText"/>
      </w:pPr>
      <w:r>
        <w:rPr>
          <w:rStyle w:val="CommentReference"/>
        </w:rPr>
        <w:annotationRef/>
      </w:r>
      <w:r>
        <w:rPr>
          <w:lang w:val="en-GB"/>
        </w:rPr>
        <w:t>Will depend though on how (and/or in which role) we want to re-attract the former teachers into the education systems</w:t>
      </w:r>
    </w:p>
  </w:comment>
  <w:comment w:id="59" w:author="TORRES José Manuel, EDU/IMEP" w:date="2026-09-17T18:00:00Z" w:initials="JT">
    <w:p w14:paraId="3969CF95" w14:textId="77777777" w:rsidR="00F817BC" w:rsidRDefault="00F817BC" w:rsidP="00F817BC">
      <w:pPr>
        <w:pStyle w:val="CommentText"/>
      </w:pPr>
      <w:r>
        <w:rPr>
          <w:rStyle w:val="CommentReference"/>
        </w:rPr>
        <w:annotationRef/>
      </w:r>
      <w:r>
        <w:rPr>
          <w:lang w:val="en-GB"/>
        </w:rPr>
        <w:t xml:space="preserve">Ref </w:t>
      </w:r>
    </w:p>
  </w:comment>
  <w:comment w:id="60" w:author="Claude" w:date="2026-10-05T12:38:11Z" w:initials="C">
    <w:p w14:paraId="2A98FA72" w14:textId="77777777">
      <w:r>
        <w:rPr>
          <w:rStyle w:val="CommentReference"/>
        </w:rPr>
        <w:annotationRef/>
      </w:r>
      <w:r>
        <w:rPr>
          <w:color w:val="000000"/>
          <w:sz w:val="20"/>
          <w:szCs w:val="20"/>
        </w:rPr>
        <w:t xml:space="preserve">Done. The table is gone and the six areas are subtitles (JD's suggestion, accepted in the thread on the blue page); Box 1 at the end of 2.2 is now the user-friendly element. Order changed to the weight of the evidence: working conditions, organisational, financial, professional, personal and life-course, accountability and regulation. All twelve footnotes were moved into the text or dropped (footnote 4 on the appendix table, not yet built; footnote 5 pruned as asked). Long sentences split throughout. Everything is a tracked change, so blocks can be accepted or rejected separately. References added for citations that were missing from the list (Béteille et al. 2012, Eurydice 2021, Feng and Sass 2018, Grissom 2011, Grissom and Reininger 2012, Johnson et al. 2012, Ladd 2011, NCES 2014, OECD 2020, Redding and Smith 2016, Ryan et al. 2017, Simon and Johnson 2015, Springer et al. 2016); still missing: Ministère de l'Éducation nationale 2023, Victorian Institute of Teaching 2025, Teaching Council of Aotearoa New Zealand 2016.</w:t>
      </w:r>
    </w:p>
  </w:comment>
  <w:comment w:id="61" w:author="Claude" w:date="2026-10-05T12:38:11Z" w:initials="C">
    <w:p w14:paraId="74D18C61" w14:textId="77777777">
      <w:r>
        <w:rPr>
          <w:rStyle w:val="CommentReference"/>
        </w:rPr>
        <w:annotationRef/>
      </w:r>
      <w:r>
        <w:rPr>
          <w:color w:val="000000"/>
          <w:sz w:val="20"/>
          <w:szCs w:val="20"/>
        </w:rPr>
        <w:t xml:space="preserve">Done. The three profiles are announced here as the thread running through 2.2: each area closes with an implications paragraph that names the profile it mainly concerns, and Box 1 lists them.</w:t>
      </w:r>
    </w:p>
  </w:comment>
  <w:comment w:id="62" w:author="Claude" w:date="2026-10-05T12:38:11Z" w:initials="C">
    <w:p w14:paraId="06D5E3C0" w14:textId="77777777">
      <w:r>
        <w:rPr>
          <w:rStyle w:val="CommentReference"/>
        </w:rPr>
        <w:annotationRef/>
      </w:r>
      <w:r>
        <w:rPr>
          <w:color w:val="000000"/>
          <w:sz w:val="20"/>
          <w:szCs w:val="20"/>
        </w:rPr>
        <w:t xml:space="preserve">Done. Moved to the Introduction as its opening paragraph, lightly edited. A new transition paragraph closes 2.1 and leads into 2.2.</w:t>
      </w:r>
    </w:p>
  </w:comment>
  <w:comment w:id="63" w:author="Claude" w:date="2026-10-05T12:38:11Z" w:initials="C">
    <w:p w14:paraId="352561ED" w14:textId="77777777">
      <w:r>
        <w:rPr>
          <w:rStyle w:val="CommentReference"/>
        </w:rPr>
        <w:annotationRef/>
      </w:r>
      <w:r>
        <w:rPr>
          <w:color w:val="000000"/>
          <w:sz w:val="20"/>
          <w:szCs w:val="20"/>
        </w:rPr>
        <w:t xml:space="preserve">Done as agreed in the thread below: the table is removed, the areas are subtitles, and Box 1 provides the user-friendly summary.</w:t>
      </w:r>
    </w:p>
  </w:comment>
  <w:comment w:id="64" w:author="Claude" w:date="2026-10-05T12:38:11Z" w:initials="C">
    <w:p w14:paraId="555EB5DE" w14:textId="77777777">
      <w:r>
        <w:rPr>
          <w:rStyle w:val="CommentReference"/>
        </w:rPr>
        <w:annotationRef/>
      </w:r>
      <w:r>
        <w:rPr>
          <w:color w:val="000000"/>
          <w:sz w:val="20"/>
          <w:szCs w:val="20"/>
        </w:rPr>
        <w:t xml:space="preserve">Pruned, together with footnote 5.</w:t>
      </w:r>
    </w:p>
  </w:comment>
  <w:comment w:id="65" w:author="Claude" w:date="2026-10-05T12:38:11Z" w:initials="C">
    <w:p w14:paraId="4EE5B8B4" w14:textId="77777777">
      <w:r>
        <w:rPr>
          <w:rStyle w:val="CommentReference"/>
        </w:rPr>
        <w:annotationRef/>
      </w:r>
      <w:r>
        <w:rPr>
          <w:color w:val="000000"/>
          <w:sz w:val="20"/>
          <w:szCs w:val="20"/>
        </w:rPr>
        <w:t xml:space="preserve">Done. Every area now closes with a paragraph of implications for re-entry, consistently phrased and naming the profile concerned.</w:t>
      </w:r>
    </w:p>
  </w:comment>
  <w:comment w:id="66" w:author="Claude" w:date="2026-10-05T12:38:11Z" w:initials="C">
    <w:p w14:paraId="5CA603F7" w14:textId="77777777">
      <w:r>
        <w:rPr>
          <w:rStyle w:val="CommentReference"/>
        </w:rPr>
        <w:annotationRef/>
      </w:r>
      <w:r>
        <w:rPr>
          <w:color w:val="000000"/>
          <w:sz w:val="20"/>
          <w:szCs w:val="20"/>
        </w:rPr>
        <w:t xml:space="preserve">Done. Workload is defined at its first mention, in the opening paragraph of Working conditions.</w:t>
      </w:r>
    </w:p>
  </w:comment>
  <w:comment w:id="67" w:author="Claude" w:date="2026-10-05T12:38:11Z" w:initials="C">
    <w:p w14:paraId="7AFE696B" w14:textId="77777777">
      <w:r>
        <w:rPr>
          <w:rStyle w:val="CommentReference"/>
        </w:rPr>
        <w:annotationRef/>
      </w:r>
      <w:r>
        <w:rPr>
          <w:color w:val="000000"/>
          <w:sz w:val="20"/>
          <w:szCs w:val="20"/>
        </w:rPr>
        <w:t xml:space="preserve">Added a paragraph: compared with similarly qualified workers in the Survey of Adult Skills, teachers report fewer weekly hours in 13 of 26 systems and no clear difference in 11 (TALIS 2024). Please check the exact figures against the 'demands of teaching' chapter. I could not open the second-career working paper (No. 347) from this environment; if it has a direct comparison, that is the place to add it.</w:t>
      </w:r>
    </w:p>
  </w:comment>
  <w:comment w:id="68" w:author="Claude" w:date="2026-10-05T12:38:12Z" w:initials="C">
    <w:p w14:paraId="4801C307" w14:textId="77777777">
      <w:r>
        <w:rPr>
          <w:rStyle w:val="CommentReference"/>
        </w:rPr>
        <w:annotationRef/>
      </w:r>
      <w:r>
        <w:rPr>
          <w:color w:val="000000"/>
          <w:sz w:val="20"/>
          <w:szCs w:val="20"/>
        </w:rPr>
        <w:t xml:space="preserve">Rewritten. The sorting argument now rests on Béteille, Kalogrides and Loeb (2012), who show that principals move towards more advantaged schools, and on Grissom (2011), who finds that effective principals reduce turnover most in disadvantaged schools, which is your point. Both added to the references.</w:t>
      </w:r>
    </w:p>
  </w:comment>
  <w:comment w:id="69" w:author="Claude" w:date="2026-10-05T12:38:12Z" w:initials="C">
    <w:p w14:paraId="57B453B4" w14:textId="77777777">
      <w:r>
        <w:rPr>
          <w:rStyle w:val="CommentReference"/>
        </w:rPr>
        <w:annotationRef/>
      </w:r>
      <w:r>
        <w:rPr>
          <w:color w:val="000000"/>
          <w:sz w:val="20"/>
          <w:szCs w:val="20"/>
        </w:rPr>
        <w:t xml:space="preserve">Updated: 26% of novice teachers had an assigned mentor in 2024, and four in five work in schools with a mentoring programme (OECD, 2025b). TALIS 2024 facts are now cited to OECD (2025b), the Results volume, rather than to the country notes (2025c).</w:t>
      </w:r>
    </w:p>
  </w:comment>
  <w:comment w:id="70" w:author="Claude" w:date="2026-10-05T12:38:12Z" w:initials="C">
    <w:p w14:paraId="637FFDB1" w14:textId="77777777">
      <w:r>
        <w:rPr>
          <w:rStyle w:val="CommentReference"/>
        </w:rPr>
        <w:annotationRef/>
      </w:r>
      <w:r>
        <w:rPr>
          <w:color w:val="000000"/>
          <w:sz w:val="20"/>
          <w:szCs w:val="20"/>
        </w:rPr>
        <w:t xml:space="preserve">Rewritten. Licensing now appears as a reason for leaving where it is documented (teachers without full certification, Redding and Smith, 2016) and is otherwise presented as a barrier to re-entry rather than a cause of leaving. Inspection as a reason to leave is added with Sims (2016) and Perryman et al. (2025), which were in the reference list but not cited.</w:t>
      </w:r>
    </w:p>
  </w:comment>
  <w:comment w:id="71" w:author="Claude" w:date="2026-10-05T12:38:12Z" w:initials="C">
    <w:p w14:paraId="4FB2E21B" w14:textId="77777777">
      <w:r>
        <w:rPr>
          <w:rStyle w:val="CommentReference"/>
        </w:rPr>
        <w:annotationRef/>
      </w:r>
      <w:r>
        <w:rPr>
          <w:color w:val="000000"/>
          <w:sz w:val="20"/>
          <w:szCs w:val="20"/>
        </w:rPr>
        <w:t xml:space="preserve">Done. Financial factors now come third, after working conditions and organisational factors.</w:t>
      </w:r>
    </w:p>
  </w:comment>
  <w:comment w:id="72" w:author="Claude" w:date="2026-10-05T12:38:12Z" w:initials="C">
    <w:p w14:paraId="228CC397" w14:textId="77777777">
      <w:r>
        <w:rPr>
          <w:rStyle w:val="CommentReference"/>
        </w:rPr>
        <w:annotationRef/>
      </w:r>
      <w:r>
        <w:rPr>
          <w:color w:val="000000"/>
          <w:sz w:val="20"/>
          <w:szCs w:val="20"/>
        </w:rPr>
        <w:t xml:space="preserve">Added as Figure 3, from the project's own CPS analysis (non-returning leavers by age, 2005-2014 against 2015-2024), with caption, note and source. Please check the wording of the note against the brief.</w:t>
      </w:r>
    </w:p>
  </w:comment>
  <w:comment w:id="73" w:author="Claude" w:date="2026-10-05T12:38:12Z" w:initials="C">
    <w:p w14:paraId="4D9ECA3B" w14:textId="77777777">
      <w:r>
        <w:rPr>
          <w:rStyle w:val="CommentReference"/>
        </w:rPr>
        <w:annotationRef/>
      </w:r>
      <w:r>
        <w:rPr>
          <w:color w:val="000000"/>
          <w:sz w:val="20"/>
          <w:szCs w:val="20"/>
        </w:rPr>
        <w:t xml:space="preserve">Fixed.</w:t>
      </w:r>
    </w:p>
  </w:comment>
  <w:comment w:id="74" w:author="Claude" w:date="2026-10-05T12:38:12Z" w:initials="C">
    <w:p w14:paraId="17624968" w14:textId="77777777">
      <w:r>
        <w:rPr>
          <w:rStyle w:val="CommentReference"/>
        </w:rPr>
        <w:annotationRef/>
      </w:r>
      <w:r>
        <w:rPr>
          <w:color w:val="000000"/>
          <w:sz w:val="20"/>
          <w:szCs w:val="20"/>
        </w:rPr>
        <w:t xml:space="preserve">Done: Box 1 closes the section, one entry per area with the profile it mainly affects and the lesson for re-attraction, plus an overall line. The initial table is gone, as JT suggested.</w:t>
      </w:r>
    </w:p>
  </w:comment>
  <w:comment w:id="75" w:author="Claude" w:date="2026-10-05T12:38:12Z" w:initials="C">
    <w:p w14:paraId="09AA6697" w14:textId="77777777">
      <w:r>
        <w:rPr>
          <w:rStyle w:val="CommentReference"/>
        </w:rPr>
        <w:annotationRef/>
      </w:r>
      <w:r>
        <w:rPr>
          <w:color w:val="000000"/>
          <w:sz w:val="20"/>
          <w:szCs w:val="20"/>
        </w:rPr>
        <w:t xml:space="preserve">Added: the closing paragraph now says that exposure to these conditions depends on the role in which former teachers return (a mentor or tutor for a few hours against a full classroom load in a hard-to-staff school).</w:t>
      </w:r>
    </w:p>
  </w:comment>
  <w:comment w:id="76" w:author="Claude" w:date="2026-10-05T12:38:12Z" w:initials="C">
    <w:p w14:paraId="14AA1D6C" w14:textId="77777777">
      <w:r>
        <w:rPr>
          <w:rStyle w:val="CommentReference"/>
        </w:rPr>
        <w:annotationRef/>
      </w:r>
      <w:r>
        <w:rPr>
          <w:color w:val="000000"/>
          <w:sz w:val="20"/>
          <w:szCs w:val="20"/>
        </w:rPr>
        <w:t xml:space="preserve">Added: Sims and Jerrim (2020) and Kraft, Marinell and Shen-Wei Yee (2016).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7C117" w15:done="0"/>
  <w15:commentEx w15:paraId="56AAA5F9" w15:done="0"/>
  <w15:commentEx w15:paraId="3F84AB5E" w15:done="0"/>
  <w15:commentEx w15:paraId="5FFA4E51" w15:paraIdParent="3F84AB5E" w15:done="0"/>
  <w15:commentEx w15:paraId="51D09100" w15:done="0"/>
  <w15:commentEx w15:paraId="4C75C3AD" w15:paraIdParent="51D09100" w15:done="0"/>
  <w15:commentEx w15:paraId="07B35EFF" w15:done="0"/>
  <w15:commentEx w15:paraId="1D396AC3" w15:done="0"/>
  <w15:commentEx w15:paraId="2E2FD1BF" w15:done="0"/>
  <w15:commentEx w15:paraId="4988E326" w15:done="0"/>
  <w15:commentEx w15:paraId="2BE8211D" w15:paraIdParent="4988E326" w15:done="0"/>
  <w15:commentEx w15:paraId="57949457" w15:done="0"/>
  <w15:commentEx w15:paraId="17D90F6E" w15:done="0"/>
  <w15:commentEx w15:paraId="4A97938F" w15:done="0"/>
  <w15:commentEx w15:paraId="20C8EAA4" w15:done="0"/>
  <w15:commentEx w15:paraId="1BE2B3D6" w15:done="0"/>
  <w15:commentEx w15:paraId="25D58660" w15:done="0"/>
  <w15:commentEx w15:paraId="37AE38B7" w15:done="0"/>
  <w15:commentEx w15:paraId="6F61083B" w15:paraIdParent="37AE38B7" w15:done="0"/>
  <w15:commentEx w15:paraId="70E514C7" w15:paraIdParent="37AE38B7" w15:done="0"/>
  <w15:commentEx w15:paraId="07DB48E4" w15:done="0"/>
  <w15:commentEx w15:paraId="3969CF95" w15:done="0"/>
  <w15:commentEx w15:paraId="2A98FA72" w15:paraIdParent="68D3E113" w15:done="0"/>
  <w15:commentEx w15:paraId="74D18C61" w15:paraIdParent="56AAA5F9" w15:done="0"/>
  <w15:commentEx w15:paraId="06D5E3C0" w15:paraIdParent="7B65540A" w15:done="0"/>
  <w15:commentEx w15:paraId="352561ED" w15:paraIdParent="51D09100" w15:done="0"/>
  <w15:commentEx w15:paraId="555EB5DE" w15:paraIdParent="07B35EFF" w15:done="0"/>
  <w15:commentEx w15:paraId="4EE5B8B4" w15:paraIdParent="1D396AC3" w15:done="0"/>
  <w15:commentEx w15:paraId="5CA603F7" w15:paraIdParent="2E2FD1BF" w15:done="0"/>
  <w15:commentEx w15:paraId="7AFE696B" w15:paraIdParent="4988E326" w15:done="0"/>
  <w15:commentEx w15:paraId="4801C307" w15:paraIdParent="1179A352" w15:done="0"/>
  <w15:commentEx w15:paraId="57B453B4" w15:paraIdParent="17D90F6E" w15:done="0"/>
  <w15:commentEx w15:paraId="637FFDB1" w15:paraIdParent="5290F8E1" w15:done="0"/>
  <w15:commentEx w15:paraId="4FB2E21B" w15:paraIdParent="20C8EAA4" w15:done="0"/>
  <w15:commentEx w15:paraId="228CC397" w15:paraIdParent="1BE2B3D6" w15:done="0"/>
  <w15:commentEx w15:paraId="4D9ECA3B" w15:paraIdParent="25D58660" w15:done="0"/>
  <w15:commentEx w15:paraId="17624968" w15:paraIdParent="37AE38B7" w15:done="0"/>
  <w15:commentEx w15:paraId="09AA6697" w15:paraIdParent="07DB48E4" w15:done="0"/>
  <w15:commentEx w15:paraId="14AA1D6C" w15:paraIdParent="3969CF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5DBD91" w16cex:dateUtc="2026-09-18T08:07:00Z"/>
  <w16cex:commentExtensible w16cex:durableId="26E7CA92" w16cex:dateUtc="2026-09-18T07:25:00Z"/>
  <w16cex:commentExtensible w16cex:durableId="79A1E460" w16cex:dateUtc="2026-09-17T14:56:00Z"/>
  <w16cex:commentExtensible w16cex:durableId="3CA2A8AA" w16cex:dateUtc="2026-09-18T07:25:00Z"/>
  <w16cex:commentExtensible w16cex:durableId="4455A082" w16cex:dateUtc="2026-09-15T13:24:00Z"/>
  <w16cex:commentExtensible w16cex:durableId="38368CFB" w16cex:dateUtc="2026-09-17T15:03:00Z"/>
  <w16cex:commentExtensible w16cex:durableId="36401AE9" w16cex:dateUtc="2026-09-17T15:17:00Z"/>
  <w16cex:commentExtensible w16cex:durableId="3DD0316A" w16cex:dateUtc="2026-09-18T07:48:00Z"/>
  <w16cex:commentExtensible w16cex:durableId="4C0BE44A" w16cex:dateUtc="2026-09-17T15:27:00Z"/>
  <w16cex:commentExtensible w16cex:durableId="63DF760B" w16cex:dateUtc="2026-09-17T15:27:00Z"/>
  <w16cex:commentExtensible w16cex:durableId="1CFC8F1F" w16cex:dateUtc="2026-09-17T15:29:00Z"/>
  <w16cex:commentExtensible w16cex:durableId="51E508FE" w16cex:dateUtc="2026-09-17T15:33:00Z"/>
  <w16cex:commentExtensible w16cex:durableId="0329D5A0" w16cex:dateUtc="2026-09-17T15:41:00Z"/>
  <w16cex:commentExtensible w16cex:durableId="5B7C8814" w16cex:dateUtc="2026-09-18T07:30:00Z"/>
  <w16cex:commentExtensible w16cex:durableId="6E1477F9" w16cex:dateUtc="2026-09-17T15:46:00Z"/>
  <w16cex:commentExtensible w16cex:durableId="2E18A0DE" w16cex:dateUtc="2026-09-17T15:54:00Z"/>
  <w16cex:commentExtensible w16cex:durableId="7C183C5C" w16cex:dateUtc="2026-09-17T15:55:00Z"/>
  <w16cex:commentExtensible w16cex:durableId="3C297BB5" w16cex:dateUtc="2026-09-16T10:02:00Z"/>
  <w16cex:commentExtensible w16cex:durableId="0CED5071" w16cex:dateUtc="2026-09-16T10:03:00Z"/>
  <w16cex:commentExtensible w16cex:durableId="3CFE0293" w16cex:dateUtc="2026-09-17T15:58:00Z"/>
  <w16cex:commentExtensible w16cex:durableId="682208B7" w16cex:dateUtc="2026-09-17T16:01:00Z"/>
  <w16cex:commentExtensible w16cex:durableId="1DEDFF9D" w16cex:dateUtc="2026-09-17T16:00:00Z"/>
  <w16cex:commentExtensible w16cex:durableId="3275D63D" w16cex:dateUtc="2026-10-05T12:38:11Z"/>
  <w16cex:commentExtensible w16cex:durableId="3C11D485" w16cex:dateUtc="2026-10-05T12:38:11Z"/>
  <w16cex:commentExtensible w16cex:durableId="4F5C0C18" w16cex:dateUtc="2026-10-05T12:38:11Z"/>
  <w16cex:commentExtensible w16cex:durableId="0F5AA109" w16cex:dateUtc="2026-10-05T12:38:11Z"/>
  <w16cex:commentExtensible w16cex:durableId="0978E9CF" w16cex:dateUtc="2026-10-05T12:38:11Z"/>
  <w16cex:commentExtensible w16cex:durableId="4C25C8BA" w16cex:dateUtc="2026-10-05T12:38:11Z"/>
  <w16cex:commentExtensible w16cex:durableId="69D6407F" w16cex:dateUtc="2026-10-05T12:38:11Z"/>
  <w16cex:commentExtensible w16cex:durableId="7910A994" w16cex:dateUtc="2026-10-05T12:38:11Z"/>
  <w16cex:commentExtensible w16cex:durableId="2978A52C" w16cex:dateUtc="2026-10-05T12:38:12Z"/>
  <w16cex:commentExtensible w16cex:durableId="47F27D9A" w16cex:dateUtc="2026-10-05T12:38:12Z"/>
  <w16cex:commentExtensible w16cex:durableId="290F08FB" w16cex:dateUtc="2026-10-05T12:38:12Z"/>
  <w16cex:commentExtensible w16cex:durableId="1B5DA867" w16cex:dateUtc="2026-10-05T12:38:12Z"/>
  <w16cex:commentExtensible w16cex:durableId="7BF3CE34" w16cex:dateUtc="2026-10-05T12:38:12Z"/>
  <w16cex:commentExtensible w16cex:durableId="0DC0C3C0" w16cex:dateUtc="2026-10-05T12:38:12Z"/>
  <w16cex:commentExtensible w16cex:durableId="0FF00A14" w16cex:dateUtc="2026-10-05T12:38:12Z"/>
  <w16cex:commentExtensible w16cex:durableId="6459809D" w16cex:dateUtc="2026-10-05T12:38:12Z"/>
  <w16cex:commentExtensible w16cex:durableId="1986AAC7" w16cex:dateUtc="2026-10-05T12:38:1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7C117" w16cid:durableId="1D5DBD91"/>
  <w16cid:commentId w16cid:paraId="56AAA5F9" w16cid:durableId="26E7CA92"/>
  <w16cid:commentId w16cid:paraId="3F84AB5E" w16cid:durableId="79A1E460"/>
  <w16cid:commentId w16cid:paraId="5FFA4E51" w16cid:durableId="3CA2A8AA"/>
  <w16cid:commentId w16cid:paraId="51D09100" w16cid:durableId="4455A082"/>
  <w16cid:commentId w16cid:paraId="4C75C3AD" w16cid:durableId="38368CFB"/>
  <w16cid:commentId w16cid:paraId="07B35EFF" w16cid:durableId="36401AE9"/>
  <w16cid:commentId w16cid:paraId="1D396AC3" w16cid:durableId="3DD0316A"/>
  <w16cid:commentId w16cid:paraId="2E2FD1BF" w16cid:durableId="4C0BE44A"/>
  <w16cid:commentId w16cid:paraId="4988E326" w16cid:durableId="63DF760B"/>
  <w16cid:commentId w16cid:paraId="2BE8211D" w16cid:durableId="1CFC8F1F"/>
  <w16cid:commentId w16cid:paraId="57949457" w16cid:durableId="51E508FE"/>
  <w16cid:commentId w16cid:paraId="17D90F6E" w16cid:durableId="0329D5A0"/>
  <w16cid:commentId w16cid:paraId="4A97938F" w16cid:durableId="5B7C8814"/>
  <w16cid:commentId w16cid:paraId="20C8EAA4" w16cid:durableId="6E1477F9"/>
  <w16cid:commentId w16cid:paraId="1BE2B3D6" w16cid:durableId="2E18A0DE"/>
  <w16cid:commentId w16cid:paraId="25D58660" w16cid:durableId="7C183C5C"/>
  <w16cid:commentId w16cid:paraId="37AE38B7" w16cid:durableId="3C297BB5"/>
  <w16cid:commentId w16cid:paraId="6F61083B" w16cid:durableId="0CED5071"/>
  <w16cid:commentId w16cid:paraId="70E514C7" w16cid:durableId="3CFE0293"/>
  <w16cid:commentId w16cid:paraId="07DB48E4" w16cid:durableId="682208B7"/>
  <w16cid:commentId w16cid:paraId="3969CF95" w16cid:durableId="1DEDFF9D"/>
  <w16cid:commentId w16cid:paraId="2A98FA72" w16cid:durableId="3275D63D"/>
  <w16cid:commentId w16cid:paraId="74D18C61" w16cid:durableId="3C11D485"/>
  <w16cid:commentId w16cid:paraId="06D5E3C0" w16cid:durableId="4F5C0C18"/>
  <w16cid:commentId w16cid:paraId="352561ED" w16cid:durableId="0F5AA109"/>
  <w16cid:commentId w16cid:paraId="555EB5DE" w16cid:durableId="0978E9CF"/>
  <w16cid:commentId w16cid:paraId="4EE5B8B4" w16cid:durableId="4C25C8BA"/>
  <w16cid:commentId w16cid:paraId="5CA603F7" w16cid:durableId="69D6407F"/>
  <w16cid:commentId w16cid:paraId="7AFE696B" w16cid:durableId="7910A994"/>
  <w16cid:commentId w16cid:paraId="4801C307" w16cid:durableId="2978A52C"/>
  <w16cid:commentId w16cid:paraId="57B453B4" w16cid:durableId="47F27D9A"/>
  <w16cid:commentId w16cid:paraId="637FFDB1" w16cid:durableId="290F08FB"/>
  <w16cid:commentId w16cid:paraId="4FB2E21B" w16cid:durableId="1B5DA867"/>
  <w16cid:commentId w16cid:paraId="228CC397" w16cid:durableId="7BF3CE34"/>
  <w16cid:commentId w16cid:paraId="4D9ECA3B" w16cid:durableId="0DC0C3C0"/>
  <w16cid:commentId w16cid:paraId="17624968" w16cid:durableId="0FF00A14"/>
  <w16cid:commentId w16cid:paraId="09AA6697" w16cid:durableId="6459809D"/>
  <w16cid:commentId w16cid:paraId="14AA1D6C" w16cid:durableId="1986AA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A6C01" w14:textId="77777777" w:rsidR="00847FC0" w:rsidRDefault="00847FC0">
      <w:r>
        <w:separator/>
      </w:r>
    </w:p>
  </w:endnote>
  <w:endnote w:type="continuationSeparator" w:id="0">
    <w:p w14:paraId="4A997806" w14:textId="77777777" w:rsidR="00847FC0" w:rsidRDefault="00847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0FB2F" w14:textId="77777777" w:rsidR="00847FC0" w:rsidRDefault="00847FC0">
      <w:r>
        <w:separator/>
      </w:r>
    </w:p>
  </w:footnote>
  <w:footnote w:type="continuationSeparator" w:id="0">
    <w:p w14:paraId="7BE7CBBF" w14:textId="77777777" w:rsidR="00847FC0" w:rsidRDefault="00847FC0">
      <w:r>
        <w:continuationSeparator/>
      </w:r>
    </w:p>
  </w:footnote>
  <w:footnote w:id="1">
    <w:p w14:paraId="6182760D" w14:textId="283A6035" w:rsidR="00843159" w:rsidRDefault="00843159" w:rsidP="000839D1">
      <w:pPr>
        <w:spacing w:after="50"/>
        <w:jc w:val="both"/>
      </w:pPr>
      <w:r>
        <w:rPr>
          <w:rStyle w:val="FootnoteReference"/>
        </w:rPr>
        <w:footnoteRef/>
      </w:r>
      <w:r>
        <w:rPr>
          <w:sz w:val="18"/>
          <w:szCs w:val="18"/>
        </w:rPr>
        <w:t>The two</w:t>
      </w:r>
      <w:r w:rsidR="005F520B">
        <w:rPr>
          <w:sz w:val="18"/>
          <w:szCs w:val="18"/>
        </w:rPr>
        <w:t xml:space="preserve"> only </w:t>
      </w:r>
      <w:r>
        <w:rPr>
          <w:sz w:val="18"/>
          <w:szCs w:val="18"/>
        </w:rPr>
        <w:t xml:space="preserve">exceptions are Austria and Estonia, whose rate nearly doubled during the same interval </w:t>
      </w:r>
      <w:r>
        <w:rPr>
          <w:color w:val="0563C1"/>
          <w:sz w:val="18"/>
          <w:szCs w:val="18"/>
        </w:rPr>
        <w:t>(OECD, 2025a)</w:t>
      </w:r>
      <w:r>
        <w:rPr>
          <w:sz w:val="18"/>
          <w:szCs w:val="18"/>
        </w:rPr>
        <w:t>.</w:t>
      </w:r>
    </w:p>
  </w:footnote>
  <w:footnote w:id="2">
    <w:p w14:paraId="64F7C097" w14:textId="77777777" w:rsidR="00843159" w:rsidRDefault="00843159" w:rsidP="000839D1">
      <w:pPr>
        <w:spacing w:after="5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its successor the National Teacher and Principal Survey (NTPS); the waves are three to five years apart, so the series is discontinuous but covers 1988 to 2022 under one definition. A continuous annual measure built from the Current Population Survey (CPS) gives consistent results </w:t>
      </w:r>
      <w:r>
        <w:rPr>
          <w:color w:val="0563C1"/>
          <w:sz w:val="18"/>
          <w:szCs w:val="18"/>
        </w:rPr>
        <w:t>(Harris and Adams, 2007; Aldeman and Yi, 2025)</w:t>
      </w:r>
      <w:r>
        <w:rPr>
          <w:sz w:val="18"/>
          <w:szCs w:val="18"/>
        </w:rPr>
        <w:t>.</w:t>
      </w:r>
    </w:p>
  </w:footnote>
  <w:footnote w:id="3">
    <w:p w14:paraId="0FA441F7" w14:textId="77777777" w:rsidR="00843159" w:rsidRDefault="00843159" w:rsidP="00843159">
      <w:pPr>
        <w:spacing w:after="60"/>
        <w:jc w:val="both"/>
      </w:pPr>
      <w:r>
        <w:rPr>
          <w:rStyle w:val="FootnoteReference"/>
        </w:rPr>
        <w:footnoteRef/>
      </w:r>
      <w:r>
        <w:rPr>
          <w:sz w:val="18"/>
          <w:szCs w:val="18"/>
        </w:rPr>
        <w:t xml:space="preserve">For most countries no historical data exists, as such series require longitudinally linked teacher registers. Shorter series move both ways, upward in Denmark, Estonia, Lithuania and Korea and downward in Australia and Chile </w:t>
      </w:r>
      <w:r>
        <w:rPr>
          <w:color w:val="0563C1"/>
          <w:sz w:val="18"/>
          <w:szCs w:val="18"/>
        </w:rPr>
        <w:t>(AE, 2024; Kindsiko, 2023; NŠA, 2025; Ministry of Education Korea, 2023; Buckley and Griselda, 2025; CIAE, 2025)</w:t>
      </w:r>
      <w:r>
        <w:rPr>
          <w:sz w:val="18"/>
          <w:szCs w:val="18"/>
        </w:rPr>
        <w:t>.</w:t>
      </w:r>
    </w:p>
  </w:footnote>
  <w:footnote w:id="4">
    <w:p w14:paraId="783E4505" w14:textId="5D8A12DA" w:rsidR="00EB10F8" w:rsidRPr="00EB10F8" w:rsidRDefault="00EB10F8">
      <w:pPr>
        <w:pStyle w:val="FootnoteText"/>
      </w:pPr>
      <w:r>
        <w:rPr>
          <w:rStyle w:val="FootnoteReference"/>
        </w:rPr>
        <w:footnoteRef/>
      </w:r>
      <w:r>
        <w:t xml:space="preserve"> </w:t>
      </w:r>
      <w:r w:rsidRPr="00F10B26">
        <w:rPr>
          <w:color w:val="FF0000"/>
          <w:sz w:val="18"/>
          <w:szCs w:val="18"/>
        </w:rPr>
        <w:t xml:space="preserve">See table A1 in the Appendix to observe the comparison of our </w:t>
      </w:r>
      <w:r w:rsidR="003A3EA3" w:rsidRPr="00F10B26">
        <w:rPr>
          <w:color w:val="FF0000"/>
          <w:sz w:val="18"/>
          <w:szCs w:val="18"/>
        </w:rPr>
        <w:t>area definitions</w:t>
      </w:r>
      <w:r w:rsidRPr="00F10B26">
        <w:rPr>
          <w:color w:val="FF0000"/>
          <w:sz w:val="18"/>
          <w:szCs w:val="18"/>
        </w:rPr>
        <w:t xml:space="preserve"> and the </w:t>
      </w:r>
      <w:r w:rsidR="00FE4777" w:rsidRPr="00F10B26">
        <w:rPr>
          <w:color w:val="FF0000"/>
          <w:sz w:val="18"/>
          <w:szCs w:val="18"/>
        </w:rPr>
        <w:t>most used</w:t>
      </w:r>
      <w:r w:rsidRPr="00F10B26">
        <w:rPr>
          <w:color w:val="FF0000"/>
          <w:sz w:val="18"/>
          <w:szCs w:val="18"/>
        </w:rPr>
        <w:t xml:space="preserve"> in the main meta-analysis of teaching turnover (por construir!)</w:t>
      </w:r>
    </w:p>
  </w:footnote>
  <w:footnote w:id="5">
    <w:p w14:paraId="1045C04F" w14:textId="014A0FFC" w:rsidR="00C45034" w:rsidRPr="00BD2158" w:rsidRDefault="00C45034" w:rsidP="00C45034">
      <w:pPr>
        <w:pStyle w:val="FootnoteText"/>
        <w:rPr>
          <w:sz w:val="18"/>
          <w:szCs w:val="18"/>
        </w:rPr>
      </w:pPr>
      <w:r w:rsidRPr="00412188">
        <w:rPr>
          <w:rStyle w:val="FootnoteReference"/>
          <w:color w:val="000000" w:themeColor="text1"/>
        </w:rPr>
        <w:footnoteRef/>
      </w:r>
      <w:r w:rsidRPr="00412188">
        <w:rPr>
          <w:color w:val="000000" w:themeColor="text1"/>
        </w:rPr>
        <w:t xml:space="preserve"> </w:t>
      </w:r>
      <w:r w:rsidR="00BD2AB1">
        <w:rPr>
          <w:sz w:val="18"/>
          <w:szCs w:val="18"/>
        </w:rPr>
        <w:t>Declared i</w:t>
      </w:r>
      <w:r w:rsidRPr="00736366">
        <w:rPr>
          <w:sz w:val="18"/>
          <w:szCs w:val="18"/>
        </w:rPr>
        <w:t xml:space="preserve">ntentions </w:t>
      </w:r>
      <w:r w:rsidR="00BD2AB1">
        <w:rPr>
          <w:sz w:val="18"/>
          <w:szCs w:val="18"/>
        </w:rPr>
        <w:t xml:space="preserve">to leave </w:t>
      </w:r>
      <w:r w:rsidRPr="00736366">
        <w:rPr>
          <w:sz w:val="18"/>
          <w:szCs w:val="18"/>
        </w:rPr>
        <w:t>are an imperfect proxy for departure. One of the largest meta-</w:t>
      </w:r>
      <w:r w:rsidR="000C61AF" w:rsidRPr="00736366">
        <w:rPr>
          <w:sz w:val="18"/>
          <w:szCs w:val="18"/>
        </w:rPr>
        <w:t>analyses</w:t>
      </w:r>
      <w:r w:rsidRPr="00736366">
        <w:rPr>
          <w:sz w:val="18"/>
          <w:szCs w:val="18"/>
        </w:rPr>
        <w:t xml:space="preserve"> of the field, which pools 3430 coefficients from 186 studies of teacher turnover, found that the antecedents of intended departure</w:t>
      </w:r>
      <w:r w:rsidR="00614028" w:rsidRPr="00736366">
        <w:rPr>
          <w:sz w:val="18"/>
          <w:szCs w:val="18"/>
        </w:rPr>
        <w:t xml:space="preserve"> are not the ones that </w:t>
      </w:r>
      <w:r w:rsidR="00EE7295" w:rsidRPr="00736366">
        <w:rPr>
          <w:sz w:val="18"/>
          <w:szCs w:val="18"/>
        </w:rPr>
        <w:t>weigh</w:t>
      </w:r>
      <w:r w:rsidR="00736366" w:rsidRPr="00736366">
        <w:rPr>
          <w:sz w:val="18"/>
          <w:szCs w:val="18"/>
        </w:rPr>
        <w:t xml:space="preserve"> most to predict the actual leaving decision </w:t>
      </w:r>
      <w:r w:rsidRPr="00736366">
        <w:rPr>
          <w:color w:val="0070C0"/>
          <w:sz w:val="18"/>
          <w:szCs w:val="18"/>
        </w:rPr>
        <w:t>(Gundlach, Slemp and Hattie, 2024).</w:t>
      </w:r>
    </w:p>
  </w:footnote>
  <w:footnote w:id="6">
    <w:p w14:paraId="0DBBE715" w14:textId="4930FB3B" w:rsidR="000D7270" w:rsidRDefault="000D7270" w:rsidP="000D7270">
      <w:pPr>
        <w:spacing w:after="60"/>
        <w:jc w:val="both"/>
      </w:pPr>
      <w:r>
        <w:rPr>
          <w:rStyle w:val="FootnoteReference"/>
        </w:rPr>
        <w:footnoteRef/>
      </w:r>
      <w:r>
        <w:rPr>
          <w:sz w:val="18"/>
          <w:szCs w:val="18"/>
        </w:rPr>
        <w:t xml:space="preserve"> In the 2018 round of TALIS, 73% of surveyed English teachers consented to linkage with the School Workforce Census, the administrative register of state-school staff, yielding 2 684 linked records at an 84% match rate </w:t>
      </w:r>
      <w:r>
        <w:rPr>
          <w:color w:val="0563C1"/>
          <w:sz w:val="18"/>
          <w:szCs w:val="18"/>
        </w:rPr>
        <w:t>(Sims and Jerrim, 2020)</w:t>
      </w:r>
      <w:r>
        <w:rPr>
          <w:sz w:val="18"/>
          <w:szCs w:val="18"/>
        </w:rPr>
        <w:t>.</w:t>
      </w:r>
    </w:p>
  </w:footnote>
  <w:footnote w:id="7">
    <w:p w14:paraId="78C0C468" w14:textId="22C1AAD7" w:rsidR="00A10B98" w:rsidRPr="00A10B98" w:rsidRDefault="00A10B98" w:rsidP="000D7270">
      <w:pPr>
        <w:pStyle w:val="FootnoteText"/>
        <w:jc w:val="both"/>
      </w:pPr>
      <w:r>
        <w:rPr>
          <w:rStyle w:val="FootnoteReference"/>
        </w:rPr>
        <w:footnoteRef/>
      </w:r>
      <w:r w:rsidR="000B791D" w:rsidRPr="000B791D">
        <w:rPr>
          <w:sz w:val="18"/>
          <w:szCs w:val="18"/>
        </w:rPr>
        <w:t xml:space="preserve">The discipline climate </w:t>
      </w:r>
      <w:r w:rsidR="009D316F">
        <w:rPr>
          <w:sz w:val="18"/>
          <w:szCs w:val="18"/>
        </w:rPr>
        <w:t>was</w:t>
      </w:r>
      <w:r w:rsidR="000B791D" w:rsidRPr="000B791D">
        <w:rPr>
          <w:sz w:val="18"/>
          <w:szCs w:val="18"/>
        </w:rPr>
        <w:t xml:space="preserve"> </w:t>
      </w:r>
      <w:r w:rsidR="009D316F">
        <w:rPr>
          <w:sz w:val="18"/>
          <w:szCs w:val="18"/>
        </w:rPr>
        <w:t>measured as an</w:t>
      </w:r>
      <w:r w:rsidR="000B791D">
        <w:rPr>
          <w:sz w:val="18"/>
          <w:szCs w:val="18"/>
        </w:rPr>
        <w:t xml:space="preserve"> </w:t>
      </w:r>
      <w:r w:rsidR="00566AFD">
        <w:rPr>
          <w:sz w:val="18"/>
          <w:szCs w:val="18"/>
        </w:rPr>
        <w:t>standardized</w:t>
      </w:r>
      <w:r w:rsidR="000B791D" w:rsidRPr="000B791D">
        <w:rPr>
          <w:sz w:val="18"/>
          <w:szCs w:val="18"/>
        </w:rPr>
        <w:t xml:space="preserve"> index built from teachers' reports on how far they can control disruptive </w:t>
      </w:r>
      <w:r w:rsidR="00566AFD" w:rsidRPr="000B791D">
        <w:rPr>
          <w:sz w:val="18"/>
          <w:szCs w:val="18"/>
        </w:rPr>
        <w:t>behavior</w:t>
      </w:r>
      <w:r w:rsidR="000B791D" w:rsidRPr="000B791D">
        <w:rPr>
          <w:sz w:val="18"/>
          <w:szCs w:val="18"/>
        </w:rPr>
        <w:t xml:space="preserve">, how consistently their school enforces rules and how much stress pupil </w:t>
      </w:r>
      <w:r w:rsidR="00566AFD" w:rsidRPr="000B791D">
        <w:rPr>
          <w:sz w:val="18"/>
          <w:szCs w:val="18"/>
        </w:rPr>
        <w:t>behavior</w:t>
      </w:r>
      <w:r w:rsidR="000B791D" w:rsidRPr="000B791D">
        <w:rPr>
          <w:sz w:val="18"/>
          <w:szCs w:val="18"/>
        </w:rPr>
        <w:t xml:space="preserve"> causes them</w:t>
      </w:r>
      <w:r w:rsidRPr="000D7270">
        <w:rPr>
          <w:sz w:val="18"/>
          <w:szCs w:val="18"/>
        </w:rPr>
        <w:t xml:space="preserve">. </w:t>
      </w:r>
      <w:r w:rsidR="00C53F8F" w:rsidRPr="00C53F8F">
        <w:rPr>
          <w:sz w:val="18"/>
          <w:szCs w:val="18"/>
        </w:rPr>
        <w:t xml:space="preserve">The </w:t>
      </w:r>
      <w:r w:rsidR="00007D03">
        <w:rPr>
          <w:sz w:val="18"/>
          <w:szCs w:val="18"/>
        </w:rPr>
        <w:t xml:space="preserve">magnitude </w:t>
      </w:r>
      <w:r w:rsidR="00C53F8F" w:rsidRPr="00C53F8F">
        <w:rPr>
          <w:sz w:val="18"/>
          <w:szCs w:val="18"/>
        </w:rPr>
        <w:t xml:space="preserve">is large for this literature, where one standard deviation in a school leadership index lowers annual departures from the school by around 10% in North Carolina primary schools </w:t>
      </w:r>
      <w:r w:rsidR="00C53F8F" w:rsidRPr="00C53F8F">
        <w:rPr>
          <w:color w:val="0563C1"/>
          <w:sz w:val="18"/>
          <w:szCs w:val="18"/>
        </w:rPr>
        <w:t>(Ladd, 2011)</w:t>
      </w:r>
      <w:r w:rsidR="00C53F8F" w:rsidRPr="00C53F8F">
        <w:rPr>
          <w:sz w:val="18"/>
          <w:szCs w:val="18"/>
        </w:rPr>
        <w:t xml:space="preserve">, and one in each of four indices covering leadership, academic expectations, teacher relationships and safety lowers them by 25% in New York middle schools </w:t>
      </w:r>
      <w:r w:rsidR="00C53F8F" w:rsidRPr="00C53F8F">
        <w:rPr>
          <w:color w:val="0563C1"/>
          <w:sz w:val="18"/>
          <w:szCs w:val="18"/>
        </w:rPr>
        <w:t>(Kraft, Marinell and Shen-Wei Yee, 2016)</w:t>
      </w:r>
      <w:r w:rsidR="00C53F8F" w:rsidRPr="00C53F8F">
        <w:rPr>
          <w:sz w:val="18"/>
          <w:szCs w:val="18"/>
        </w:rPr>
        <w:t>.</w:t>
      </w:r>
    </w:p>
  </w:footnote>
  <w:footnote w:id="8">
    <w:p w14:paraId="2BB3C306" w14:textId="10797E54" w:rsidR="00FC1564" w:rsidRPr="00FC1564" w:rsidRDefault="00FC1564" w:rsidP="00FC1564">
      <w:pPr>
        <w:pStyle w:val="FootnoteText"/>
        <w:jc w:val="both"/>
      </w:pPr>
      <w:r>
        <w:rPr>
          <w:rStyle w:val="FootnoteReference"/>
        </w:rPr>
        <w:footnoteRef/>
      </w:r>
      <w:r>
        <w:t xml:space="preserve"> </w:t>
      </w:r>
      <w:r w:rsidR="00443026" w:rsidRPr="00443026">
        <w:rPr>
          <w:sz w:val="18"/>
          <w:szCs w:val="18"/>
        </w:rPr>
        <w:t xml:space="preserve">The obligation consists either of completing training, which ranges from 8 hours a year in Luxembourg to 35 in Scotland and from three to five days in Belgium, Finland, Cyprus, Lithuania and Slovenia </w:t>
      </w:r>
      <w:r w:rsidR="00443026" w:rsidRPr="00443026">
        <w:rPr>
          <w:color w:val="0563C1"/>
          <w:sz w:val="18"/>
          <w:szCs w:val="18"/>
        </w:rPr>
        <w:t>(European Commission/EACEA/Eurydice, 2021)</w:t>
      </w:r>
      <w:r w:rsidR="00443026" w:rsidRPr="00443026">
        <w:rPr>
          <w:sz w:val="18"/>
          <w:szCs w:val="18"/>
        </w:rPr>
        <w:t xml:space="preserve">, or of a minimum amount of teaching, </w:t>
      </w:r>
      <w:r w:rsidR="00AE4A79">
        <w:rPr>
          <w:sz w:val="18"/>
          <w:szCs w:val="18"/>
        </w:rPr>
        <w:t xml:space="preserve">such as </w:t>
      </w:r>
      <w:r w:rsidR="00443026" w:rsidRPr="00443026">
        <w:rPr>
          <w:sz w:val="18"/>
          <w:szCs w:val="18"/>
        </w:rPr>
        <w:t xml:space="preserve">20 days a year in </w:t>
      </w:r>
      <w:r w:rsidR="00D66BFE">
        <w:rPr>
          <w:sz w:val="18"/>
          <w:szCs w:val="18"/>
        </w:rPr>
        <w:t>Australia</w:t>
      </w:r>
      <w:r w:rsidR="00443026" w:rsidRPr="00443026">
        <w:rPr>
          <w:sz w:val="18"/>
          <w:szCs w:val="18"/>
        </w:rPr>
        <w:t xml:space="preserve"> or two years of classroom practice in New Zealand </w:t>
      </w:r>
      <w:r w:rsidR="00443026" w:rsidRPr="00443026">
        <w:rPr>
          <w:color w:val="0563C1"/>
          <w:sz w:val="18"/>
          <w:szCs w:val="18"/>
        </w:rPr>
        <w:t>(Victorian Institute of Teaching, 2025; Teaching Council of Aotearoa New Zealand, 2016).</w:t>
      </w:r>
    </w:p>
  </w:footnote>
  <w:footnote w:id="9">
    <w:p w14:paraId="07DB213C" w14:textId="661B37FD" w:rsidR="00B75580" w:rsidRPr="00B75580" w:rsidRDefault="00B75580" w:rsidP="00480AF8">
      <w:pPr>
        <w:pStyle w:val="FootnoteText"/>
        <w:spacing w:after="40"/>
      </w:pPr>
      <w:r>
        <w:rPr>
          <w:rStyle w:val="FootnoteReference"/>
        </w:rPr>
        <w:footnoteRef/>
      </w:r>
      <w:r>
        <w:t xml:space="preserve"> </w:t>
      </w:r>
      <w:r w:rsidR="00E06D8E" w:rsidRPr="00E06D8E">
        <w:rPr>
          <w:sz w:val="18"/>
          <w:szCs w:val="18"/>
        </w:rPr>
        <w:t xml:space="preserve">The causal evidence rests on a small number of studies exploiting policy discontinuities, with three main conclusions. Financial incentives are effective when the payment is large and teachers are aware of their eligibility </w:t>
      </w:r>
      <w:r w:rsidR="00E06D8E" w:rsidRPr="00E06D8E">
        <w:rPr>
          <w:color w:val="0563C1"/>
          <w:sz w:val="18"/>
          <w:szCs w:val="18"/>
        </w:rPr>
        <w:t>(Falch, 2011; Clotfelter et al., 2008)</w:t>
      </w:r>
      <w:r w:rsidR="00E06D8E" w:rsidRPr="00E06D8E">
        <w:rPr>
          <w:sz w:val="18"/>
          <w:szCs w:val="18"/>
        </w:rPr>
        <w:t xml:space="preserve">. Their effect is confined to the teachers they target and is negligible for the rest </w:t>
      </w:r>
      <w:r w:rsidR="00E06D8E" w:rsidRPr="00E06D8E">
        <w:rPr>
          <w:color w:val="0563C1"/>
          <w:sz w:val="18"/>
          <w:szCs w:val="18"/>
        </w:rPr>
        <w:t>(Springer, Swain and Rodriguez, 2016)</w:t>
      </w:r>
      <w:r w:rsidR="00E06D8E" w:rsidRPr="00E06D8E">
        <w:rPr>
          <w:sz w:val="18"/>
          <w:szCs w:val="18"/>
        </w:rPr>
        <w:t xml:space="preserve">. One-off bonuses produce larger short-run effects than permanent increases, which indicates that the retention gain does not persist beyond the payment period </w:t>
      </w:r>
      <w:r w:rsidR="00E06D8E" w:rsidRPr="00E06D8E">
        <w:rPr>
          <w:color w:val="0563C1"/>
          <w:sz w:val="18"/>
          <w:szCs w:val="18"/>
        </w:rPr>
        <w:t>(Feng and Sass, 2018)</w:t>
      </w:r>
      <w:r w:rsidR="00E06D8E" w:rsidRPr="00E06D8E">
        <w:rPr>
          <w:sz w:val="18"/>
          <w:szCs w:val="18"/>
        </w:rPr>
        <w:t>.</w:t>
      </w:r>
    </w:p>
  </w:footnote>
  <w:footnote w:id="10">
    <w:p w14:paraId="20C5B835" w14:textId="23FA98A1" w:rsidR="00817375" w:rsidRPr="00817375" w:rsidRDefault="00817375" w:rsidP="009D01EF">
      <w:pPr>
        <w:pStyle w:val="FootnoteText"/>
        <w:spacing w:after="40"/>
        <w:jc w:val="both"/>
      </w:pPr>
      <w:r>
        <w:rPr>
          <w:rStyle w:val="FootnoteReference"/>
        </w:rPr>
        <w:footnoteRef/>
      </w:r>
      <w:r>
        <w:t xml:space="preserve"> </w:t>
      </w:r>
      <w:r w:rsidR="00480AF8" w:rsidRPr="00480AF8">
        <w:rPr>
          <w:sz w:val="18"/>
          <w:szCs w:val="18"/>
        </w:rPr>
        <w:t xml:space="preserve">The retirement age generally falls between 62 and 67, averaging 64.7 for men and 63.9 for women across the OECD. It stands at 62 in Greece and Slovenia, at 67 in Australia, Denmark, Iceland, Israel, the Netherlands and Norway, and in between everywhere else </w:t>
      </w:r>
      <w:r w:rsidR="00480AF8" w:rsidRPr="009D01EF">
        <w:rPr>
          <w:color w:val="0563C1"/>
          <w:sz w:val="18"/>
          <w:szCs w:val="18"/>
        </w:rPr>
        <w:t>(OECD, 2025f).</w:t>
      </w:r>
      <w:r w:rsidR="00480AF8" w:rsidRPr="00480AF8">
        <w:rPr>
          <w:sz w:val="18"/>
          <w:szCs w:val="18"/>
        </w:rPr>
        <w:t xml:space="preserve"> The systems with the lowest ages for teachers are France and Spain, where retirement is possible from 59 for the former primary corps and from 60 for civil-servant teachers with thirty years of service </w:t>
      </w:r>
      <w:r w:rsidR="00480AF8" w:rsidRPr="009D01EF">
        <w:rPr>
          <w:color w:val="0563C1"/>
          <w:sz w:val="18"/>
          <w:szCs w:val="18"/>
        </w:rPr>
        <w:t>(Ministère de l'Éducation nationale, 2023; Government of Spain, 2015).</w:t>
      </w:r>
    </w:p>
  </w:footnote>
  <w:footnote w:id="11">
    <w:p w14:paraId="211991F5" w14:textId="0F350D6A" w:rsidR="00D75A88" w:rsidRPr="00F71798" w:rsidRDefault="00D75A88" w:rsidP="00F71798">
      <w:pPr>
        <w:pStyle w:val="FootnoteText"/>
        <w:spacing w:after="40"/>
        <w:rPr>
          <w:sz w:val="18"/>
          <w:szCs w:val="18"/>
        </w:rPr>
      </w:pPr>
      <w:r>
        <w:rPr>
          <w:rStyle w:val="FootnoteReference"/>
        </w:rPr>
        <w:footnoteRef/>
      </w:r>
      <w:r>
        <w:t xml:space="preserve"> </w:t>
      </w:r>
      <w:r w:rsidR="00F71798" w:rsidRPr="00F71798">
        <w:rPr>
          <w:sz w:val="18"/>
          <w:szCs w:val="18"/>
        </w:rPr>
        <w:t>Women make up around seven in ten lower secondary teachers across the OECD</w:t>
      </w:r>
      <w:r w:rsidR="00F71798">
        <w:rPr>
          <w:sz w:val="18"/>
          <w:szCs w:val="18"/>
        </w:rPr>
        <w:t xml:space="preserve"> in ANO</w:t>
      </w:r>
      <w:r w:rsidR="00F71798" w:rsidRPr="00F71798">
        <w:rPr>
          <w:sz w:val="18"/>
          <w:szCs w:val="18"/>
        </w:rPr>
        <w:t xml:space="preserve">. The proportion is highest in Latvia, Lithuania and Estonia, at 84% to 86%, and among OECD members it falls below half only in Japan, at 41% </w:t>
      </w:r>
      <w:r w:rsidR="00F71798" w:rsidRPr="00F71798">
        <w:rPr>
          <w:color w:val="0070C0"/>
          <w:sz w:val="18"/>
          <w:szCs w:val="18"/>
        </w:rPr>
        <w:t>(OECD, 2025c</w:t>
      </w:r>
      <w:r w:rsidR="00F71798" w:rsidRPr="00F71798">
        <w:rPr>
          <w:sz w:val="18"/>
          <w:szCs w:val="18"/>
        </w:rPr>
        <w:t>)</w:t>
      </w:r>
    </w:p>
  </w:footnote>
  <w:footnote w:id="12">
    <w:p w14:paraId="4E1867B4" w14:textId="77777777" w:rsidR="00D80668" w:rsidRPr="00F31987" w:rsidRDefault="00D80668" w:rsidP="00D80668">
      <w:pPr>
        <w:pStyle w:val="FootnoteText"/>
        <w:spacing w:after="40"/>
      </w:pPr>
      <w:r>
        <w:rPr>
          <w:rStyle w:val="FootnoteReference"/>
        </w:rPr>
        <w:footnoteRef/>
      </w:r>
      <w:r>
        <w:t xml:space="preserve"> </w:t>
      </w:r>
      <w:r w:rsidRPr="00F31987">
        <w:rPr>
          <w:sz w:val="18"/>
          <w:szCs w:val="18"/>
        </w:rPr>
        <w:t xml:space="preserve">Both studies synthesize the broader literature on teacher turnover, which counts every departure from the school and therefore combines teachers who leave the profession with teachers who move between schools. </w:t>
      </w:r>
      <w:r w:rsidRPr="00F31987">
        <w:rPr>
          <w:color w:val="0070C0"/>
          <w:sz w:val="18"/>
          <w:szCs w:val="18"/>
        </w:rPr>
        <w:t xml:space="preserve">Nguyen et al. (2020) </w:t>
      </w:r>
      <w:r w:rsidRPr="00F31987">
        <w:rPr>
          <w:sz w:val="18"/>
          <w:szCs w:val="18"/>
        </w:rPr>
        <w:t xml:space="preserve">pool 120 studies of observed turnover in the United States, while </w:t>
      </w:r>
      <w:r w:rsidRPr="00F31987">
        <w:rPr>
          <w:color w:val="0070C0"/>
          <w:sz w:val="18"/>
          <w:szCs w:val="18"/>
        </w:rPr>
        <w:t xml:space="preserve">Gundlach, Slemp and Hattie (2024) </w:t>
      </w:r>
      <w:r w:rsidRPr="00F31987">
        <w:rPr>
          <w:sz w:val="18"/>
          <w:szCs w:val="18"/>
        </w:rPr>
        <w:t>pool 3 430 coefficients on close to 70 antecedents and estimate attrition, migration and retention separately, for intentions as well as for observed behaviour.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2"/>
  </w:num>
  <w:num w:numId="3" w16cid:durableId="969170164">
    <w:abstractNumId w:val="4"/>
  </w:num>
  <w:num w:numId="4" w16cid:durableId="79563750">
    <w:abstractNumId w:val="3"/>
  </w:num>
  <w:num w:numId="5" w16cid:durableId="162708215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RRES José Manuel, EDU/IMEP">
    <w15:presenceInfo w15:providerId="AD" w15:userId="S::JoseManuel.TORRES@oecd.org::d7fd3618-e390-4724-95be-a346805e458e"/>
  </w15:person>
  <w15:person w15:author="DURÁN ROA José Elías, EDU/IMEP">
    <w15:presenceInfo w15:providerId="AD" w15:userId="S::JoseElias.DURANROA@oecd.org::143a056d-beac-4d27-9201-e13b90a5b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6682"/>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3647"/>
    <w:rsid w:val="005370F6"/>
    <w:rsid w:val="00537141"/>
    <w:rsid w:val="005433B4"/>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45B05"/>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A2B"/>
    <w:rsid w:val="00946AD2"/>
    <w:rsid w:val="0096522D"/>
    <w:rsid w:val="00965EE1"/>
    <w:rsid w:val="00972F8E"/>
    <w:rsid w:val="00975B11"/>
    <w:rsid w:val="00975F46"/>
    <w:rsid w:val="00977870"/>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18CC"/>
    <w:rsid w:val="00AD1F30"/>
    <w:rsid w:val="00AD5E15"/>
    <w:rsid w:val="00AE1444"/>
    <w:rsid w:val="00AE4A79"/>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91343"/>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7FF7"/>
    <w:rsid w:val="00C85E44"/>
    <w:rsid w:val="00C902F9"/>
    <w:rsid w:val="00C90F8D"/>
    <w:rsid w:val="00C9572A"/>
    <w:rsid w:val="00CA030F"/>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6373"/>
    <w:rsid w:val="00EE6A01"/>
    <w:rsid w:val="00EE7295"/>
    <w:rsid w:val="00EF0ECD"/>
    <w:rsid w:val="00EF523A"/>
    <w:rsid w:val="00F0364F"/>
    <w:rsid w:val="00F03EA3"/>
    <w:rsid w:val="00F10673"/>
    <w:rsid w:val="00F10B26"/>
    <w:rsid w:val="00F11368"/>
    <w:rsid w:val="00F15A52"/>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2.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3.xml><?xml version="1.0" encoding="utf-8"?>
<ds:datastoreItem xmlns:ds="http://schemas.openxmlformats.org/officeDocument/2006/customXml" ds:itemID="{67A6BC3A-5CCA-436A-AB8F-4C08D414D76E}">
  <ds:schemaRefs>
    <ds:schemaRef ds:uri="http://schemas.microsoft.com/sharepoint/v3/contenttype/forms"/>
  </ds:schemaRefs>
</ds:datastoreItem>
</file>

<file path=customXml/itemProps4.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6481</Words>
  <Characters>40771</Characters>
  <Application>Microsoft Office Word</Application>
  <DocSecurity>0</DocSecurity>
  <Lines>558</Lines>
  <Paragraphs>195</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47057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3</cp:revision>
  <dcterms:created xsi:type="dcterms:W3CDTF">2026-10-05T12:05:00Z</dcterms:created>
  <dcterms:modified xsi:type="dcterms:W3CDTF">2026-10-05T12:12:00Z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