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Garamond" w:cs="Garamond" w:eastAsia="Garamond" w:hAnsi="Garamond"/>
          <w:b/>
          <w:bCs/>
          <w:color w:val="1A2430"/>
          <w:sz w:val="32"/>
          <w:szCs w:val="32"/>
        </w:rPr>
        <w:t xml:space="preserve">Who Leaves Teaching, and Who Comes Back?</w:t>
      </w:r>
    </w:p>
    <w:p>
      <w:pPr>
        <w:spacing w:after="160"/>
        <w:jc w:val="center"/>
      </w:pPr>
      <w:r>
        <w:rPr>
          <w:rFonts w:ascii="Garamond" w:cs="Garamond" w:eastAsia="Garamond" w:hAnsi="Garamond"/>
          <w:i/>
          <w:iCs/>
          <w:color w:val="5A6572"/>
          <w:sz w:val="23"/>
          <w:szCs w:val="23"/>
        </w:rPr>
        <w:t xml:space="preserve">Measuring teacher attrition across seven countries with harmonized panel data</w:t>
      </w:r>
    </w:p>
    <w:p>
      <w:pPr>
        <w:spacing w:after="140"/>
        <w:jc w:val="center"/>
      </w:pPr>
      <w:r>
        <w:rPr>
          <w:rFonts w:ascii="Garamond" w:cs="Garamond" w:eastAsia="Garamond" w:hAnsi="Garamond"/>
          <w:color w:val="1A2430"/>
          <w:sz w:val="22"/>
          <w:szCs w:val="22"/>
        </w:rPr>
        <w:t xml:space="preserve">José Elías Durán Roa</w:t>
      </w:r>
      <w:r>
        <w:rPr>
          <w:rFonts w:ascii="Garamond" w:cs="Garamond" w:eastAsia="Garamond" w:hAnsi="Garamond"/>
          <w:color w:val="5A6572"/>
          <w:sz w:val="19"/>
          <w:szCs w:val="19"/>
        </w:rPr>
        <w:t xml:space="preserve">      University of Alicante and OECD      July 2026</w:t>
      </w:r>
    </w:p>
    <w:p>
      <w:pPr>
        <w:spacing w:after="90" w:before="240"/>
      </w:pPr>
      <w:r>
        <w:rPr>
          <w:rFonts w:ascii="Garamond" w:cs="Garamond" w:eastAsia="Garamond" w:hAnsi="Garamond"/>
          <w:smallCaps/>
          <w:color w:val="2A5DB0"/>
          <w:spacing w:val="20"/>
          <w:sz w:val="22"/>
          <w:szCs w:val="22"/>
        </w:rPr>
        <w:t xml:space="preserve">1.  Motivation and Background</w:t>
      </w:r>
    </w:p>
    <w:p>
      <w:pPr>
        <w:spacing w:after="70" w:line="300" w:lineRule="auto"/>
        <w:jc w:val="both"/>
      </w:pPr>
      <w:r>
        <w:rPr>
          <w:rFonts w:ascii="Garamond" w:cs="Garamond" w:eastAsia="Garamond" w:hAnsi="Garamond"/>
          <w:color w:val="1A2430"/>
          <w:sz w:val="22"/>
          <w:szCs w:val="22"/>
        </w:rPr>
        <w:t xml:space="preserve">Every few years, in almost every rich country, the public debate rediscovers that teachers are quitting. The numbers behind the alarm are usually weak. Some count teachers who merely changed schools. Some count intentions rather than behavior. Some count exits from the public system while the private sector absorbs the same people. To know how many teachers actually leave the classroom, and who they are, one must follow the same person over time. Very few statistics do that, and almost none do it in a way that can be compared across countries.</w:t>
      </w:r>
    </w:p>
    <w:p>
      <w:pPr>
        <w:spacing w:after="70" w:line="300" w:lineRule="auto"/>
        <w:jc w:val="both"/>
      </w:pPr>
      <w:r>
        <w:rPr>
          <w:rFonts w:ascii="Garamond" w:cs="Garamond" w:eastAsia="Garamond" w:hAnsi="Garamond"/>
          <w:color w:val="1A2430"/>
          <w:sz w:val="22"/>
          <w:szCs w:val="22"/>
        </w:rPr>
        <w:t xml:space="preserve">The existing measurement landscape has two pillars, and both fall short of that standard. Administrative registers count teachers well but stop at the school door. They carry little beyond age and sex, record no destinations and no returns. Dedicated follow-up surveys are richer but run only every four or five years, their microdata are restricted, and no two countries field the same one </w:t>
      </w:r>
      <w:r>
        <w:rPr>
          <w:rFonts w:ascii="Garamond" w:cs="Garamond" w:eastAsia="Garamond" w:hAnsi="Garamond"/>
          <w:color w:val="2A5DB0"/>
          <w:sz w:val="22"/>
          <w:szCs w:val="22"/>
        </w:rPr>
        <w:t xml:space="preserve">(Goldring, Taie and Riddles 2014; NCES 2024)</w:t>
      </w:r>
      <w:r>
        <w:rPr>
          <w:rFonts w:ascii="Garamond" w:cs="Garamond" w:eastAsia="Garamond" w:hAnsi="Garamond"/>
          <w:color w:val="1A2430"/>
          <w:sz w:val="22"/>
          <w:szCs w:val="22"/>
        </w:rPr>
        <w:t xml:space="preserve">. The result is that annual attrition figures range from about two percent in South Korea to about nine percent in England, yet every national statistic measures a different object, so the published numbers cannot be compared, and teacher shortages remain a shared concern addressed with uncoordinated evidence </w:t>
      </w:r>
      <w:r>
        <w:rPr>
          <w:rFonts w:ascii="Garamond" w:cs="Garamond" w:eastAsia="Garamond" w:hAnsi="Garamond"/>
          <w:color w:val="2A5DB0"/>
          <w:sz w:val="22"/>
          <w:szCs w:val="22"/>
        </w:rPr>
        <w:t xml:space="preserve">(OECD 2025)</w:t>
      </w:r>
      <w:r>
        <w:rPr>
          <w:rFonts w:ascii="Garamond" w:cs="Garamond" w:eastAsia="Garamond" w:hAnsi="Garamond"/>
          <w:color w:val="1A2430"/>
          <w:sz w:val="22"/>
          <w:szCs w:val="22"/>
        </w:rPr>
        <w:t xml:space="preserve">.</w:t>
      </w:r>
    </w:p>
    <w:p>
      <w:pPr>
        <w:spacing w:after="90" w:before="240"/>
      </w:pPr>
      <w:r>
        <w:rPr>
          <w:rFonts w:ascii="Garamond" w:cs="Garamond" w:eastAsia="Garamond" w:hAnsi="Garamond"/>
          <w:smallCaps/>
          <w:color w:val="2A5DB0"/>
          <w:spacing w:val="20"/>
          <w:sz w:val="22"/>
          <w:szCs w:val="22"/>
        </w:rPr>
        <w:t xml:space="preserve">2.  Objectives</w:t>
      </w:r>
    </w:p>
    <w:p>
      <w:pPr>
        <w:spacing w:after="70" w:line="300" w:lineRule="auto"/>
        <w:jc w:val="both"/>
      </w:pPr>
      <w:r>
        <w:rPr>
          <w:rFonts w:ascii="Garamond" w:cs="Garamond" w:eastAsia="Garamond" w:hAnsi="Garamond"/>
          <w:color w:val="1A2430"/>
          <w:sz w:val="22"/>
          <w:szCs w:val="22"/>
        </w:rPr>
        <w:t xml:space="preserve">The project has three objectives. First, to estimate teacher attrition and re-entry rates for seven countries under a single, common definition, decomposed by destination, namely another job, unemployment, or withdrawal from the labor force. Second, to characterize the socioeconomic profile of the teachers who leave and of those who return, using identical variables in every country. Third, to link the cross-country differences in rates and profiles to institutional differences in job protection, pay and family policy, so the comparison speaks to the levers governments actually control.</w:t>
      </w:r>
    </w:p>
    <w:p>
      <w:pPr>
        <w:spacing w:after="90" w:before="240"/>
      </w:pPr>
      <w:r>
        <w:rPr>
          <w:rFonts w:ascii="Garamond" w:cs="Garamond" w:eastAsia="Garamond" w:hAnsi="Garamond"/>
          <w:smallCaps/>
          <w:color w:val="2A5DB0"/>
          <w:spacing w:val="20"/>
          <w:sz w:val="22"/>
          <w:szCs w:val="22"/>
        </w:rPr>
        <w:t xml:space="preserve">3.  Data</w:t>
      </w:r>
    </w:p>
    <w:p>
      <w:pPr>
        <w:spacing w:after="70" w:line="300" w:lineRule="auto"/>
        <w:jc w:val="both"/>
      </w:pPr>
      <w:r>
        <w:rPr>
          <w:rFonts w:ascii="Garamond" w:cs="Garamond" w:eastAsia="Garamond" w:hAnsi="Garamond"/>
          <w:color w:val="1A2430"/>
          <w:sz w:val="22"/>
          <w:szCs w:val="22"/>
        </w:rPr>
        <w:t xml:space="preserve">The United States, the United Kingdom, Germany, Australia, South Korea, Russia and Switzerland all run a study of the same rare kind. A few thousand households are interviewed every year, in the American case since 1968, about their jobs, incomes, partners, children and health. Because the same people answer year after year, these studies watch careers unfold in a way no snapshot can. They are called household panels. Each has its own name, questionnaire and coding, which is why they have rarely been used together. The Comparative Panel File harmonizes the seven into one open structure with identical variables for employment, income, family and wellbeing </w:t>
      </w:r>
      <w:r>
        <w:rPr>
          <w:rFonts w:ascii="Garamond" w:cs="Garamond" w:eastAsia="Garamond" w:hAnsi="Garamond"/>
          <w:color w:val="2A5DB0"/>
          <w:sz w:val="22"/>
          <w:szCs w:val="22"/>
        </w:rPr>
        <w:t xml:space="preserve">(Turek, Kalmijn and Leopold 2021)</w:t>
      </w:r>
      <w:r>
        <w:rPr>
          <w:rFonts w:ascii="Garamond" w:cs="Garamond" w:eastAsia="Garamond" w:hAnsi="Garamond"/>
          <w:color w:val="1A2430"/>
          <w:sz w:val="22"/>
          <w:szCs w:val="22"/>
        </w:rPr>
        <w:t xml:space="preserve">. It has been used to study retirement, divorce and unemployment across countries. It has never been used for teachers.</w:t>
      </w:r>
    </w:p>
    <w:p>
      <w:pPr>
        <w:spacing w:after="70" w:line="300" w:lineRule="auto"/>
        <w:jc w:val="both"/>
      </w:pPr>
      <w:r>
        <w:rPr>
          <w:rFonts w:ascii="Garamond" w:cs="Garamond" w:eastAsia="Garamond" w:hAnsi="Garamond"/>
          <w:color w:val="1A2430"/>
          <w:sz w:val="22"/>
          <w:szCs w:val="22"/>
        </w:rPr>
        <w:t xml:space="preserve">A panel observes a teacher before, during and after the exit. It sees the child born two years before the resignation, the partner's earnings that make leaving affordable, the health and job satisfaction that deteriorate beforehand, the wage in the next job, and the return to the classroom three years later. Pooled over twenty to thirty years, the panels hold between roughly three thousand and twenty-five thousand teacher-year observations per country. That is enough to estimate a leaving rate with a precision of about half a percentage point and to support profiles by age, sex and family situation, though not year-by-year series in the smaller countries. The proposal is explicit about that frontier.</w:t>
      </w:r>
    </w:p>
    <w:p>
      <w:pPr>
        <w:spacing w:after="90" w:before="240"/>
      </w:pPr>
      <w:r>
        <w:rPr>
          <w:rFonts w:ascii="Garamond" w:cs="Garamond" w:eastAsia="Garamond" w:hAnsi="Garamond"/>
          <w:smallCaps/>
          <w:color w:val="2A5DB0"/>
          <w:spacing w:val="20"/>
          <w:sz w:val="22"/>
          <w:szCs w:val="22"/>
        </w:rPr>
        <w:t xml:space="preserve">4.  Empirical Strategy</w:t>
      </w:r>
    </w:p>
    <w:p>
      <w:pPr>
        <w:spacing w:after="70" w:line="300" w:lineRule="auto"/>
        <w:jc w:val="both"/>
      </w:pPr>
      <w:r>
        <w:rPr>
          <w:rFonts w:ascii="Garamond" w:cs="Garamond" w:eastAsia="Garamond" w:hAnsi="Garamond"/>
          <w:color w:val="1A2430"/>
          <w:sz w:val="22"/>
          <w:szCs w:val="22"/>
        </w:rPr>
        <w:t xml:space="preserve">Occupations are measured with error in surveys, and the error is not innocent. When the same person describes their job twice, a promotion or a careless answer can look like a career change. Recent Australian work that checked survey answers against tax records found that panel-based attrition can come out at double the administrative figure for this reason </w:t>
      </w:r>
      <w:r>
        <w:rPr>
          <w:rFonts w:ascii="Garamond" w:cs="Garamond" w:eastAsia="Garamond" w:hAnsi="Garamond"/>
          <w:color w:val="2A5DB0"/>
          <w:sz w:val="22"/>
          <w:szCs w:val="22"/>
        </w:rPr>
        <w:t xml:space="preserve">(Buckley and Griselda 2025)</w:t>
      </w:r>
      <w:r>
        <w:rPr>
          <w:rFonts w:ascii="Garamond" w:cs="Garamond" w:eastAsia="Garamond" w:hAnsi="Garamond"/>
          <w:color w:val="1A2430"/>
          <w:sz w:val="22"/>
          <w:szCs w:val="22"/>
        </w:rPr>
        <w:t xml:space="preserve">. The empirical design confronts this directly. An exit requires a change of employer, not only of occupational code. Interview flags that mark answers carried over from the previous year are used where available to remove spurious changes. Re-entries are modeled rather than ignored, since they are themselves an object of interest. Rates are estimated by pooling waves within country, profiles by harmonized regression models of the exit and return decisions, and every national estimate is validated against a set of twenty-five administrative benchmarks compiled for this proposal from ministries, statistical offices and teacher registers.</w:t>
      </w:r>
    </w:p>
    <w:p>
      <w:pPr>
        <w:spacing w:after="90" w:before="240"/>
      </w:pPr>
      <w:r>
        <w:rPr>
          <w:rFonts w:ascii="Garamond" w:cs="Garamond" w:eastAsia="Garamond" w:hAnsi="Garamond"/>
          <w:smallCaps/>
          <w:color w:val="2A5DB0"/>
          <w:spacing w:val="20"/>
          <w:sz w:val="22"/>
          <w:szCs w:val="22"/>
        </w:rPr>
        <w:t xml:space="preserve">5.  Expected Contribution and Policy Relevance</w:t>
      </w:r>
    </w:p>
    <w:p>
      <w:pPr>
        <w:spacing w:after="70" w:line="300" w:lineRule="auto"/>
        <w:jc w:val="both"/>
      </w:pPr>
      <w:r>
        <w:rPr>
          <w:rFonts w:ascii="Garamond" w:cs="Garamond" w:eastAsia="Garamond" w:hAnsi="Garamond"/>
          <w:color w:val="1A2430"/>
          <w:sz w:val="22"/>
          <w:szCs w:val="22"/>
        </w:rPr>
        <w:t xml:space="preserve">Three things would exist that do not exist today. The first is a set of attrition and return rates that can genuinely be compared across countries. The second is the profile behind each rate. Whether a system is losing young mothers, mid-career men, teachers in poor health or its best paid staff is precisely what a ministry needs to know before choosing among pensions, childcare, pay and workload as the lever, and it is unobservable in the data governments currently use. The third is the institutional reading. Attrition falls as civil-service protection rises across these seven countries. Profiles measured on a common footing would show what that protection buys, whom it retains, and at what cost, evidence that speaks directly to live debates on teacher pay, pension reform and family leave.</w:t>
      </w:r>
    </w:p>
    <w:p>
      <w:pPr>
        <w:spacing w:after="90" w:before="240"/>
      </w:pPr>
      <w:r>
        <w:rPr>
          <w:rFonts w:ascii="Garamond" w:cs="Garamond" w:eastAsia="Garamond" w:hAnsi="Garamond"/>
          <w:smallCaps/>
          <w:color w:val="2A5DB0"/>
          <w:spacing w:val="20"/>
          <w:sz w:val="22"/>
          <w:szCs w:val="22"/>
        </w:rPr>
        <w:t xml:space="preserve">6.  Work Plan and Deliverables</w:t>
      </w:r>
    </w:p>
    <w:p>
      <w:pPr>
        <w:spacing w:after="70" w:line="300" w:lineRule="auto"/>
        <w:jc w:val="both"/>
      </w:pPr>
      <w:r>
        <w:rPr>
          <w:rFonts w:ascii="Garamond" w:cs="Garamond" w:eastAsia="Garamond" w:hAnsi="Garamond"/>
          <w:color w:val="1A2430"/>
          <w:sz w:val="22"/>
          <w:szCs w:val="22"/>
        </w:rPr>
        <w:t xml:space="preserve">All seven studies are open to researchers at no or nominal cost through standard applications, and the harmonization code is public, so every result can be replicated by anyone. Months one to three cover data access and the validation of the harmonized occupation codes. Months four to eight cover estimation of rates, routes and profiles. Months nine to twelve produce the outputs. The deliverables are a comparative report with the rates and profiles, a public replication package that extends the Comparative Panel File to the teaching profession, and short country notes for the systems where the findings bear on current policy discussions.</w:t>
      </w:r>
    </w:p>
    <w:p>
      <w:r>
        <w:br w:type="page"/>
      </w:r>
    </w:p>
    <w:p>
      <w:pPr>
        <w:spacing w:after="220"/>
        <w:jc w:val="center"/>
      </w:pPr>
      <w:r>
        <w:rPr>
          <w:rFonts w:ascii="Garamond" w:cs="Garamond" w:eastAsia="Garamond" w:hAnsi="Garamond"/>
          <w:b/>
          <w:bCs/>
          <w:color w:val="1A2430"/>
          <w:sz w:val="26"/>
          <w:szCs w:val="26"/>
        </w:rPr>
        <w:t xml:space="preserve">References</w:t>
      </w:r>
    </w:p>
    <w:p>
      <w:pPr>
        <w:spacing w:after="120" w:line="276" w:lineRule="auto"/>
        <w:ind w:left="420" w:hanging="420"/>
      </w:pPr>
      <w:r>
        <w:rPr>
          <w:rFonts w:ascii="Garamond" w:cs="Garamond" w:eastAsia="Garamond" w:hAnsi="Garamond"/>
          <w:color w:val="1A2430"/>
          <w:sz w:val="20"/>
          <w:szCs w:val="20"/>
        </w:rPr>
        <w:t xml:space="preserve">Buckley, J., and S. Griselda (2025). “Who Stays, Who Goes? A New Look at Teacher Attrition Using Administrative Data.” e61 Institute Research Note.</w:t>
      </w:r>
    </w:p>
    <w:p>
      <w:pPr>
        <w:spacing w:after="120" w:line="276" w:lineRule="auto"/>
        <w:ind w:left="420" w:hanging="420"/>
      </w:pPr>
      <w:r>
        <w:rPr>
          <w:rFonts w:ascii="Garamond" w:cs="Garamond" w:eastAsia="Garamond" w:hAnsi="Garamond"/>
          <w:color w:val="1A2430"/>
          <w:sz w:val="20"/>
          <w:szCs w:val="20"/>
        </w:rPr>
        <w:t xml:space="preserve">Goldring, R., S. Taie, and M. Riddles (2014). Teacher Attrition and Mobility: Results from the 2012–13 Teacher Follow-up Survey. NCES 2014-077, U.S. Department of Education.</w:t>
      </w:r>
    </w:p>
    <w:p>
      <w:pPr>
        <w:spacing w:after="120" w:line="276" w:lineRule="auto"/>
        <w:ind w:left="420" w:hanging="420"/>
      </w:pPr>
      <w:r>
        <w:rPr>
          <w:rFonts w:ascii="Garamond" w:cs="Garamond" w:eastAsia="Garamond" w:hAnsi="Garamond"/>
          <w:color w:val="1A2430"/>
          <w:sz w:val="20"/>
          <w:szCs w:val="20"/>
        </w:rPr>
        <w:t xml:space="preserve">National Center for Education Statistics (2024). Teacher Attrition and Mobility: Results from the 2021–22 Teacher Follow-up Survey. NCES 2024-039, U.S. Department of Education.</w:t>
      </w:r>
    </w:p>
    <w:p>
      <w:pPr>
        <w:spacing w:after="120" w:line="276" w:lineRule="auto"/>
        <w:ind w:left="420" w:hanging="420"/>
      </w:pPr>
      <w:r>
        <w:rPr>
          <w:rFonts w:ascii="Garamond" w:cs="Garamond" w:eastAsia="Garamond" w:hAnsi="Garamond"/>
          <w:color w:val="1A2430"/>
          <w:sz w:val="20"/>
          <w:szCs w:val="20"/>
        </w:rPr>
        <w:t xml:space="preserve">OECD (2025). Education at a Glance 2025. Paris: OECD Publishing.</w:t>
      </w:r>
    </w:p>
    <w:p>
      <w:pPr>
        <w:spacing w:after="120" w:line="276" w:lineRule="auto"/>
        <w:ind w:left="420" w:hanging="420"/>
      </w:pPr>
      <w:r>
        <w:rPr>
          <w:rFonts w:ascii="Garamond" w:cs="Garamond" w:eastAsia="Garamond" w:hAnsi="Garamond"/>
          <w:color w:val="1A2430"/>
          <w:sz w:val="20"/>
          <w:szCs w:val="20"/>
        </w:rPr>
        <w:t xml:space="preserve">Turek, K., M. Kalmijn, and T. Leopold (2021). “The Comparative Panel File: Harmonized Panel Surveys from Seven Countries.” European Sociological Review 37(3), 505–523.</w:t>
      </w:r>
    </w:p>
    <w:sectPr>
      <w:pgSz w:w="11906" w:h="16838" w:orient="portrait"/>
      <w:pgMar w:top="136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2026-07-21T14:27:14.677Z</dcterms:created>
  <dcterms:modified xsi:type="dcterms:W3CDTF">2026-07-21T14:27:14.679Z</dcterms:modified>
</cp:coreProperties>
</file>

<file path=docProps/custom.xml><?xml version="1.0" encoding="utf-8"?>
<Properties xmlns="http://schemas.openxmlformats.org/officeDocument/2006/custom-properties" xmlns:vt="http://schemas.openxmlformats.org/officeDocument/2006/docPropsVTypes"/>
</file>