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mbria" w:cs="Cambria" w:eastAsia="Cambria" w:hAnsi="Cambria"/>
          <w:b/>
          <w:bCs/>
          <w:color w:val="1F4E46"/>
          <w:sz w:val="56"/>
          <w:szCs w:val="56"/>
        </w:rPr>
        <w:t xml:space="preserve">Re-attracting Former Teachers</w:t>
      </w:r>
    </w:p>
    <w:p>
      <w:pPr>
        <w:spacing w:after="0" w:before="200"/>
      </w:pPr>
      <w:r>
        <w:rPr>
          <w:rFonts w:ascii="Calibri" w:cs="Calibri" w:eastAsia="Calibri" w:hAnsi="Calibri"/>
          <w:color w:val="5A6A72"/>
          <w:sz w:val="28"/>
          <w:szCs w:val="28"/>
        </w:rPr>
        <w:t xml:space="preserve">Interview scripts for the countries we are contacting</w:t>
      </w:r>
    </w:p>
    <w:p>
      <w:pPr>
        <w:spacing w:before="1200"/>
      </w:pPr>
      <w:r>
        <w:rPr>
          <w:rFonts w:ascii="Calibri" w:cs="Calibri" w:eastAsia="Calibri" w:hAnsi="Calibri"/>
          <w:color w:val="24313A"/>
          <w:sz w:val="22"/>
          <w:szCs w:val="22"/>
        </w:rPr>
        <w:t xml:space="preserve">OECD Centre for Educational Research and Innovation</w:t>
      </w:r>
    </w:p>
    <w:p>
      <w:pPr>
        <w:spacing w:before="60"/>
      </w:pPr>
      <w:r>
        <w:rPr>
          <w:rFonts w:ascii="Calibri" w:cs="Calibri" w:eastAsia="Calibri" w:hAnsi="Calibri"/>
          <w:i/>
          <w:iCs/>
          <w:color w:val="5A6A72"/>
          <w:sz w:val="22"/>
          <w:szCs w:val="22"/>
        </w:rPr>
        <w:t xml:space="preserve">Unlocking the Potential of Diverse Teaching Profiles</w:t>
      </w:r>
    </w:p>
    <w:p>
      <w:pPr>
        <w:spacing w:before="400"/>
      </w:pPr>
      <w:r>
        <w:rPr>
          <w:rFonts w:ascii="Calibri" w:cs="Calibri" w:eastAsia="Calibri" w:hAnsi="Calibri"/>
          <w:color w:val="24313A"/>
          <w:sz w:val="22"/>
          <w:szCs w:val="22"/>
        </w:rPr>
        <w:t xml:space="preserve">José Manuel Torres  ·  José Elías Durán Roa</w:t>
      </w:r>
    </w:p>
    <w:p>
      <w:pPr>
        <w:spacing w:before="60"/>
      </w:pPr>
      <w:r>
        <w:rPr>
          <w:rFonts w:ascii="Calibri" w:cs="Calibri" w:eastAsia="Calibri" w:hAnsi="Calibri"/>
          <w:color w:val="5A6A72"/>
          <w:sz w:val="22"/>
          <w:szCs w:val="22"/>
        </w:rPr>
        <w:t xml:space="preserve">September 2026</w:t>
      </w:r>
    </w:p>
    <w:p>
      <w:r>
        <w:br w:type="page"/>
      </w:r>
    </w:p>
    <w:p>
      <w:pPr>
        <w:pStyle w:val="Heading1"/>
        <w:spacing w:after="240"/>
      </w:pPr>
      <w:r>
        <w:rPr>
          <w:rFonts w:ascii="Cambria" w:cs="Cambria" w:eastAsia="Cambria" w:hAnsi="Cambria"/>
          <w:b/>
          <w:bCs/>
          <w:color w:val="1F4E46"/>
          <w:sz w:val="36"/>
          <w:szCs w:val="36"/>
        </w:rPr>
        <w:t xml:space="preserve">Contents</w:t>
      </w:r>
    </w:p>
    <w:p>
      <w:pPr>
        <w:spacing w:after="200"/>
      </w:pPr>
      <w:r>
        <w:rPr>
          <w:rFonts w:ascii="Calibri" w:cs="Calibri" w:eastAsia="Calibri" w:hAnsi="Calibri"/>
          <w:i/>
          <w:iCs/>
          <w:color w:val="5A6A72"/>
          <w:sz w:val="20"/>
          <w:szCs w:val="20"/>
        </w:rPr>
        <w:t xml:space="preserve">Click a country to jump to its script.</w:t>
      </w:r>
    </w:p>
    <w:p>
      <w:pPr>
        <w:spacing w:after="140" w:before="140"/>
      </w:pPr>
      <w:hyperlink w:history="1" w:anchor="sec0">
        <w:r>
          <w:rPr>
            <w:rFonts w:ascii="Calibri" w:cs="Calibri" w:eastAsia="Calibri" w:hAnsi="Calibri"/>
            <w:b/>
            <w:bCs/>
            <w:color w:val="1F4E46"/>
            <w:sz w:val="24"/>
            <w:szCs w:val="24"/>
            <w:u w:val="single" w:color="1F4E46"/>
          </w:rPr>
          <w:t xml:space="preserve">The introduction we use in every interview</w:t>
        </w:r>
      </w:hyperlink>
    </w:p>
    <w:p>
      <w:pPr>
        <w:spacing w:after="140" w:before="140"/>
      </w:pPr>
      <w:hyperlink w:history="1" w:anchor="sec1">
        <w:r>
          <w:rPr>
            <w:rFonts w:ascii="Calibri" w:cs="Calibri" w:eastAsia="Calibri" w:hAnsi="Calibri"/>
            <w:b/>
            <w:bCs/>
            <w:color w:val="1F4E46"/>
            <w:sz w:val="24"/>
            <w:szCs w:val="24"/>
            <w:u w:val="single" w:color="1F4E46"/>
          </w:rPr>
          <w:t xml:space="preserve">How to use these scripts</w:t>
        </w:r>
      </w:hyperlink>
    </w:p>
    <w:p>
      <w:pPr>
        <w:spacing w:after="20" w:before="140"/>
      </w:pPr>
      <w:hyperlink w:history="1" w:anchor="sec2">
        <w:r>
          <w:rPr>
            <w:rFonts w:ascii="Calibri" w:cs="Calibri" w:eastAsia="Calibri" w:hAnsi="Calibri"/>
            <w:b/>
            <w:bCs/>
            <w:color w:val="1F4E46"/>
            <w:sz w:val="24"/>
            <w:szCs w:val="24"/>
            <w:u w:val="single" w:color="1F4E46"/>
          </w:rPr>
          <w:t xml:space="preserve">Australia — New South Wales</w:t>
        </w:r>
      </w:hyperlink>
    </w:p>
    <w:p>
      <w:pPr>
        <w:spacing w:after="140"/>
        <w:ind w:left="0"/>
      </w:pPr>
      <w:r>
        <w:rPr>
          <w:rFonts w:ascii="Calibri" w:cs="Calibri" w:eastAsia="Calibri" w:hAnsi="Calibri"/>
          <w:color w:val="5A6A72"/>
          <w:sz w:val="20"/>
          <w:szCs w:val="20"/>
        </w:rPr>
        <w:t xml:space="preserve">Teachers Re-Engage, Department of Education (since November 2023)</w:t>
      </w:r>
    </w:p>
    <w:p>
      <w:pPr>
        <w:spacing w:after="20" w:before="140"/>
      </w:pPr>
      <w:hyperlink w:history="1" w:anchor="sec3">
        <w:r>
          <w:rPr>
            <w:rFonts w:ascii="Calibri" w:cs="Calibri" w:eastAsia="Calibri" w:hAnsi="Calibri"/>
            <w:b/>
            <w:bCs/>
            <w:color w:val="1F4E46"/>
            <w:sz w:val="24"/>
            <w:szCs w:val="24"/>
            <w:u w:val="single" w:color="1F4E46"/>
          </w:rPr>
          <w:t xml:space="preserve">Australia — Victoria</w:t>
        </w:r>
      </w:hyperlink>
    </w:p>
    <w:p>
      <w:pPr>
        <w:spacing w:after="140"/>
        <w:ind w:left="0"/>
      </w:pPr>
      <w:r>
        <w:rPr>
          <w:rFonts w:ascii="Calibri" w:cs="Calibri" w:eastAsia="Calibri" w:hAnsi="Calibri"/>
          <w:color w:val="5A6A72"/>
          <w:sz w:val="20"/>
          <w:szCs w:val="20"/>
        </w:rPr>
        <w:t xml:space="preserve">Teacher Re-Engagement Initiative (TREI), Department of Education (since late 2022)</w:t>
      </w:r>
    </w:p>
    <w:p>
      <w:pPr>
        <w:spacing w:after="20" w:before="140"/>
      </w:pPr>
      <w:hyperlink w:history="1" w:anchor="sec4">
        <w:r>
          <w:rPr>
            <w:rFonts w:ascii="Calibri" w:cs="Calibri" w:eastAsia="Calibri" w:hAnsi="Calibri"/>
            <w:b/>
            <w:bCs/>
            <w:color w:val="1F4E46"/>
            <w:sz w:val="24"/>
            <w:szCs w:val="24"/>
            <w:u w:val="single" w:color="1F4E46"/>
          </w:rPr>
          <w:t xml:space="preserve">Canada — Quebec</w:t>
        </w:r>
      </w:hyperlink>
    </w:p>
    <w:p>
      <w:pPr>
        <w:spacing w:after="140"/>
        <w:ind w:left="0"/>
      </w:pPr>
      <w:r>
        <w:rPr>
          <w:rFonts w:ascii="Calibri" w:cs="Calibri" w:eastAsia="Calibri" w:hAnsi="Calibri"/>
          <w:color w:val="5A6A72"/>
          <w:sz w:val="20"/>
          <w:szCs w:val="20"/>
        </w:rPr>
        <w:t xml:space="preserve">Financial incentives for the return of retired teachers, measure 15178 of the operating budget rules (since September 2020)</w:t>
      </w:r>
    </w:p>
    <w:p>
      <w:pPr>
        <w:spacing w:after="20" w:before="140"/>
      </w:pPr>
      <w:hyperlink w:history="1" w:anchor="sec5">
        <w:r>
          <w:rPr>
            <w:rFonts w:ascii="Calibri" w:cs="Calibri" w:eastAsia="Calibri" w:hAnsi="Calibri"/>
            <w:b/>
            <w:bCs/>
            <w:color w:val="1F4E46"/>
            <w:sz w:val="24"/>
            <w:szCs w:val="24"/>
            <w:u w:val="single" w:color="1F4E46"/>
          </w:rPr>
          <w:t xml:space="preserve">China</w:t>
        </w:r>
      </w:hyperlink>
    </w:p>
    <w:p>
      <w:pPr>
        <w:spacing w:after="140"/>
        <w:ind w:left="0"/>
      </w:pPr>
      <w:r>
        <w:rPr>
          <w:rFonts w:ascii="Calibri" w:cs="Calibri" w:eastAsia="Calibri" w:hAnsi="Calibri"/>
          <w:color w:val="5A6A72"/>
          <w:sz w:val="20"/>
          <w:szCs w:val="20"/>
        </w:rPr>
        <w:t xml:space="preserve">Silver-Age Lecturing Plan (2018) and the National Silver-Age Teachers Action Plan (2023)</w:t>
      </w:r>
    </w:p>
    <w:p>
      <w:pPr>
        <w:spacing w:after="20" w:before="140"/>
      </w:pPr>
      <w:hyperlink w:history="1" w:anchor="sec6">
        <w:r>
          <w:rPr>
            <w:rFonts w:ascii="Calibri" w:cs="Calibri" w:eastAsia="Calibri" w:hAnsi="Calibri"/>
            <w:b/>
            <w:bCs/>
            <w:color w:val="1F4E46"/>
            <w:sz w:val="24"/>
            <w:szCs w:val="24"/>
            <w:u w:val="single" w:color="1F4E46"/>
          </w:rPr>
          <w:t xml:space="preserve">Netherlands</w:t>
        </w:r>
      </w:hyperlink>
    </w:p>
    <w:p>
      <w:pPr>
        <w:spacing w:after="140"/>
        <w:ind w:left="0"/>
      </w:pPr>
      <w:r>
        <w:rPr>
          <w:rFonts w:ascii="Calibri" w:cs="Calibri" w:eastAsia="Calibri" w:hAnsi="Calibri"/>
          <w:color w:val="5A6A72"/>
          <w:sz w:val="20"/>
          <w:szCs w:val="20"/>
        </w:rPr>
        <w:t xml:space="preserve">Regeling tegemoetkoming herintreders primair onderwijs (2017–2022)</w:t>
      </w:r>
    </w:p>
    <w:p>
      <w:pPr>
        <w:spacing w:after="20" w:before="140"/>
      </w:pPr>
      <w:hyperlink w:history="1" w:anchor="sec7">
        <w:r>
          <w:rPr>
            <w:rFonts w:ascii="Calibri" w:cs="Calibri" w:eastAsia="Calibri" w:hAnsi="Calibri"/>
            <w:b/>
            <w:bCs/>
            <w:color w:val="1F4E46"/>
            <w:sz w:val="24"/>
            <w:szCs w:val="24"/>
            <w:u w:val="single" w:color="1F4E46"/>
          </w:rPr>
          <w:t xml:space="preserve">United States</w:t>
        </w:r>
      </w:hyperlink>
    </w:p>
    <w:p>
      <w:pPr>
        <w:spacing w:after="140"/>
        <w:ind w:left="0"/>
      </w:pPr>
      <w:r>
        <w:rPr>
          <w:rFonts w:ascii="Calibri" w:cs="Calibri" w:eastAsia="Calibri" w:hAnsi="Calibri"/>
          <w:color w:val="5A6A72"/>
          <w:sz w:val="20"/>
          <w:szCs w:val="20"/>
        </w:rPr>
        <w:t xml:space="preserve">State laws letting retired teachers return to work</w:t>
      </w:r>
    </w:p>
    <w:p>
      <w:r>
        <w:br w:type="page"/>
      </w:r>
    </w:p>
    <w:p>
      <w:pPr>
        <w:pStyle w:val="Heading1"/>
        <w:spacing w:after="60" w:before="0"/>
      </w:pPr>
      <w:bookmarkStart w:name="sec0" w:id="1"/>
      <w:r>
        <w:rPr>
          <w:rFonts w:ascii="Cambria" w:cs="Cambria" w:eastAsia="Cambria" w:hAnsi="Cambria"/>
          <w:b/>
          <w:bCs/>
          <w:color w:val="1F4E46"/>
          <w:sz w:val="36"/>
          <w:szCs w:val="36"/>
        </w:rPr>
        <w:t xml:space="preserve">The introduction we use in every interview</w:t>
      </w:r>
      <w:bookmarkEnd w:id="1"/>
    </w:p>
    <w:p>
      <w:pPr>
        <w:spacing w:after="120" w:before="120"/>
      </w:pPr>
      <w:r>
        <w:rPr>
          <w:rFonts w:ascii="Calibri" w:cs="Calibri" w:eastAsia="Calibri" w:hAnsi="Calibri"/>
          <w:b w:val="false"/>
          <w:bCs w:val="false"/>
          <w:color w:val="24313A"/>
          <w:sz w:val="22"/>
          <w:szCs w:val="22"/>
        </w:rPr>
        <w:t xml:space="preserve">The same opening for every interview script. Read it out or paste it into the invitation; it is three ideas and nothing more.</w:t>
      </w:r>
    </w:p>
    <w:p>
      <w:pPr>
        <w:spacing w:after="120" w:before="120"/>
      </w:pPr>
      <w:r>
        <w:rPr>
          <w:rFonts w:ascii="Calibri" w:cs="Calibri" w:eastAsia="Calibri" w:hAnsi="Calibri"/>
          <w:b w:val="false"/>
          <w:bCs w:val="false"/>
          <w:color w:val="24313A"/>
          <w:sz w:val="22"/>
          <w:szCs w:val="22"/>
        </w:rPr>
        <w:t xml:space="preserve">We are working on a chapter about former teachers for an OECD project on the diversity of routes into the teaching profession. We are gathering the policies and the experiences that countries have used to bring former teachers back to the classroom — teachers who retired, teachers who moved into another sector, and teachers who left work altogether.</w:t>
      </w:r>
    </w:p>
    <w:p>
      <w:pPr>
        <w:spacing w:after="120" w:before="120"/>
      </w:pPr>
      <w:r>
        <w:rPr>
          <w:rFonts w:ascii="Calibri" w:cs="Calibri" w:eastAsia="Calibri" w:hAnsi="Calibri"/>
          <w:b w:val="false"/>
          <w:bCs w:val="false"/>
          <w:color w:val="24313A"/>
          <w:sz w:val="22"/>
          <w:szCs w:val="22"/>
        </w:rPr>
        <w:t xml:space="preserve">What we are after is not the design on paper, which we can read, but what actually happened: what worked, what did not, and what the people who ran these policies would tell a country thinking of doing the same.</w:t>
      </w:r>
    </w:p>
    <w:p>
      <w:pPr>
        <w:spacing w:after="120" w:before="120"/>
      </w:pPr>
      <w:r>
        <w:rPr>
          <w:rFonts w:ascii="Calibri" w:cs="Calibri" w:eastAsia="Calibri" w:hAnsi="Calibri"/>
          <w:b w:val="false"/>
          <w:bCs w:val="false"/>
          <w:color w:val="24313A"/>
          <w:sz w:val="22"/>
          <w:szCs w:val="22"/>
        </w:rPr>
        <w:t xml:space="preserve">The third part of our work is about the teachers themselves. We are characterising why teachers leave, and we want to see whether the policies that try to bring them back speak to those reasons or to something else.</w:t>
      </w:r>
    </w:p>
    <w:p>
      <w:pPr>
        <w:spacing w:after="120" w:before="120"/>
      </w:pPr>
      <w:r>
        <w:rPr>
          <w:rFonts w:ascii="Calibri" w:cs="Calibri" w:eastAsia="Calibri" w:hAnsi="Calibri"/>
          <w:b w:val="false"/>
          <w:bCs w:val="false"/>
          <w:color w:val="24313A"/>
          <w:sz w:val="22"/>
          <w:szCs w:val="22"/>
        </w:rPr>
        <w:t xml:space="preserve">This conversation is to understand your experience. There are no right answers, and anything you cannot discuss, we simply leave aside.</w:t>
      </w:r>
    </w:p>
    <w:p>
      <w:r>
        <w:br w:type="page"/>
      </w:r>
    </w:p>
    <w:p>
      <w:pPr>
        <w:pStyle w:val="Heading1"/>
        <w:spacing w:after="60" w:before="240"/>
      </w:pPr>
      <w:bookmarkStart w:name="sec1" w:id="1"/>
      <w:r>
        <w:rPr>
          <w:rFonts w:ascii="Cambria" w:cs="Cambria" w:eastAsia="Cambria" w:hAnsi="Cambria"/>
          <w:b/>
          <w:bCs/>
          <w:color w:val="1F4E46"/>
          <w:sz w:val="36"/>
          <w:szCs w:val="36"/>
        </w:rPr>
        <w:t xml:space="preserve">How to use these scripts</w:t>
      </w:r>
      <w:bookmarkEnd w:id="1"/>
    </w:p>
    <w:p>
      <w:pPr>
        <w:spacing w:after="120" w:before="120"/>
      </w:pPr>
      <w:r>
        <w:rPr>
          <w:rFonts w:ascii="Calibri" w:cs="Calibri" w:eastAsia="Calibri" w:hAnsi="Calibri"/>
          <w:b w:val="false"/>
          <w:bCs w:val="false"/>
          <w:color w:val="24313A"/>
          <w:sz w:val="22"/>
          <w:szCs w:val="22"/>
        </w:rPr>
        <w:t xml:space="preserve">Each script is built for a conversation of forty-five minutes to an hour. It has eight or nine open questions, in an order that goes from how the policy came about to what it produced. Under most questions there are two or three probes: they are not questions to be asked one after the other but things to reach for if the answer stays on the surface.</w:t>
      </w:r>
    </w:p>
    <w:p>
      <w:pPr>
        <w:spacing w:after="120" w:before="120"/>
      </w:pPr>
      <w:r>
        <w:rPr>
          <w:rFonts w:ascii="Calibri" w:cs="Calibri" w:eastAsia="Calibri" w:hAnsi="Calibri"/>
          <w:b w:val="false"/>
          <w:bCs w:val="false"/>
          <w:color w:val="24313A"/>
          <w:sz w:val="22"/>
          <w:szCs w:val="22"/>
        </w:rPr>
        <w:t xml:space="preserve">The block at the start of each script, "what we already know", is for us, not for them. It is there so we do not spend the interview on what is on the public record, and so the person sees, from our first question, that we have read their policy. Where it says "we understand" or "as far as we can tell", the point is uncertain and worth confirming in passing.</w:t>
      </w:r>
    </w:p>
    <w:p>
      <w:pPr>
        <w:spacing w:after="120" w:before="120"/>
      </w:pPr>
      <w:r>
        <w:rPr>
          <w:rFonts w:ascii="Calibri" w:cs="Calibri" w:eastAsia="Calibri" w:hAnsi="Calibri"/>
          <w:b w:val="false"/>
          <w:bCs w:val="false"/>
          <w:color w:val="24313A"/>
          <w:sz w:val="22"/>
          <w:szCs w:val="22"/>
        </w:rPr>
        <w:t xml:space="preserve">Three things every interview should come away with, whatever the order: how the policy came to exist and who decided its shape; what happened once it was running, as told by someone who was there; and whether the people it brought back are the people who leave. That last one is the question the chapter turns on, and it is asked in each script in its own words.</w:t>
      </w:r>
    </w:p>
    <w:p>
      <w:pPr>
        <w:spacing w:after="120" w:before="120"/>
      </w:pPr>
      <w:r>
        <w:rPr>
          <w:rFonts w:ascii="Calibri" w:cs="Calibri" w:eastAsia="Calibri" w:hAnsi="Calibri"/>
          <w:b w:val="false"/>
          <w:bCs w:val="false"/>
          <w:color w:val="24313A"/>
          <w:sz w:val="22"/>
          <w:szCs w:val="22"/>
        </w:rPr>
        <w:t xml:space="preserve">Ask the closing question in every case. A second name is often worth more than the first conversation.</w:t>
      </w:r>
    </w:p>
    <w:p>
      <w:r>
        <w:br w:type="page"/>
      </w:r>
    </w:p>
    <w:p>
      <w:pPr>
        <w:pStyle w:val="Heading1"/>
        <w:spacing w:after="60" w:before="240"/>
      </w:pPr>
      <w:bookmarkStart w:name="sec2" w:id="1"/>
      <w:r>
        <w:rPr>
          <w:rFonts w:ascii="Cambria" w:cs="Cambria" w:eastAsia="Cambria" w:hAnsi="Cambria"/>
          <w:b/>
          <w:bCs/>
          <w:color w:val="1F4E46"/>
          <w:sz w:val="36"/>
          <w:szCs w:val="36"/>
        </w:rPr>
        <w:t xml:space="preserve">Australia — New South Wales</w:t>
      </w:r>
      <w:bookmarkEnd w:id="1"/>
    </w:p>
    <w:p>
      <w:pPr>
        <w:pBdr>
          <w:bottom w:val="single" w:color="CFDCD5" w:sz="6" w:space="6"/>
        </w:pBdr>
        <w:spacing w:after="240" w:before="0"/>
      </w:pPr>
      <w:r>
        <w:rPr>
          <w:rFonts w:ascii="Calibri" w:cs="Calibri" w:eastAsia="Calibri" w:hAnsi="Calibri"/>
          <w:color w:val="B3542E"/>
          <w:sz w:val="24"/>
          <w:szCs w:val="24"/>
        </w:rPr>
        <w:t xml:space="preserve">Teachers Re-Engage, Department of Education (since November 2023)</w:t>
      </w:r>
    </w:p>
    <w:p>
      <w:pPr>
        <w:shd w:fill="F1F6F3" w:val="clear"/>
        <w:spacing w:after="120" w:before="120"/>
        <w:ind w:left="215" w:right="215"/>
      </w:pPr>
      <w:r>
        <w:rPr>
          <w:rFonts w:ascii="Calibri" w:cs="Calibri" w:eastAsia="Calibri" w:hAnsi="Calibri"/>
          <w:b/>
          <w:bCs/>
          <w:color w:val="24313A"/>
          <w:sz w:val="21"/>
          <w:szCs w:val="21"/>
        </w:rPr>
        <w:t xml:space="preserve">Who to ask for:</w:t>
      </w:r>
      <w:r>
        <w:rPr>
          <w:rFonts w:ascii="Calibri" w:cs="Calibri" w:eastAsia="Calibri" w:hAnsi="Calibri"/>
          <w:b w:val="false"/>
          <w:bCs w:val="false"/>
          <w:color w:val="24313A"/>
          <w:sz w:val="21"/>
          <w:szCs w:val="21"/>
        </w:rPr>
        <w:t xml:space="preserve"> the School Workforce directorate of the NSW Department of Education, which runs attraction, engagement and retention and places teachers in public schools.</w:t>
      </w:r>
    </w:p>
    <w:p>
      <w:pPr>
        <w:shd w:fill="F1F6F3" w:val="clear"/>
        <w:spacing w:after="120" w:before="120"/>
        <w:ind w:left="215" w:right="215"/>
      </w:pPr>
      <w:r>
        <w:rPr>
          <w:rFonts w:ascii="Calibri" w:cs="Calibri" w:eastAsia="Calibri" w:hAnsi="Calibri"/>
          <w:b/>
          <w:bCs/>
          <w:color w:val="24313A"/>
          <w:sz w:val="21"/>
          <w:szCs w:val="21"/>
        </w:rPr>
        <w:t xml:space="preserve">What we already know, so we do not ask it.</w:t>
      </w:r>
      <w:r>
        <w:rPr>
          <w:rFonts w:ascii="Calibri" w:cs="Calibri" w:eastAsia="Calibri" w:hAnsi="Calibri"/>
          <w:b w:val="false"/>
          <w:bCs w:val="false"/>
          <w:color w:val="24313A"/>
          <w:sz w:val="21"/>
          <w:szCs w:val="21"/>
        </w:rPr>
        <w:t xml:space="preserve"> From November 2023 the Department went through its own records of teachers who had left in the previous five years and approached more than 1,500 of them; by May 2024, 260 had expressed interest and 145 had been linked with schools, about six in ten of them out of retirement. Returners are helped with accreditation, approval to teach and the working-with-children check, and register on the casual booking platform the schools use; a streamlined re-accreditation route for retired teachers appeared at the standards authority in the same month the calls began. The press described the outreach as cold-calling; the Department itself has never said what the channel was. Nothing programme-specific has been published since May 2024.</w:t>
      </w:r>
    </w:p>
    <w:p>
      <w:pPr>
        <w:spacing w:after="80" w:before="200"/>
        <w:ind w:left="648" w:hanging="431"/>
      </w:pPr>
      <w:r>
        <w:rPr>
          <w:rFonts w:ascii="Calibri" w:cs="Calibri" w:eastAsia="Calibri" w:hAnsi="Calibri"/>
          <w:b/>
          <w:bCs/>
          <w:color w:val="1F4E46"/>
          <w:sz w:val="22"/>
          <w:szCs w:val="22"/>
        </w:rPr>
        <w:t xml:space="preserve">1.</w:t>
      </w:r>
      <w:r>
        <w:rPr>
          <w:rFonts w:ascii="Calibri" w:cs="Calibri" w:eastAsia="Calibri" w:hAnsi="Calibri"/>
          <w:sz w:val="22"/>
          <w:szCs w:val="22"/>
        </w:rPr>
        <w:t xml:space="preserve">	</w:t>
      </w:r>
      <w:r>
        <w:rPr>
          <w:rFonts w:ascii="Calibri" w:cs="Calibri" w:eastAsia="Calibri" w:hAnsi="Calibri"/>
          <w:b/>
          <w:bCs/>
          <w:color w:val="24313A"/>
          <w:sz w:val="22"/>
          <w:szCs w:val="22"/>
        </w:rPr>
        <w:t xml:space="preserve">How did the idea come about?</w:t>
      </w:r>
      <w:r>
        <w:rPr>
          <w:rFonts w:ascii="Calibri" w:cs="Calibri" w:eastAsia="Calibri" w:hAnsi="Calibri"/>
          <w:b w:val="false"/>
          <w:bCs w:val="false"/>
          <w:color w:val="24313A"/>
          <w:sz w:val="22"/>
          <w:szCs w:val="22"/>
        </w:rPr>
        <w:t xml:space="preserve"> We are interested in the moment someone said: rather than advertise, let us go back to the teachers who have already left.</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Who had to be convinced, inside the Department or outside it?</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Was there a model you were looking at, here or elsewhere?</w:t>
      </w:r>
    </w:p>
    <w:p>
      <w:pPr>
        <w:spacing w:after="80" w:before="200"/>
        <w:ind w:left="648" w:hanging="431"/>
      </w:pPr>
      <w:r>
        <w:rPr>
          <w:rFonts w:ascii="Calibri" w:cs="Calibri" w:eastAsia="Calibri" w:hAnsi="Calibri"/>
          <w:b/>
          <w:bCs/>
          <w:color w:val="1F4E46"/>
          <w:sz w:val="22"/>
          <w:szCs w:val="22"/>
        </w:rPr>
        <w:t xml:space="preserve">2.</w:t>
      </w:r>
      <w:r>
        <w:rPr>
          <w:rFonts w:ascii="Calibri" w:cs="Calibri" w:eastAsia="Calibri" w:hAnsi="Calibri"/>
          <w:sz w:val="22"/>
          <w:szCs w:val="22"/>
        </w:rPr>
        <w:t xml:space="preserve">	</w:t>
      </w:r>
      <w:r>
        <w:rPr>
          <w:rFonts w:ascii="Calibri" w:cs="Calibri" w:eastAsia="Calibri" w:hAnsi="Calibri"/>
          <w:b/>
          <w:bCs/>
          <w:color w:val="24313A"/>
          <w:sz w:val="22"/>
          <w:szCs w:val="22"/>
        </w:rPr>
        <w:t xml:space="preserve">Going back to your own records to find former teachers is something very few systems do. How did you build that list, and how were people approached?</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What did you have to settle before contacting people who no longer worked for you?</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Was it a phone call, a letter, an e-mail — and what was actually said?</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Was the list everyone who had left, or a selection?</w:t>
      </w:r>
    </w:p>
    <w:p>
      <w:pPr>
        <w:spacing w:after="80" w:before="200"/>
        <w:ind w:left="648" w:hanging="431"/>
      </w:pPr>
      <w:r>
        <w:rPr>
          <w:rFonts w:ascii="Calibri" w:cs="Calibri" w:eastAsia="Calibri" w:hAnsi="Calibri"/>
          <w:b/>
          <w:bCs/>
          <w:color w:val="1F4E46"/>
          <w:sz w:val="22"/>
          <w:szCs w:val="22"/>
        </w:rPr>
        <w:t xml:space="preserve">3.</w:t>
      </w:r>
      <w:r>
        <w:rPr>
          <w:rFonts w:ascii="Calibri" w:cs="Calibri" w:eastAsia="Calibri" w:hAnsi="Calibri"/>
          <w:sz w:val="22"/>
          <w:szCs w:val="22"/>
        </w:rPr>
        <w:t xml:space="preserve">	</w:t>
      </w:r>
      <w:r>
        <w:rPr>
          <w:rFonts w:ascii="Calibri" w:cs="Calibri" w:eastAsia="Calibri" w:hAnsi="Calibri"/>
          <w:b/>
          <w:bCs/>
          <w:color w:val="24313A"/>
          <w:sz w:val="22"/>
          <w:szCs w:val="22"/>
        </w:rPr>
        <w:t xml:space="preserve">What did people say back?</w:t>
      </w:r>
      <w:r>
        <w:rPr>
          <w:rFonts w:ascii="Calibri" w:cs="Calibri" w:eastAsia="Calibri" w:hAnsi="Calibri"/>
          <w:b w:val="false"/>
          <w:bCs w:val="false"/>
          <w:color w:val="24313A"/>
          <w:sz w:val="22"/>
          <w:szCs w:val="22"/>
        </w:rPr>
        <w:t xml:space="preserve"> We are as interested in those who said no as in those who said yes.</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Did the reasons for saying no cluster around anything?</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Did anyone say no at first and come round later?</w:t>
      </w:r>
    </w:p>
    <w:p>
      <w:pPr>
        <w:spacing w:after="80" w:before="200"/>
        <w:ind w:left="648" w:hanging="431"/>
      </w:pPr>
      <w:r>
        <w:rPr>
          <w:rFonts w:ascii="Calibri" w:cs="Calibri" w:eastAsia="Calibri" w:hAnsi="Calibri"/>
          <w:b/>
          <w:bCs/>
          <w:color w:val="1F4E46"/>
          <w:sz w:val="22"/>
          <w:szCs w:val="22"/>
        </w:rPr>
        <w:t xml:space="preserve">4.</w:t>
      </w:r>
      <w:r>
        <w:rPr>
          <w:rFonts w:ascii="Calibri" w:cs="Calibri" w:eastAsia="Calibri" w:hAnsi="Calibri"/>
          <w:sz w:val="22"/>
          <w:szCs w:val="22"/>
        </w:rPr>
        <w:t xml:space="preserve">	</w:t>
      </w:r>
      <w:r>
        <w:rPr>
          <w:rFonts w:ascii="Calibri" w:cs="Calibri" w:eastAsia="Calibri" w:hAnsi="Calibri"/>
          <w:b/>
          <w:bCs/>
          <w:color w:val="24313A"/>
          <w:sz w:val="22"/>
          <w:szCs w:val="22"/>
        </w:rPr>
        <w:t xml:space="preserve">Once someone was interested, what happened next, and where did people get stuck?</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The accreditation route for retired teachers changed the same month. Was that designed alongside this, or did it happen to coincide?</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Was the process really changed for these teachers, or was it the same process with someone walking them through it?</w:t>
      </w:r>
    </w:p>
    <w:p>
      <w:pPr>
        <w:spacing w:after="80" w:before="200"/>
        <w:ind w:left="648" w:hanging="431"/>
      </w:pPr>
      <w:r>
        <w:rPr>
          <w:rFonts w:ascii="Calibri" w:cs="Calibri" w:eastAsia="Calibri" w:hAnsi="Calibri"/>
          <w:b/>
          <w:bCs/>
          <w:color w:val="1F4E46"/>
          <w:sz w:val="22"/>
          <w:szCs w:val="22"/>
        </w:rPr>
        <w:t xml:space="preserve">5.</w:t>
      </w:r>
      <w:r>
        <w:rPr>
          <w:rFonts w:ascii="Calibri" w:cs="Calibri" w:eastAsia="Calibri" w:hAnsi="Calibri"/>
          <w:sz w:val="22"/>
          <w:szCs w:val="22"/>
        </w:rPr>
        <w:t xml:space="preserve">	</w:t>
      </w:r>
      <w:r>
        <w:rPr>
          <w:rFonts w:ascii="Calibri" w:cs="Calibri" w:eastAsia="Calibri" w:hAnsi="Calibri"/>
          <w:b/>
          <w:bCs/>
          <w:color w:val="24313A"/>
          <w:sz w:val="22"/>
          <w:szCs w:val="22"/>
        </w:rPr>
        <w:t xml:space="preserve">Who came back, and into what?</w:t>
      </w:r>
      <w:r>
        <w:rPr>
          <w:rFonts w:ascii="Calibri" w:cs="Calibri" w:eastAsia="Calibri" w:hAnsi="Calibri"/>
          <w:b w:val="false"/>
          <w:bCs w:val="false"/>
          <w:color w:val="24313A"/>
          <w:sz w:val="22"/>
          <w:szCs w:val="22"/>
        </w:rPr>
        <w:t xml:space="preserve"> We can see that about six in ten were retirees; we would like to hear about the rest, and about the work they took.</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Casual, temporary, permanent — did the kind of work they wanted match what schools needed?</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Did they go where the shortage was, or where they lived?</w:t>
      </w:r>
    </w:p>
    <w:p>
      <w:pPr>
        <w:spacing w:after="80" w:before="200"/>
        <w:ind w:left="648" w:hanging="431"/>
      </w:pPr>
      <w:r>
        <w:rPr>
          <w:rFonts w:ascii="Calibri" w:cs="Calibri" w:eastAsia="Calibri" w:hAnsi="Calibri"/>
          <w:b/>
          <w:bCs/>
          <w:color w:val="1F4E46"/>
          <w:sz w:val="22"/>
          <w:szCs w:val="22"/>
        </w:rPr>
        <w:t xml:space="preserve">6.</w:t>
      </w:r>
      <w:r>
        <w:rPr>
          <w:rFonts w:ascii="Calibri" w:cs="Calibri" w:eastAsia="Calibri" w:hAnsi="Calibri"/>
          <w:sz w:val="22"/>
          <w:szCs w:val="22"/>
        </w:rPr>
        <w:t xml:space="preserve">	</w:t>
      </w:r>
      <w:r>
        <w:rPr>
          <w:rFonts w:ascii="Calibri" w:cs="Calibri" w:eastAsia="Calibri" w:hAnsi="Calibri"/>
          <w:b/>
          <w:bCs/>
          <w:color w:val="24313A"/>
          <w:sz w:val="22"/>
          <w:szCs w:val="22"/>
        </w:rPr>
        <w:t xml:space="preserve">The Department has said the pay rise and the cut in administrative work helped. From where you sat, how much was the outreach and how much was that everything else had changed?</w:t>
      </w:r>
    </w:p>
    <w:p>
      <w:pPr>
        <w:spacing w:after="80" w:before="200"/>
        <w:ind w:left="648" w:hanging="431"/>
      </w:pPr>
      <w:r>
        <w:rPr>
          <w:rFonts w:ascii="Calibri" w:cs="Calibri" w:eastAsia="Calibri" w:hAnsi="Calibri"/>
          <w:b/>
          <w:bCs/>
          <w:color w:val="1F4E46"/>
          <w:sz w:val="22"/>
          <w:szCs w:val="22"/>
        </w:rPr>
        <w:t xml:space="preserve">7.</w:t>
      </w:r>
      <w:r>
        <w:rPr>
          <w:rFonts w:ascii="Calibri" w:cs="Calibri" w:eastAsia="Calibri" w:hAnsi="Calibri"/>
          <w:sz w:val="22"/>
          <w:szCs w:val="22"/>
        </w:rPr>
        <w:t xml:space="preserve">	</w:t>
      </w:r>
      <w:r>
        <w:rPr>
          <w:rFonts w:ascii="Calibri" w:cs="Calibri" w:eastAsia="Calibri" w:hAnsi="Calibri"/>
          <w:b/>
          <w:bCs/>
          <w:color w:val="24313A"/>
          <w:sz w:val="22"/>
          <w:szCs w:val="22"/>
        </w:rPr>
        <w:t xml:space="preserve">When you think about why teachers leave this system, are the ones who came back the same people, or a different group?</w:t>
      </w:r>
      <w:r>
        <w:rPr>
          <w:rFonts w:ascii="Calibri" w:cs="Calibri" w:eastAsia="Calibri" w:hAnsi="Calibri"/>
          <w:b w:val="false"/>
          <w:bCs w:val="false"/>
          <w:color w:val="24313A"/>
          <w:sz w:val="22"/>
          <w:szCs w:val="22"/>
        </w:rPr>
        <w:t xml:space="preserve"> This is the question our chapter turns on.</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What did returners say about why they had left, and about what had changed for them?</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Is there a kind of leaver this approach does not reach?</w:t>
      </w:r>
    </w:p>
    <w:p>
      <w:pPr>
        <w:spacing w:after="80" w:before="200"/>
        <w:ind w:left="648" w:hanging="431"/>
      </w:pPr>
      <w:r>
        <w:rPr>
          <w:rFonts w:ascii="Calibri" w:cs="Calibri" w:eastAsia="Calibri" w:hAnsi="Calibri"/>
          <w:b/>
          <w:bCs/>
          <w:color w:val="1F4E46"/>
          <w:sz w:val="22"/>
          <w:szCs w:val="22"/>
        </w:rPr>
        <w:t xml:space="preserve">8.</w:t>
      </w:r>
      <w:r>
        <w:rPr>
          <w:rFonts w:ascii="Calibri" w:cs="Calibri" w:eastAsia="Calibri" w:hAnsi="Calibri"/>
          <w:sz w:val="22"/>
          <w:szCs w:val="22"/>
        </w:rPr>
        <w:t xml:space="preserve">	</w:t>
      </w:r>
      <w:r>
        <w:rPr>
          <w:rFonts w:ascii="Calibri" w:cs="Calibri" w:eastAsia="Calibri" w:hAnsi="Calibri"/>
          <w:b/>
          <w:bCs/>
          <w:color w:val="24313A"/>
          <w:sz w:val="22"/>
          <w:szCs w:val="22"/>
        </w:rPr>
        <w:t xml:space="preserve">What happened to them afterwards, and what would you say the initiative taught you?</w:t>
      </w:r>
      <w:r>
        <w:rPr>
          <w:rFonts w:ascii="Calibri" w:cs="Calibri" w:eastAsia="Calibri" w:hAnsi="Calibri"/>
          <w:b w:val="false"/>
          <w:bCs w:val="false"/>
          <w:color w:val="24313A"/>
          <w:sz w:val="22"/>
          <w:szCs w:val="22"/>
        </w:rPr>
        <w:t xml:space="preserve"> We have never seen figures past May 2024.</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Were any of the 145 still teaching a year later? Did any move to permanent posts?</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Was it evaluated, formally or informally, and was it worth the effort?</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Where does it stand now, and what would you do differently?</w:t>
      </w:r>
    </w:p>
    <w:p>
      <w:pPr>
        <w:spacing w:after="80" w:before="200"/>
        <w:ind w:left="648" w:hanging="431"/>
      </w:pPr>
      <w:r>
        <w:rPr>
          <w:rFonts w:ascii="Calibri" w:cs="Calibri" w:eastAsia="Calibri" w:hAnsi="Calibri"/>
          <w:b/>
          <w:bCs/>
          <w:color w:val="1F4E46"/>
          <w:sz w:val="22"/>
          <w:szCs w:val="22"/>
        </w:rPr>
        <w:t xml:space="preserve">9.</w:t>
      </w:r>
      <w:r>
        <w:rPr>
          <w:rFonts w:ascii="Calibri" w:cs="Calibri" w:eastAsia="Calibri" w:hAnsi="Calibri"/>
          <w:sz w:val="22"/>
          <w:szCs w:val="22"/>
        </w:rPr>
        <w:t xml:space="preserve">	</w:t>
      </w:r>
      <w:r>
        <w:rPr>
          <w:rFonts w:ascii="Calibri" w:cs="Calibri" w:eastAsia="Calibri" w:hAnsi="Calibri"/>
          <w:b/>
          <w:bCs/>
          <w:color w:val="24313A"/>
          <w:sz w:val="22"/>
          <w:szCs w:val="22"/>
        </w:rPr>
        <w:t xml:space="preserve">Is there a colleague, in the Department or at the standards authority, who was close to this and could speak to the experience and the results?</w:t>
      </w:r>
      <w:r>
        <w:rPr>
          <w:rFonts w:ascii="Calibri" w:cs="Calibri" w:eastAsia="Calibri" w:hAnsi="Calibri"/>
          <w:b w:val="false"/>
          <w:bCs w:val="false"/>
          <w:color w:val="24313A"/>
          <w:sz w:val="22"/>
          <w:szCs w:val="22"/>
        </w:rPr>
        <w:t xml:space="preserve"> We would be very grateful for an introduction.</w:t>
      </w:r>
    </w:p>
    <w:p>
      <w:r>
        <w:br w:type="page"/>
      </w:r>
    </w:p>
    <w:p>
      <w:pPr>
        <w:pStyle w:val="Heading1"/>
        <w:spacing w:after="60" w:before="240"/>
      </w:pPr>
      <w:bookmarkStart w:name="sec3" w:id="1"/>
      <w:r>
        <w:rPr>
          <w:rFonts w:ascii="Cambria" w:cs="Cambria" w:eastAsia="Cambria" w:hAnsi="Cambria"/>
          <w:b/>
          <w:bCs/>
          <w:color w:val="1F4E46"/>
          <w:sz w:val="36"/>
          <w:szCs w:val="36"/>
        </w:rPr>
        <w:t xml:space="preserve">Australia — Victoria</w:t>
      </w:r>
      <w:bookmarkEnd w:id="1"/>
    </w:p>
    <w:p>
      <w:pPr>
        <w:pBdr>
          <w:bottom w:val="single" w:color="CFDCD5" w:sz="6" w:space="6"/>
        </w:pBdr>
        <w:spacing w:after="240" w:before="0"/>
      </w:pPr>
      <w:r>
        <w:rPr>
          <w:rFonts w:ascii="Calibri" w:cs="Calibri" w:eastAsia="Calibri" w:hAnsi="Calibri"/>
          <w:color w:val="B3542E"/>
          <w:sz w:val="24"/>
          <w:szCs w:val="24"/>
        </w:rPr>
        <w:t xml:space="preserve">Teacher Re-Engagement Initiative (TREI), Department of Education (since late 2022)</w:t>
      </w:r>
    </w:p>
    <w:p>
      <w:pPr>
        <w:shd w:fill="F1F6F3" w:val="clear"/>
        <w:spacing w:after="120" w:before="120"/>
        <w:ind w:left="215" w:right="215"/>
      </w:pPr>
      <w:r>
        <w:rPr>
          <w:rFonts w:ascii="Calibri" w:cs="Calibri" w:eastAsia="Calibri" w:hAnsi="Calibri"/>
          <w:b/>
          <w:bCs/>
          <w:color w:val="24313A"/>
          <w:sz w:val="21"/>
          <w:szCs w:val="21"/>
        </w:rPr>
        <w:t xml:space="preserve">Who to ask for:</w:t>
      </w:r>
      <w:r>
        <w:rPr>
          <w:rFonts w:ascii="Calibri" w:cs="Calibri" w:eastAsia="Calibri" w:hAnsi="Calibri"/>
          <w:b w:val="false"/>
          <w:bCs w:val="false"/>
          <w:color w:val="24313A"/>
          <w:sz w:val="21"/>
          <w:szCs w:val="21"/>
        </w:rPr>
        <w:t xml:space="preserve"> the re-engagement team in the Department of Education, in the area responsible for attracting teachers to government schools.</w:t>
      </w:r>
    </w:p>
    <w:p>
      <w:pPr>
        <w:shd w:fill="F1F6F3" w:val="clear"/>
        <w:spacing w:after="120" w:before="120"/>
        <w:ind w:left="215" w:right="215"/>
      </w:pPr>
      <w:r>
        <w:rPr>
          <w:rFonts w:ascii="Calibri" w:cs="Calibri" w:eastAsia="Calibri" w:hAnsi="Calibri"/>
          <w:b/>
          <w:bCs/>
          <w:color w:val="24313A"/>
          <w:sz w:val="21"/>
          <w:szCs w:val="21"/>
        </w:rPr>
        <w:t xml:space="preserve">What we already know, so we do not ask it.</w:t>
      </w:r>
      <w:r>
        <w:rPr>
          <w:rFonts w:ascii="Calibri" w:cs="Calibri" w:eastAsia="Calibri" w:hAnsi="Calibri"/>
          <w:b w:val="false"/>
          <w:bCs w:val="false"/>
          <w:color w:val="24313A"/>
          <w:sz w:val="21"/>
          <w:szCs w:val="21"/>
        </w:rPr>
        <w:t xml:space="preserve"> The initiative began in late 2022 as a call for expressions of interest, which more than 1,100 teachers answered, and the money followed: the 2023/24 State Budget put 12 million dollars into paid placements of up to forty days in government schools, with placements to be completed by June 2025. A teacher who has been away from a fixed-term or ongoing role for a year or more registers, the team calls them, coaching is offered on applications and the current curriculum, and a placement is arranged with a serving teacher alongside; those returning from a career break or retirement receive an honorarium of up to 12,000 dollars. Teachers returning from more than two years of parental absence are on a different footing: a temporary resumption of duty on their own salary. As far as we can tell from the current departmental pages, the placement is now described as school-funded, at 330 dollars a day. No figure has been published on placements made or on how many went on to a post.</w:t>
      </w:r>
    </w:p>
    <w:p>
      <w:pPr>
        <w:spacing w:after="80" w:before="200"/>
        <w:ind w:left="648" w:hanging="431"/>
      </w:pPr>
      <w:r>
        <w:rPr>
          <w:rFonts w:ascii="Calibri" w:cs="Calibri" w:eastAsia="Calibri" w:hAnsi="Calibri"/>
          <w:b/>
          <w:bCs/>
          <w:color w:val="1F4E46"/>
          <w:sz w:val="22"/>
          <w:szCs w:val="22"/>
        </w:rPr>
        <w:t xml:space="preserve">1.</w:t>
      </w:r>
      <w:r>
        <w:rPr>
          <w:rFonts w:ascii="Calibri" w:cs="Calibri" w:eastAsia="Calibri" w:hAnsi="Calibri"/>
          <w:sz w:val="22"/>
          <w:szCs w:val="22"/>
        </w:rPr>
        <w:t xml:space="preserve">	</w:t>
      </w:r>
      <w:r>
        <w:rPr>
          <w:rFonts w:ascii="Calibri" w:cs="Calibri" w:eastAsia="Calibri" w:hAnsi="Calibri"/>
          <w:b/>
          <w:bCs/>
          <w:color w:val="24313A"/>
          <w:sz w:val="22"/>
          <w:szCs w:val="22"/>
        </w:rPr>
        <w:t xml:space="preserve">How did the idea come about?</w:t>
      </w:r>
      <w:r>
        <w:rPr>
          <w:rFonts w:ascii="Calibri" w:cs="Calibri" w:eastAsia="Calibri" w:hAnsi="Calibri"/>
          <w:b w:val="false"/>
          <w:bCs w:val="false"/>
          <w:color w:val="24313A"/>
          <w:sz w:val="22"/>
          <w:szCs w:val="22"/>
        </w:rPr>
        <w:t xml:space="preserve"> We understand the expressions of interest came first and the budget afterwards, which is the reverse of the usual order.</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What was the thinking in paying someone to try the classroom before they decide, rather than asking them to decide first?</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What else was on the table at the time?</w:t>
      </w:r>
    </w:p>
    <w:p>
      <w:pPr>
        <w:spacing w:after="80" w:before="200"/>
        <w:ind w:left="648" w:hanging="431"/>
      </w:pPr>
      <w:r>
        <w:rPr>
          <w:rFonts w:ascii="Calibri" w:cs="Calibri" w:eastAsia="Calibri" w:hAnsi="Calibri"/>
          <w:b/>
          <w:bCs/>
          <w:color w:val="1F4E46"/>
          <w:sz w:val="22"/>
          <w:szCs w:val="22"/>
        </w:rPr>
        <w:t xml:space="preserve">2.</w:t>
      </w:r>
      <w:r>
        <w:rPr>
          <w:rFonts w:ascii="Calibri" w:cs="Calibri" w:eastAsia="Calibri" w:hAnsi="Calibri"/>
          <w:sz w:val="22"/>
          <w:szCs w:val="22"/>
        </w:rPr>
        <w:t xml:space="preserve">	</w:t>
      </w:r>
      <w:r>
        <w:rPr>
          <w:rFonts w:ascii="Calibri" w:cs="Calibri" w:eastAsia="Calibri" w:hAnsi="Calibri"/>
          <w:b/>
          <w:bCs/>
          <w:color w:val="24313A"/>
          <w:sz w:val="22"/>
          <w:szCs w:val="22"/>
        </w:rPr>
        <w:t xml:space="preserve">Could you walk us through what happens from the moment a teacher registers to the moment they walk into a school?</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What does the call from the team actually cover?</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How are teachers and schools matched, and what happens to someone who cannot be placed?</w:t>
      </w:r>
    </w:p>
    <w:p>
      <w:pPr>
        <w:spacing w:after="80" w:before="200"/>
        <w:ind w:left="648" w:hanging="431"/>
      </w:pPr>
      <w:r>
        <w:rPr>
          <w:rFonts w:ascii="Calibri" w:cs="Calibri" w:eastAsia="Calibri" w:hAnsi="Calibri"/>
          <w:b/>
          <w:bCs/>
          <w:color w:val="1F4E46"/>
          <w:sz w:val="22"/>
          <w:szCs w:val="22"/>
        </w:rPr>
        <w:t xml:space="preserve">3.</w:t>
      </w:r>
      <w:r>
        <w:rPr>
          <w:rFonts w:ascii="Calibri" w:cs="Calibri" w:eastAsia="Calibri" w:hAnsi="Calibri"/>
          <w:sz w:val="22"/>
          <w:szCs w:val="22"/>
        </w:rPr>
        <w:t xml:space="preserve">	</w:t>
      </w:r>
      <w:r>
        <w:rPr>
          <w:rFonts w:ascii="Calibri" w:cs="Calibri" w:eastAsia="Calibri" w:hAnsi="Calibri"/>
          <w:b/>
          <w:bCs/>
          <w:color w:val="24313A"/>
          <w:sz w:val="22"/>
          <w:szCs w:val="22"/>
        </w:rPr>
        <w:t xml:space="preserve">What does a school take on when it hosts a returner, and what does it get out of it?</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What does the serving teacher alongside them actually do, and how is that found inside the timetable?</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Is the forty days a fixed shape, or does it become something different for each person?</w:t>
      </w:r>
    </w:p>
    <w:p>
      <w:pPr>
        <w:spacing w:after="80" w:before="200"/>
        <w:ind w:left="648" w:hanging="431"/>
      </w:pPr>
      <w:r>
        <w:rPr>
          <w:rFonts w:ascii="Calibri" w:cs="Calibri" w:eastAsia="Calibri" w:hAnsi="Calibri"/>
          <w:b/>
          <w:bCs/>
          <w:color w:val="1F4E46"/>
          <w:sz w:val="22"/>
          <w:szCs w:val="22"/>
        </w:rPr>
        <w:t xml:space="preserve">4.</w:t>
      </w:r>
      <w:r>
        <w:rPr>
          <w:rFonts w:ascii="Calibri" w:cs="Calibri" w:eastAsia="Calibri" w:hAnsi="Calibri"/>
          <w:sz w:val="22"/>
          <w:szCs w:val="22"/>
        </w:rPr>
        <w:t xml:space="preserve">	</w:t>
      </w:r>
      <w:r>
        <w:rPr>
          <w:rFonts w:ascii="Calibri" w:cs="Calibri" w:eastAsia="Calibri" w:hAnsi="Calibri"/>
          <w:b/>
          <w:bCs/>
          <w:color w:val="24313A"/>
          <w:sz w:val="22"/>
          <w:szCs w:val="22"/>
        </w:rPr>
        <w:t xml:space="preserve">We noticed the placement is now described as funded by the school rather than centrally. Is that right, and if so, how did it come about?</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What changed in schools' willingness to host once they were paying?</w:t>
      </w:r>
    </w:p>
    <w:p>
      <w:pPr>
        <w:spacing w:after="80" w:before="200"/>
        <w:ind w:left="648" w:hanging="431"/>
      </w:pPr>
      <w:r>
        <w:rPr>
          <w:rFonts w:ascii="Calibri" w:cs="Calibri" w:eastAsia="Calibri" w:hAnsi="Calibri"/>
          <w:b/>
          <w:bCs/>
          <w:color w:val="1F4E46"/>
          <w:sz w:val="22"/>
          <w:szCs w:val="22"/>
        </w:rPr>
        <w:t xml:space="preserve">5.</w:t>
      </w:r>
      <w:r>
        <w:rPr>
          <w:rFonts w:ascii="Calibri" w:cs="Calibri" w:eastAsia="Calibri" w:hAnsi="Calibri"/>
          <w:sz w:val="22"/>
          <w:szCs w:val="22"/>
        </w:rPr>
        <w:t xml:space="preserve">	</w:t>
      </w:r>
      <w:r>
        <w:rPr>
          <w:rFonts w:ascii="Calibri" w:cs="Calibri" w:eastAsia="Calibri" w:hAnsi="Calibri"/>
          <w:b/>
          <w:bCs/>
          <w:color w:val="24313A"/>
          <w:sz w:val="22"/>
          <w:szCs w:val="22"/>
        </w:rPr>
        <w:t xml:space="preserve">Who came forward?</w:t>
      </w:r>
      <w:r>
        <w:rPr>
          <w:rFonts w:ascii="Calibri" w:cs="Calibri" w:eastAsia="Calibri" w:hAnsi="Calibri"/>
          <w:b w:val="false"/>
          <w:bCs w:val="false"/>
          <w:color w:val="24313A"/>
          <w:sz w:val="22"/>
          <w:szCs w:val="22"/>
        </w:rPr>
        <w:t xml:space="preserve"> Was it the people you expected?</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Of the things on offer — the paid days, the coaching, the mentor, the way back into a school — which one do people actually come for?</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Teachers returning from parental leave are treated differently from retirees and career-break returners. How did that come about, and does it work?</w:t>
      </w:r>
    </w:p>
    <w:p>
      <w:pPr>
        <w:spacing w:after="80" w:before="200"/>
        <w:ind w:left="648" w:hanging="431"/>
      </w:pPr>
      <w:r>
        <w:rPr>
          <w:rFonts w:ascii="Calibri" w:cs="Calibri" w:eastAsia="Calibri" w:hAnsi="Calibri"/>
          <w:b/>
          <w:bCs/>
          <w:color w:val="1F4E46"/>
          <w:sz w:val="22"/>
          <w:szCs w:val="22"/>
        </w:rPr>
        <w:t xml:space="preserve">6.</w:t>
      </w:r>
      <w:r>
        <w:rPr>
          <w:rFonts w:ascii="Calibri" w:cs="Calibri" w:eastAsia="Calibri" w:hAnsi="Calibri"/>
          <w:sz w:val="22"/>
          <w:szCs w:val="22"/>
        </w:rPr>
        <w:t xml:space="preserve">	</w:t>
      </w:r>
      <w:r>
        <w:rPr>
          <w:rFonts w:ascii="Calibri" w:cs="Calibri" w:eastAsia="Calibri" w:hAnsi="Calibri"/>
          <w:b/>
          <w:bCs/>
          <w:color w:val="24313A"/>
          <w:sz w:val="22"/>
          <w:szCs w:val="22"/>
        </w:rPr>
        <w:t xml:space="preserve">When you think about why teachers leave Victorian schools, are the ones who came back the same people, or a different group?</w:t>
      </w:r>
      <w:r>
        <w:rPr>
          <w:rFonts w:ascii="Calibri" w:cs="Calibri" w:eastAsia="Calibri" w:hAnsi="Calibri"/>
          <w:b w:val="false"/>
          <w:bCs w:val="false"/>
          <w:color w:val="24313A"/>
          <w:sz w:val="22"/>
          <w:szCs w:val="22"/>
        </w:rPr>
        <w:t xml:space="preserve"> This is the question our chapter turns on.</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What did they tell you about why they had left, and what worried them most about coming back?</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Does a paid re-entry reach the teacher who left because of the job itself?</w:t>
      </w:r>
    </w:p>
    <w:p>
      <w:pPr>
        <w:spacing w:after="80" w:before="200"/>
        <w:ind w:left="648" w:hanging="431"/>
      </w:pPr>
      <w:r>
        <w:rPr>
          <w:rFonts w:ascii="Calibri" w:cs="Calibri" w:eastAsia="Calibri" w:hAnsi="Calibri"/>
          <w:b/>
          <w:bCs/>
          <w:color w:val="1F4E46"/>
          <w:sz w:val="22"/>
          <w:szCs w:val="22"/>
        </w:rPr>
        <w:t xml:space="preserve">7.</w:t>
      </w:r>
      <w:r>
        <w:rPr>
          <w:rFonts w:ascii="Calibri" w:cs="Calibri" w:eastAsia="Calibri" w:hAnsi="Calibri"/>
          <w:sz w:val="22"/>
          <w:szCs w:val="22"/>
        </w:rPr>
        <w:t xml:space="preserve">	</w:t>
      </w:r>
      <w:r>
        <w:rPr>
          <w:rFonts w:ascii="Calibri" w:cs="Calibri" w:eastAsia="Calibri" w:hAnsi="Calibri"/>
          <w:b/>
          <w:bCs/>
          <w:color w:val="24313A"/>
          <w:sz w:val="22"/>
          <w:szCs w:val="22"/>
        </w:rPr>
        <w:t xml:space="preserve">What happened after the placements?</w:t>
      </w:r>
      <w:r>
        <w:rPr>
          <w:rFonts w:ascii="Calibri" w:cs="Calibri" w:eastAsia="Calibri" w:hAnsi="Calibri"/>
          <w:b w:val="false"/>
          <w:bCs w:val="false"/>
          <w:color w:val="24313A"/>
          <w:sz w:val="22"/>
          <w:szCs w:val="22"/>
        </w:rPr>
        <w:t xml:space="preserve"> We have not seen a figure anywhere.</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Who took a post, who did not, and what became of those who decided the classroom was not for them after all?</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Has any of it been evaluated, and what did the cost look like against what it produced?</w:t>
      </w:r>
    </w:p>
    <w:p>
      <w:pPr>
        <w:spacing w:after="80" w:before="200"/>
        <w:ind w:left="648" w:hanging="431"/>
      </w:pPr>
      <w:r>
        <w:rPr>
          <w:rFonts w:ascii="Calibri" w:cs="Calibri" w:eastAsia="Calibri" w:hAnsi="Calibri"/>
          <w:b/>
          <w:bCs/>
          <w:color w:val="1F4E46"/>
          <w:sz w:val="22"/>
          <w:szCs w:val="22"/>
        </w:rPr>
        <w:t xml:space="preserve">8.</w:t>
      </w:r>
      <w:r>
        <w:rPr>
          <w:rFonts w:ascii="Calibri" w:cs="Calibri" w:eastAsia="Calibri" w:hAnsi="Calibri"/>
          <w:sz w:val="22"/>
          <w:szCs w:val="22"/>
        </w:rPr>
        <w:t xml:space="preserve">	</w:t>
      </w:r>
      <w:r>
        <w:rPr>
          <w:rFonts w:ascii="Calibri" w:cs="Calibri" w:eastAsia="Calibri" w:hAnsi="Calibri"/>
          <w:b/>
          <w:bCs/>
          <w:color w:val="24313A"/>
          <w:sz w:val="22"/>
          <w:szCs w:val="22"/>
        </w:rPr>
        <w:t xml:space="preserve">Where does the initiative stand now, and what would you change if you were designing it again?</w:t>
      </w:r>
    </w:p>
    <w:p>
      <w:pPr>
        <w:spacing w:after="80" w:before="200"/>
        <w:ind w:left="648" w:hanging="431"/>
      </w:pPr>
      <w:r>
        <w:rPr>
          <w:rFonts w:ascii="Calibri" w:cs="Calibri" w:eastAsia="Calibri" w:hAnsi="Calibri"/>
          <w:b/>
          <w:bCs/>
          <w:color w:val="1F4E46"/>
          <w:sz w:val="22"/>
          <w:szCs w:val="22"/>
        </w:rPr>
        <w:t xml:space="preserve">9.</w:t>
      </w:r>
      <w:r>
        <w:rPr>
          <w:rFonts w:ascii="Calibri" w:cs="Calibri" w:eastAsia="Calibri" w:hAnsi="Calibri"/>
          <w:sz w:val="22"/>
          <w:szCs w:val="22"/>
        </w:rPr>
        <w:t xml:space="preserve">	</w:t>
      </w:r>
      <w:r>
        <w:rPr>
          <w:rFonts w:ascii="Calibri" w:cs="Calibri" w:eastAsia="Calibri" w:hAnsi="Calibri"/>
          <w:b/>
          <w:bCs/>
          <w:color w:val="24313A"/>
          <w:sz w:val="22"/>
          <w:szCs w:val="22"/>
        </w:rPr>
        <w:t xml:space="preserve">Is there a colleague who has run this closely and could speak to the experience and the results?</w:t>
      </w:r>
      <w:r>
        <w:rPr>
          <w:rFonts w:ascii="Calibri" w:cs="Calibri" w:eastAsia="Calibri" w:hAnsi="Calibri"/>
          <w:b w:val="false"/>
          <w:bCs w:val="false"/>
          <w:color w:val="24313A"/>
          <w:sz w:val="22"/>
          <w:szCs w:val="22"/>
        </w:rPr>
        <w:t xml:space="preserve"> We would be very grateful for an introduction.</w:t>
      </w:r>
    </w:p>
    <w:p>
      <w:r>
        <w:br w:type="page"/>
      </w:r>
    </w:p>
    <w:p>
      <w:pPr>
        <w:pStyle w:val="Heading1"/>
        <w:spacing w:after="60" w:before="240"/>
      </w:pPr>
      <w:bookmarkStart w:name="sec4" w:id="1"/>
      <w:r>
        <w:rPr>
          <w:rFonts w:ascii="Cambria" w:cs="Cambria" w:eastAsia="Cambria" w:hAnsi="Cambria"/>
          <w:b/>
          <w:bCs/>
          <w:color w:val="1F4E46"/>
          <w:sz w:val="36"/>
          <w:szCs w:val="36"/>
        </w:rPr>
        <w:t xml:space="preserve">Canada — Quebec</w:t>
      </w:r>
      <w:bookmarkEnd w:id="1"/>
    </w:p>
    <w:p>
      <w:pPr>
        <w:pBdr>
          <w:bottom w:val="single" w:color="CFDCD5" w:sz="6" w:space="6"/>
        </w:pBdr>
        <w:spacing w:after="240" w:before="0"/>
      </w:pPr>
      <w:r>
        <w:rPr>
          <w:rFonts w:ascii="Calibri" w:cs="Calibri" w:eastAsia="Calibri" w:hAnsi="Calibri"/>
          <w:color w:val="B3542E"/>
          <w:sz w:val="24"/>
          <w:szCs w:val="24"/>
        </w:rPr>
        <w:t xml:space="preserve">Financial incentives for the return of retired teachers, measure 15178 of the operating budget rules (since September 2020)</w:t>
      </w:r>
    </w:p>
    <w:p>
      <w:pPr>
        <w:shd w:fill="F1F6F3" w:val="clear"/>
        <w:spacing w:after="120" w:before="120"/>
        <w:ind w:left="215" w:right="215"/>
      </w:pPr>
      <w:r>
        <w:rPr>
          <w:rFonts w:ascii="Calibri" w:cs="Calibri" w:eastAsia="Calibri" w:hAnsi="Calibri"/>
          <w:b/>
          <w:bCs/>
          <w:color w:val="24313A"/>
          <w:sz w:val="21"/>
          <w:szCs w:val="21"/>
        </w:rPr>
        <w:t xml:space="preserve">Who to ask for:</w:t>
      </w:r>
      <w:r>
        <w:rPr>
          <w:rFonts w:ascii="Calibri" w:cs="Calibri" w:eastAsia="Calibri" w:hAnsi="Calibri"/>
          <w:b w:val="false"/>
          <w:bCs w:val="false"/>
          <w:color w:val="24313A"/>
          <w:sz w:val="21"/>
          <w:szCs w:val="21"/>
        </w:rPr>
        <w:t xml:space="preserve"> the direction of the Ministère de l'Éducation responsible for teaching staff and for the operating budget rules of the centres de services scolaires.</w:t>
      </w:r>
    </w:p>
    <w:p>
      <w:pPr>
        <w:shd w:fill="F1F6F3" w:val="clear"/>
        <w:spacing w:after="120" w:before="120"/>
        <w:ind w:left="215" w:right="215"/>
      </w:pPr>
      <w:r>
        <w:rPr>
          <w:rFonts w:ascii="Calibri" w:cs="Calibri" w:eastAsia="Calibri" w:hAnsi="Calibri"/>
          <w:b/>
          <w:bCs/>
          <w:color w:val="24313A"/>
          <w:sz w:val="21"/>
          <w:szCs w:val="21"/>
        </w:rPr>
        <w:t xml:space="preserve">What we already know, so we do not ask it.</w:t>
      </w:r>
      <w:r>
        <w:rPr>
          <w:rFonts w:ascii="Calibri" w:cs="Calibri" w:eastAsia="Calibri" w:hAnsi="Calibri"/>
          <w:b w:val="false"/>
          <w:bCs w:val="false"/>
          <w:color w:val="24313A"/>
          <w:sz w:val="21"/>
          <w:szCs w:val="21"/>
        </w:rPr>
        <w:t xml:space="preserve"> The measure was announced on 21 September 2020 as a pandemic response and sits in the Règles budgétaires de fonctionnement of the school service centres, where it now appears as measure 15178 in several volets. A retired teacher doing supply work is paid from the first day at the salary step and experience held at retirement, where the ordinary rules grant that step only after twenty days, and the pension continues because the retiree may elect not to rejoin the pension plan. It was at first limited to teachers who had retired since July 2015; a ministerial act effective in late January 2022 removed that condition and the measure was announced as permanent the same month. It rests on an agreement outside the collective agreement, between the employers' negotiating committee and the teaching unions, renewed on a school-year cycle. The minister has written personally to retired teachers twice, in June 2023 and August 2025. The ministry's figure for 2024-25 is more than 5,000 retirees back in schools; the press has since reported that some school service centres place retirees last on the supply list because they cost more.</w:t>
      </w:r>
    </w:p>
    <w:p>
      <w:pPr>
        <w:spacing w:after="80" w:before="200"/>
        <w:ind w:left="648" w:hanging="431"/>
      </w:pPr>
      <w:r>
        <w:rPr>
          <w:rFonts w:ascii="Calibri" w:cs="Calibri" w:eastAsia="Calibri" w:hAnsi="Calibri"/>
          <w:b/>
          <w:bCs/>
          <w:color w:val="1F4E46"/>
          <w:sz w:val="22"/>
          <w:szCs w:val="22"/>
        </w:rPr>
        <w:t xml:space="preserve">1.</w:t>
      </w:r>
      <w:r>
        <w:rPr>
          <w:rFonts w:ascii="Calibri" w:cs="Calibri" w:eastAsia="Calibri" w:hAnsi="Calibri"/>
          <w:sz w:val="22"/>
          <w:szCs w:val="22"/>
        </w:rPr>
        <w:t xml:space="preserve">	</w:t>
      </w:r>
      <w:r>
        <w:rPr>
          <w:rFonts w:ascii="Calibri" w:cs="Calibri" w:eastAsia="Calibri" w:hAnsi="Calibri"/>
          <w:b/>
          <w:bCs/>
          <w:color w:val="24313A"/>
          <w:sz w:val="22"/>
          <w:szCs w:val="22"/>
        </w:rPr>
        <w:t xml:space="preserve">Could you tell us how this came about in 2020?</w:t>
      </w:r>
      <w:r>
        <w:rPr>
          <w:rFonts w:ascii="Calibri" w:cs="Calibri" w:eastAsia="Calibri" w:hAnsi="Calibri"/>
          <w:b w:val="false"/>
          <w:bCs w:val="false"/>
          <w:color w:val="24313A"/>
          <w:sz w:val="22"/>
          <w:szCs w:val="22"/>
        </w:rPr>
        <w:t xml:space="preserve"> We are interested in why a pay rule was chosen, rather than a programme, a campaign or a change to the pension rules.</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Who had to agree before it could exist, and what was the hardest part of that conversation?</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Was there a reason it went into the budget rules rather than into the collective agreement?</w:t>
      </w:r>
    </w:p>
    <w:p>
      <w:pPr>
        <w:spacing w:after="80" w:before="200"/>
        <w:ind w:left="648" w:hanging="431"/>
      </w:pPr>
      <w:r>
        <w:rPr>
          <w:rFonts w:ascii="Calibri" w:cs="Calibri" w:eastAsia="Calibri" w:hAnsi="Calibri"/>
          <w:b/>
          <w:bCs/>
          <w:color w:val="1F4E46"/>
          <w:sz w:val="22"/>
          <w:szCs w:val="22"/>
        </w:rPr>
        <w:t xml:space="preserve">2.</w:t>
      </w:r>
      <w:r>
        <w:rPr>
          <w:rFonts w:ascii="Calibri" w:cs="Calibri" w:eastAsia="Calibri" w:hAnsi="Calibri"/>
          <w:sz w:val="22"/>
          <w:szCs w:val="22"/>
        </w:rPr>
        <w:t xml:space="preserve">	</w:t>
      </w:r>
      <w:r>
        <w:rPr>
          <w:rFonts w:ascii="Calibri" w:cs="Calibri" w:eastAsia="Calibri" w:hAnsi="Calibri"/>
          <w:b/>
          <w:bCs/>
          <w:color w:val="24313A"/>
          <w:sz w:val="22"/>
          <w:szCs w:val="22"/>
        </w:rPr>
        <w:t xml:space="preserve">The measure is permanent on the budget side, but the agreement that carries it is renewed each year with the unions. How does that work in practice?</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What gets renegotiated, and what has changed from one year to the next?</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What will decide whether it is renewed again?</w:t>
      </w:r>
    </w:p>
    <w:p>
      <w:pPr>
        <w:spacing w:after="80" w:before="200"/>
        <w:ind w:left="648" w:hanging="431"/>
      </w:pPr>
      <w:r>
        <w:rPr>
          <w:rFonts w:ascii="Calibri" w:cs="Calibri" w:eastAsia="Calibri" w:hAnsi="Calibri"/>
          <w:b/>
          <w:bCs/>
          <w:color w:val="1F4E46"/>
          <w:sz w:val="22"/>
          <w:szCs w:val="22"/>
        </w:rPr>
        <w:t xml:space="preserve">3.</w:t>
      </w:r>
      <w:r>
        <w:rPr>
          <w:rFonts w:ascii="Calibri" w:cs="Calibri" w:eastAsia="Calibri" w:hAnsi="Calibri"/>
          <w:sz w:val="22"/>
          <w:szCs w:val="22"/>
        </w:rPr>
        <w:t xml:space="preserve">	</w:t>
      </w:r>
      <w:r>
        <w:rPr>
          <w:rFonts w:ascii="Calibri" w:cs="Calibri" w:eastAsia="Calibri" w:hAnsi="Calibri"/>
          <w:b/>
          <w:bCs/>
          <w:color w:val="24313A"/>
          <w:sz w:val="22"/>
          <w:szCs w:val="22"/>
        </w:rPr>
        <w:t xml:space="preserve">What does the measure look like from the school service centre's side?</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How do they draw on it, and what do they have to show?</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We have read that some centres call retirees last because they cost more. Is that something you recognise, and is the premium borne centrally or by the school?</w:t>
      </w:r>
    </w:p>
    <w:p>
      <w:pPr>
        <w:spacing w:after="80" w:before="200"/>
        <w:ind w:left="648" w:hanging="431"/>
      </w:pPr>
      <w:r>
        <w:rPr>
          <w:rFonts w:ascii="Calibri" w:cs="Calibri" w:eastAsia="Calibri" w:hAnsi="Calibri"/>
          <w:b/>
          <w:bCs/>
          <w:color w:val="1F4E46"/>
          <w:sz w:val="22"/>
          <w:szCs w:val="22"/>
        </w:rPr>
        <w:t xml:space="preserve">4.</w:t>
      </w:r>
      <w:r>
        <w:rPr>
          <w:rFonts w:ascii="Calibri" w:cs="Calibri" w:eastAsia="Calibri" w:hAnsi="Calibri"/>
          <w:sz w:val="22"/>
          <w:szCs w:val="22"/>
        </w:rPr>
        <w:t xml:space="preserve">	</w:t>
      </w:r>
      <w:r>
        <w:rPr>
          <w:rFonts w:ascii="Calibri" w:cs="Calibri" w:eastAsia="Calibri" w:hAnsi="Calibri"/>
          <w:b/>
          <w:bCs/>
          <w:color w:val="24313A"/>
          <w:sz w:val="22"/>
          <w:szCs w:val="22"/>
        </w:rPr>
        <w:t xml:space="preserve">Who comes back, and to do what?</w:t>
      </w:r>
      <w:r>
        <w:rPr>
          <w:rFonts w:ascii="Calibri" w:cs="Calibri" w:eastAsia="Calibri" w:hAnsi="Calibri"/>
          <w:b w:val="false"/>
          <w:bCs w:val="false"/>
          <w:color w:val="24313A"/>
          <w:sz w:val="22"/>
          <w:szCs w:val="22"/>
        </w:rPr>
        <w:t xml:space="preserve"> We would like to hear what kind of retired teacher takes this up, how long after retiring, and whether they do supply days, contracts or something else.</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Which do retirees actually take up — occasional supply, or the contract with its own incentive?</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Is the choice not to rejoin the pension plan explained to them, or something they have to find out?</w:t>
      </w:r>
    </w:p>
    <w:p>
      <w:pPr>
        <w:spacing w:after="80" w:before="200"/>
        <w:ind w:left="648" w:hanging="431"/>
      </w:pPr>
      <w:r>
        <w:rPr>
          <w:rFonts w:ascii="Calibri" w:cs="Calibri" w:eastAsia="Calibri" w:hAnsi="Calibri"/>
          <w:b/>
          <w:bCs/>
          <w:color w:val="1F4E46"/>
          <w:sz w:val="22"/>
          <w:szCs w:val="22"/>
        </w:rPr>
        <w:t xml:space="preserve">5.</w:t>
      </w:r>
      <w:r>
        <w:rPr>
          <w:rFonts w:ascii="Calibri" w:cs="Calibri" w:eastAsia="Calibri" w:hAnsi="Calibri"/>
          <w:sz w:val="22"/>
          <w:szCs w:val="22"/>
        </w:rPr>
        <w:t xml:space="preserve">	</w:t>
      </w:r>
      <w:r>
        <w:rPr>
          <w:rFonts w:ascii="Calibri" w:cs="Calibri" w:eastAsia="Calibri" w:hAnsi="Calibri"/>
          <w:b/>
          <w:bCs/>
          <w:color w:val="24313A"/>
          <w:sz w:val="22"/>
          <w:szCs w:val="22"/>
        </w:rPr>
        <w:t xml:space="preserve">The minister has written to retired teachers twice. What came of those letters, and what do they tell you about what moves this group?</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What do retirees say when they say no?</w:t>
      </w:r>
    </w:p>
    <w:p>
      <w:pPr>
        <w:spacing w:after="80" w:before="200"/>
        <w:ind w:left="648" w:hanging="431"/>
      </w:pPr>
      <w:r>
        <w:rPr>
          <w:rFonts w:ascii="Calibri" w:cs="Calibri" w:eastAsia="Calibri" w:hAnsi="Calibri"/>
          <w:b/>
          <w:bCs/>
          <w:color w:val="1F4E46"/>
          <w:sz w:val="22"/>
          <w:szCs w:val="22"/>
        </w:rPr>
        <w:t xml:space="preserve">6.</w:t>
      </w:r>
      <w:r>
        <w:rPr>
          <w:rFonts w:ascii="Calibri" w:cs="Calibri" w:eastAsia="Calibri" w:hAnsi="Calibri"/>
          <w:sz w:val="22"/>
          <w:szCs w:val="22"/>
        </w:rPr>
        <w:t xml:space="preserve">	</w:t>
      </w:r>
      <w:r>
        <w:rPr>
          <w:rFonts w:ascii="Calibri" w:cs="Calibri" w:eastAsia="Calibri" w:hAnsi="Calibri"/>
          <w:b/>
          <w:bCs/>
          <w:color w:val="24313A"/>
          <w:sz w:val="22"/>
          <w:szCs w:val="22"/>
        </w:rPr>
        <w:t xml:space="preserve">When you think about why teachers leave Quebec's schools, are the retirees who come back covering for the same problem, or a different one?</w:t>
      </w:r>
      <w:r>
        <w:rPr>
          <w:rFonts w:ascii="Calibri" w:cs="Calibri" w:eastAsia="Calibri" w:hAnsi="Calibri"/>
          <w:b w:val="false"/>
          <w:bCs w:val="false"/>
          <w:color w:val="24313A"/>
          <w:sz w:val="22"/>
          <w:szCs w:val="22"/>
        </w:rPr>
        <w:t xml:space="preserve"> This is the question our chapter turns on.</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Has the measure changed how schools cover absences, and has it changed anything about the number of classrooms without a qualified teacher?</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Does it reach the teacher who left mid-career, or only the one who retired?</w:t>
      </w:r>
    </w:p>
    <w:p>
      <w:pPr>
        <w:spacing w:after="80" w:before="200"/>
        <w:ind w:left="648" w:hanging="431"/>
      </w:pPr>
      <w:r>
        <w:rPr>
          <w:rFonts w:ascii="Calibri" w:cs="Calibri" w:eastAsia="Calibri" w:hAnsi="Calibri"/>
          <w:b/>
          <w:bCs/>
          <w:color w:val="1F4E46"/>
          <w:sz w:val="22"/>
          <w:szCs w:val="22"/>
        </w:rPr>
        <w:t xml:space="preserve">7.</w:t>
      </w:r>
      <w:r>
        <w:rPr>
          <w:rFonts w:ascii="Calibri" w:cs="Calibri" w:eastAsia="Calibri" w:hAnsi="Calibri"/>
          <w:sz w:val="22"/>
          <w:szCs w:val="22"/>
        </w:rPr>
        <w:t xml:space="preserve">	</w:t>
      </w:r>
      <w:r>
        <w:rPr>
          <w:rFonts w:ascii="Calibri" w:cs="Calibri" w:eastAsia="Calibri" w:hAnsi="Calibri"/>
          <w:b/>
          <w:bCs/>
          <w:color w:val="24313A"/>
          <w:sz w:val="22"/>
          <w:szCs w:val="22"/>
        </w:rPr>
        <w:t xml:space="preserve">How has take-up developed since 2020, and how do you follow it?</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Does the 5,000 count anyone paid for a single day, or people with a meaningful volume of work?</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Has the ministry assessed the measure, and what would you say it has and has not solved?</w:t>
      </w:r>
    </w:p>
    <w:p>
      <w:pPr>
        <w:spacing w:after="80" w:before="200"/>
        <w:ind w:left="648" w:hanging="431"/>
      </w:pPr>
      <w:r>
        <w:rPr>
          <w:rFonts w:ascii="Calibri" w:cs="Calibri" w:eastAsia="Calibri" w:hAnsi="Calibri"/>
          <w:b/>
          <w:bCs/>
          <w:color w:val="1F4E46"/>
          <w:sz w:val="22"/>
          <w:szCs w:val="22"/>
        </w:rPr>
        <w:t xml:space="preserve">8.</w:t>
      </w:r>
      <w:r>
        <w:rPr>
          <w:rFonts w:ascii="Calibri" w:cs="Calibri" w:eastAsia="Calibri" w:hAnsi="Calibri"/>
          <w:sz w:val="22"/>
          <w:szCs w:val="22"/>
        </w:rPr>
        <w:t xml:space="preserve">	</w:t>
      </w:r>
      <w:r>
        <w:rPr>
          <w:rFonts w:ascii="Calibri" w:cs="Calibri" w:eastAsia="Calibri" w:hAnsi="Calibri"/>
          <w:b/>
          <w:bCs/>
          <w:color w:val="24313A"/>
          <w:sz w:val="22"/>
          <w:szCs w:val="22"/>
        </w:rPr>
        <w:t xml:space="preserve">Is there a colleague who has followed this closely and could speak to the experience and the results?</w:t>
      </w:r>
      <w:r>
        <w:rPr>
          <w:rFonts w:ascii="Calibri" w:cs="Calibri" w:eastAsia="Calibri" w:hAnsi="Calibri"/>
          <w:b w:val="false"/>
          <w:bCs w:val="false"/>
          <w:color w:val="24313A"/>
          <w:sz w:val="22"/>
          <w:szCs w:val="22"/>
        </w:rPr>
        <w:t xml:space="preserve"> An introduction would be very welcome.</w:t>
      </w:r>
    </w:p>
    <w:p>
      <w:pPr>
        <w:shd w:fill="F1F6F3" w:val="clear"/>
        <w:spacing w:after="120" w:before="120"/>
        <w:ind w:left="215" w:right="215"/>
      </w:pPr>
      <w:r>
        <w:rPr>
          <w:rFonts w:ascii="Calibri" w:cs="Calibri" w:eastAsia="Calibri" w:hAnsi="Calibri"/>
          <w:b/>
          <w:bCs/>
          <w:color w:val="24313A"/>
          <w:sz w:val="21"/>
          <w:szCs w:val="21"/>
        </w:rPr>
        <w:t xml:space="preserve">Note for the interviewer.</w:t>
      </w:r>
      <w:r>
        <w:rPr>
          <w:rFonts w:ascii="Calibri" w:cs="Calibri" w:eastAsia="Calibri" w:hAnsi="Calibri"/>
          <w:b w:val="false"/>
          <w:bCs w:val="false"/>
          <w:color w:val="24313A"/>
          <w:sz w:val="21"/>
          <w:szCs w:val="21"/>
        </w:rPr>
        <w:t xml:space="preserve"> Two things the public record does not settle and that we could ask in passing: the number and official citation of the ministerial act of January 2022, and whether the measure carried the number 15178 from the start. Both matter for citing the policy correctly.</w:t>
      </w:r>
    </w:p>
    <w:p>
      <w:r>
        <w:br w:type="page"/>
      </w:r>
    </w:p>
    <w:p>
      <w:pPr>
        <w:pStyle w:val="Heading1"/>
        <w:spacing w:after="60" w:before="240"/>
      </w:pPr>
      <w:bookmarkStart w:name="sec5" w:id="1"/>
      <w:r>
        <w:rPr>
          <w:rFonts w:ascii="Cambria" w:cs="Cambria" w:eastAsia="Cambria" w:hAnsi="Cambria"/>
          <w:b/>
          <w:bCs/>
          <w:color w:val="1F4E46"/>
          <w:sz w:val="36"/>
          <w:szCs w:val="36"/>
        </w:rPr>
        <w:t xml:space="preserve">China</w:t>
      </w:r>
      <w:bookmarkEnd w:id="1"/>
    </w:p>
    <w:p>
      <w:pPr>
        <w:pBdr>
          <w:bottom w:val="single" w:color="CFDCD5" w:sz="6" w:space="6"/>
        </w:pBdr>
        <w:spacing w:after="240" w:before="0"/>
      </w:pPr>
      <w:r>
        <w:rPr>
          <w:rFonts w:ascii="Calibri" w:cs="Calibri" w:eastAsia="Calibri" w:hAnsi="Calibri"/>
          <w:color w:val="B3542E"/>
          <w:sz w:val="24"/>
          <w:szCs w:val="24"/>
        </w:rPr>
        <w:t xml:space="preserve">Silver-Age Lecturing Plan (2018) and the National Silver-Age Teachers Action Plan (2023)</w:t>
      </w:r>
    </w:p>
    <w:p>
      <w:pPr>
        <w:shd w:fill="F1F6F3" w:val="clear"/>
        <w:spacing w:after="120" w:before="120"/>
        <w:ind w:left="215" w:right="215"/>
      </w:pPr>
      <w:r>
        <w:rPr>
          <w:rFonts w:ascii="Calibri" w:cs="Calibri" w:eastAsia="Calibri" w:hAnsi="Calibri"/>
          <w:b/>
          <w:bCs/>
          <w:color w:val="24313A"/>
          <w:sz w:val="21"/>
          <w:szCs w:val="21"/>
        </w:rPr>
        <w:t xml:space="preserve">Who to ask for:</w:t>
      </w:r>
      <w:r>
        <w:rPr>
          <w:rFonts w:ascii="Calibri" w:cs="Calibri" w:eastAsia="Calibri" w:hAnsi="Calibri"/>
          <w:b w:val="false"/>
          <w:bCs w:val="false"/>
          <w:color w:val="24313A"/>
          <w:sz w:val="21"/>
          <w:szCs w:val="21"/>
        </w:rPr>
        <w:t xml:space="preserve"> the Teacher Work Department of the Ministry of Education, which issues the plan with the Ministry of Finance, and, if possible, a provincial education department that recruits for it.</w:t>
      </w:r>
    </w:p>
    <w:p>
      <w:pPr>
        <w:shd w:fill="F1F6F3" w:val="clear"/>
        <w:spacing w:after="120" w:before="120"/>
        <w:ind w:left="215" w:right="215"/>
      </w:pPr>
      <w:r>
        <w:rPr>
          <w:rFonts w:ascii="Calibri" w:cs="Calibri" w:eastAsia="Calibri" w:hAnsi="Calibri"/>
          <w:b/>
          <w:bCs/>
          <w:color w:val="24313A"/>
          <w:sz w:val="21"/>
          <w:szCs w:val="21"/>
        </w:rPr>
        <w:t xml:space="preserve">What we already know, so we do not ask it.</w:t>
      </w:r>
      <w:r>
        <w:rPr>
          <w:rFonts w:ascii="Calibri" w:cs="Calibri" w:eastAsia="Calibri" w:hAnsi="Calibri"/>
          <w:b w:val="false"/>
          <w:bCs w:val="false"/>
          <w:color w:val="24313A"/>
          <w:sz w:val="21"/>
          <w:szCs w:val="21"/>
        </w:rPr>
        <w:t xml:space="preserve"> Since 2018 the Ministry of Education and the Ministry of Finance have recruited retired principals, teaching-research officers, special-grade and senior teachers, generally aged 65 or under, to county-town and rural schools in formerly poor, border and minority counties. Recruitment runs province by province against named posts; the county education bureau signs an agreement with the teacher, renewed each year, for at least one school year, and the teacher supplies a recent health certificate. The pension is untouched and the work is funded at 20,000 yuan per person per year, shared between central and local budgets, covering an allowance, travel and accident insurance; the county provides housing. In 2023 ten government departments extended the model to higher, vocational and private education, with a target of around 120,000 silver-age teachers within roughly three years. The annual plan has been 7,000 teachers for compulsory education in both 2024 and 2025, and the annual notices ask provinces to raise their completion rate.</w:t>
      </w:r>
    </w:p>
    <w:p>
      <w:pPr>
        <w:spacing w:after="80" w:before="200"/>
        <w:ind w:left="648" w:hanging="431"/>
      </w:pPr>
      <w:r>
        <w:rPr>
          <w:rFonts w:ascii="Calibri" w:cs="Calibri" w:eastAsia="Calibri" w:hAnsi="Calibri"/>
          <w:b/>
          <w:bCs/>
          <w:color w:val="1F4E46"/>
          <w:sz w:val="22"/>
          <w:szCs w:val="22"/>
        </w:rPr>
        <w:t xml:space="preserve">1.</w:t>
      </w:r>
      <w:r>
        <w:rPr>
          <w:rFonts w:ascii="Calibri" w:cs="Calibri" w:eastAsia="Calibri" w:hAnsi="Calibri"/>
          <w:sz w:val="22"/>
          <w:szCs w:val="22"/>
        </w:rPr>
        <w:t xml:space="preserve">	</w:t>
      </w:r>
      <w:r>
        <w:rPr>
          <w:rFonts w:ascii="Calibri" w:cs="Calibri" w:eastAsia="Calibri" w:hAnsi="Calibri"/>
          <w:b/>
          <w:bCs/>
          <w:color w:val="24313A"/>
          <w:sz w:val="22"/>
          <w:szCs w:val="22"/>
        </w:rPr>
        <w:t xml:space="preserve">Could you tell us how the plan started in 2018, and what it was meant to do that other measures for rural schools were not doing?</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Why retired teachers, rather than more posts for young ones?</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In 2023 it grew into something much larger. What changed in the thinking?</w:t>
      </w:r>
    </w:p>
    <w:p>
      <w:pPr>
        <w:spacing w:after="80" w:before="200"/>
        <w:ind w:left="648" w:hanging="431"/>
      </w:pPr>
      <w:r>
        <w:rPr>
          <w:rFonts w:ascii="Calibri" w:cs="Calibri" w:eastAsia="Calibri" w:hAnsi="Calibri"/>
          <w:b/>
          <w:bCs/>
          <w:color w:val="1F4E46"/>
          <w:sz w:val="22"/>
          <w:szCs w:val="22"/>
        </w:rPr>
        <w:t xml:space="preserve">2.</w:t>
      </w:r>
      <w:r>
        <w:rPr>
          <w:rFonts w:ascii="Calibri" w:cs="Calibri" w:eastAsia="Calibri" w:hAnsi="Calibri"/>
          <w:sz w:val="22"/>
          <w:szCs w:val="22"/>
        </w:rPr>
        <w:t xml:space="preserve">	</w:t>
      </w:r>
      <w:r>
        <w:rPr>
          <w:rFonts w:ascii="Calibri" w:cs="Calibri" w:eastAsia="Calibri" w:hAnsi="Calibri"/>
          <w:b/>
          <w:bCs/>
          <w:color w:val="24313A"/>
          <w:sz w:val="22"/>
          <w:szCs w:val="22"/>
        </w:rPr>
        <w:t xml:space="preserve">Could you describe how a retired teacher goes from hearing about the plan to standing in a classroom in a county far from home?</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Who decides which counties and schools receive a teacher, and how is that demand established?</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How are applicants chosen when there are more, or fewer, than the posts?</w:t>
      </w:r>
    </w:p>
    <w:p>
      <w:pPr>
        <w:spacing w:after="80" w:before="200"/>
        <w:ind w:left="648" w:hanging="431"/>
      </w:pPr>
      <w:r>
        <w:rPr>
          <w:rFonts w:ascii="Calibri" w:cs="Calibri" w:eastAsia="Calibri" w:hAnsi="Calibri"/>
          <w:b/>
          <w:bCs/>
          <w:color w:val="1F4E46"/>
          <w:sz w:val="22"/>
          <w:szCs w:val="22"/>
        </w:rPr>
        <w:t xml:space="preserve">3.</w:t>
      </w:r>
      <w:r>
        <w:rPr>
          <w:rFonts w:ascii="Calibri" w:cs="Calibri" w:eastAsia="Calibri" w:hAnsi="Calibri"/>
          <w:sz w:val="22"/>
          <w:szCs w:val="22"/>
        </w:rPr>
        <w:t xml:space="preserve">	</w:t>
      </w:r>
      <w:r>
        <w:rPr>
          <w:rFonts w:ascii="Calibri" w:cs="Calibri" w:eastAsia="Calibri" w:hAnsi="Calibri"/>
          <w:b/>
          <w:bCs/>
          <w:color w:val="24313A"/>
          <w:sz w:val="22"/>
          <w:szCs w:val="22"/>
        </w:rPr>
        <w:t xml:space="preserve">What does a silver-age teacher actually do in the school week?</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Teaching, working with the young teachers, advising the school leadership — how does that balance settle in practice?</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What do the young teachers in those schools get from having them there?</w:t>
      </w:r>
    </w:p>
    <w:p>
      <w:pPr>
        <w:spacing w:after="80" w:before="200"/>
        <w:ind w:left="648" w:hanging="431"/>
      </w:pPr>
      <w:r>
        <w:rPr>
          <w:rFonts w:ascii="Calibri" w:cs="Calibri" w:eastAsia="Calibri" w:hAnsi="Calibri"/>
          <w:b/>
          <w:bCs/>
          <w:color w:val="1F4E46"/>
          <w:sz w:val="22"/>
          <w:szCs w:val="22"/>
        </w:rPr>
        <w:t xml:space="preserve">4.</w:t>
      </w:r>
      <w:r>
        <w:rPr>
          <w:rFonts w:ascii="Calibri" w:cs="Calibri" w:eastAsia="Calibri" w:hAnsi="Calibri"/>
          <w:sz w:val="22"/>
          <w:szCs w:val="22"/>
        </w:rPr>
        <w:t xml:space="preserve">	</w:t>
      </w:r>
      <w:r>
        <w:rPr>
          <w:rFonts w:ascii="Calibri" w:cs="Calibri" w:eastAsia="Calibri" w:hAnsi="Calibri"/>
          <w:b/>
          <w:bCs/>
          <w:color w:val="24313A"/>
          <w:sz w:val="22"/>
          <w:szCs w:val="22"/>
        </w:rPr>
        <w:t xml:space="preserve">The plan pays an allowance on top of the pension, the county provides housing, and the agreement is renewed each year. How was that arrangement arrived at, and does it work for the teachers and for the counties?</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What does a county look at when it decides to renew?</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How long do teachers tend to stay?</w:t>
      </w:r>
    </w:p>
    <w:p>
      <w:pPr>
        <w:spacing w:after="80" w:before="200"/>
        <w:ind w:left="648" w:hanging="431"/>
      </w:pPr>
      <w:r>
        <w:rPr>
          <w:rFonts w:ascii="Calibri" w:cs="Calibri" w:eastAsia="Calibri" w:hAnsi="Calibri"/>
          <w:b/>
          <w:bCs/>
          <w:color w:val="1F4E46"/>
          <w:sz w:val="22"/>
          <w:szCs w:val="22"/>
        </w:rPr>
        <w:t xml:space="preserve">5.</w:t>
      </w:r>
      <w:r>
        <w:rPr>
          <w:rFonts w:ascii="Calibri" w:cs="Calibri" w:eastAsia="Calibri" w:hAnsi="Calibri"/>
          <w:sz w:val="22"/>
          <w:szCs w:val="22"/>
        </w:rPr>
        <w:t xml:space="preserve">	</w:t>
      </w:r>
      <w:r>
        <w:rPr>
          <w:rFonts w:ascii="Calibri" w:cs="Calibri" w:eastAsia="Calibri" w:hAnsi="Calibri"/>
          <w:b/>
          <w:bCs/>
          <w:color w:val="24313A"/>
          <w:sz w:val="22"/>
          <w:szCs w:val="22"/>
        </w:rPr>
        <w:t xml:space="preserve">Who applies?</w:t>
      </w:r>
      <w:r>
        <w:rPr>
          <w:rFonts w:ascii="Calibri" w:cs="Calibri" w:eastAsia="Calibri" w:hAnsi="Calibri"/>
          <w:b w:val="false"/>
          <w:bCs w:val="false"/>
          <w:color w:val="24313A"/>
          <w:sz w:val="22"/>
          <w:szCs w:val="22"/>
        </w:rPr>
        <w:t xml:space="preserve"> We would like to understand what moves a retired principal or senior teacher to spend a year in a rural county.</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What do they find hardest — distance from family, health, the difference between the schools they knew and the ones they arrive in?</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What do those who leave early say?</w:t>
      </w:r>
    </w:p>
    <w:p>
      <w:pPr>
        <w:spacing w:after="80" w:before="200"/>
        <w:ind w:left="648" w:hanging="431"/>
      </w:pPr>
      <w:r>
        <w:rPr>
          <w:rFonts w:ascii="Calibri" w:cs="Calibri" w:eastAsia="Calibri" w:hAnsi="Calibri"/>
          <w:b/>
          <w:bCs/>
          <w:color w:val="1F4E46"/>
          <w:sz w:val="22"/>
          <w:szCs w:val="22"/>
        </w:rPr>
        <w:t xml:space="preserve">6.</w:t>
      </w:r>
      <w:r>
        <w:rPr>
          <w:rFonts w:ascii="Calibri" w:cs="Calibri" w:eastAsia="Calibri" w:hAnsi="Calibri"/>
          <w:sz w:val="22"/>
          <w:szCs w:val="22"/>
        </w:rPr>
        <w:t xml:space="preserve">	</w:t>
      </w:r>
      <w:r>
        <w:rPr>
          <w:rFonts w:ascii="Calibri" w:cs="Calibri" w:eastAsia="Calibri" w:hAnsi="Calibri"/>
          <w:b/>
          <w:bCs/>
          <w:color w:val="24313A"/>
          <w:sz w:val="22"/>
          <w:szCs w:val="22"/>
        </w:rPr>
        <w:t xml:space="preserve">When you think about why teachers leave rural schools, or never go to them, is the silver-age teacher an answer to that, or a different kind of answer?</w:t>
      </w:r>
      <w:r>
        <w:rPr>
          <w:rFonts w:ascii="Calibri" w:cs="Calibri" w:eastAsia="Calibri" w:hAnsi="Calibri"/>
          <w:b w:val="false"/>
          <w:bCs w:val="false"/>
          <w:color w:val="24313A"/>
          <w:sz w:val="22"/>
          <w:szCs w:val="22"/>
        </w:rPr>
        <w:t xml:space="preserve"> This is the question our chapter turns on.</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Does a retired teacher in the school change anything about whether the young ones stay?</w:t>
      </w:r>
    </w:p>
    <w:p>
      <w:pPr>
        <w:spacing w:after="80" w:before="200"/>
        <w:ind w:left="648" w:hanging="431"/>
      </w:pPr>
      <w:r>
        <w:rPr>
          <w:rFonts w:ascii="Calibri" w:cs="Calibri" w:eastAsia="Calibri" w:hAnsi="Calibri"/>
          <w:b/>
          <w:bCs/>
          <w:color w:val="1F4E46"/>
          <w:sz w:val="22"/>
          <w:szCs w:val="22"/>
        </w:rPr>
        <w:t xml:space="preserve">7.</w:t>
      </w:r>
      <w:r>
        <w:rPr>
          <w:rFonts w:ascii="Calibri" w:cs="Calibri" w:eastAsia="Calibri" w:hAnsi="Calibri"/>
          <w:sz w:val="22"/>
          <w:szCs w:val="22"/>
        </w:rPr>
        <w:t xml:space="preserve">	</w:t>
      </w:r>
      <w:r>
        <w:rPr>
          <w:rFonts w:ascii="Calibri" w:cs="Calibri" w:eastAsia="Calibri" w:hAnsi="Calibri"/>
          <w:b/>
          <w:bCs/>
          <w:color w:val="24313A"/>
          <w:sz w:val="22"/>
          <w:szCs w:val="22"/>
        </w:rPr>
        <w:t xml:space="preserve">How has recruitment gone against the annual plan, and where does the difficulty lie?</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The 2023 plan sets a figure of around 120,000. How is progress measured, and where does it stand?</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Has anyone looked at what the plan has changed in the receiving schools?</w:t>
      </w:r>
    </w:p>
    <w:p>
      <w:pPr>
        <w:spacing w:after="80" w:before="200"/>
        <w:ind w:left="648" w:hanging="431"/>
      </w:pPr>
      <w:r>
        <w:rPr>
          <w:rFonts w:ascii="Calibri" w:cs="Calibri" w:eastAsia="Calibri" w:hAnsi="Calibri"/>
          <w:b/>
          <w:bCs/>
          <w:color w:val="1F4E46"/>
          <w:sz w:val="22"/>
          <w:szCs w:val="22"/>
        </w:rPr>
        <w:t xml:space="preserve">8.</w:t>
      </w:r>
      <w:r>
        <w:rPr>
          <w:rFonts w:ascii="Calibri" w:cs="Calibri" w:eastAsia="Calibri" w:hAnsi="Calibri"/>
          <w:sz w:val="22"/>
          <w:szCs w:val="22"/>
        </w:rPr>
        <w:t xml:space="preserve">	</w:t>
      </w:r>
      <w:r>
        <w:rPr>
          <w:rFonts w:ascii="Calibri" w:cs="Calibri" w:eastAsia="Calibri" w:hAnsi="Calibri"/>
          <w:b/>
          <w:bCs/>
          <w:color w:val="24313A"/>
          <w:sz w:val="22"/>
          <w:szCs w:val="22"/>
        </w:rPr>
        <w:t xml:space="preserve">What would you say a country with an ageing teaching profession should take from this, and what should it avoid?</w:t>
      </w:r>
    </w:p>
    <w:p>
      <w:pPr>
        <w:spacing w:after="80" w:before="200"/>
        <w:ind w:left="648" w:hanging="431"/>
      </w:pPr>
      <w:r>
        <w:rPr>
          <w:rFonts w:ascii="Calibri" w:cs="Calibri" w:eastAsia="Calibri" w:hAnsi="Calibri"/>
          <w:b/>
          <w:bCs/>
          <w:color w:val="1F4E46"/>
          <w:sz w:val="22"/>
          <w:szCs w:val="22"/>
        </w:rPr>
        <w:t xml:space="preserve">9.</w:t>
      </w:r>
      <w:r>
        <w:rPr>
          <w:rFonts w:ascii="Calibri" w:cs="Calibri" w:eastAsia="Calibri" w:hAnsi="Calibri"/>
          <w:sz w:val="22"/>
          <w:szCs w:val="22"/>
        </w:rPr>
        <w:t xml:space="preserve">	</w:t>
      </w:r>
      <w:r>
        <w:rPr>
          <w:rFonts w:ascii="Calibri" w:cs="Calibri" w:eastAsia="Calibri" w:hAnsi="Calibri"/>
          <w:b/>
          <w:bCs/>
          <w:color w:val="24313A"/>
          <w:sz w:val="22"/>
          <w:szCs w:val="22"/>
        </w:rPr>
        <w:t xml:space="preserve">Is there a colleague at the ministry, or at a provincial education department that has recruited for the plan, who could speak to the experience and the results?</w:t>
      </w:r>
      <w:r>
        <w:rPr>
          <w:rFonts w:ascii="Calibri" w:cs="Calibri" w:eastAsia="Calibri" w:hAnsi="Calibri"/>
          <w:b w:val="false"/>
          <w:bCs w:val="false"/>
          <w:color w:val="24313A"/>
          <w:sz w:val="22"/>
          <w:szCs w:val="22"/>
        </w:rPr>
        <w:t xml:space="preserve"> We would be very grateful for an introduction.</w:t>
      </w:r>
    </w:p>
    <w:p>
      <w:r>
        <w:br w:type="page"/>
      </w:r>
    </w:p>
    <w:p>
      <w:pPr>
        <w:pStyle w:val="Heading1"/>
        <w:spacing w:after="60" w:before="240"/>
      </w:pPr>
      <w:bookmarkStart w:name="sec6" w:id="1"/>
      <w:r>
        <w:rPr>
          <w:rFonts w:ascii="Cambria" w:cs="Cambria" w:eastAsia="Cambria" w:hAnsi="Cambria"/>
          <w:b/>
          <w:bCs/>
          <w:color w:val="1F4E46"/>
          <w:sz w:val="36"/>
          <w:szCs w:val="36"/>
        </w:rPr>
        <w:t xml:space="preserve">Netherlands</w:t>
      </w:r>
      <w:bookmarkEnd w:id="1"/>
    </w:p>
    <w:p>
      <w:pPr>
        <w:pBdr>
          <w:bottom w:val="single" w:color="CFDCD5" w:sz="6" w:space="6"/>
        </w:pBdr>
        <w:spacing w:after="240" w:before="0"/>
      </w:pPr>
      <w:r>
        <w:rPr>
          <w:rFonts w:ascii="Calibri" w:cs="Calibri" w:eastAsia="Calibri" w:hAnsi="Calibri"/>
          <w:color w:val="B3542E"/>
          <w:sz w:val="24"/>
          <w:szCs w:val="24"/>
        </w:rPr>
        <w:t xml:space="preserve">Regeling tegemoetkoming herintreders primair onderwijs (2017–2022)</w:t>
      </w:r>
    </w:p>
    <w:p>
      <w:pPr>
        <w:shd w:fill="F1F6F3" w:val="clear"/>
        <w:spacing w:after="120" w:before="120"/>
        <w:ind w:left="215" w:right="215"/>
      </w:pPr>
      <w:r>
        <w:rPr>
          <w:rFonts w:ascii="Calibri" w:cs="Calibri" w:eastAsia="Calibri" w:hAnsi="Calibri"/>
          <w:b/>
          <w:bCs/>
          <w:color w:val="24313A"/>
          <w:sz w:val="21"/>
          <w:szCs w:val="21"/>
        </w:rPr>
        <w:t xml:space="preserve">Who to ask for:</w:t>
      </w:r>
      <w:r>
        <w:rPr>
          <w:rFonts w:ascii="Calibri" w:cs="Calibri" w:eastAsia="Calibri" w:hAnsi="Calibri"/>
          <w:b w:val="false"/>
          <w:bCs w:val="false"/>
          <w:color w:val="24313A"/>
          <w:sz w:val="21"/>
          <w:szCs w:val="21"/>
        </w:rPr>
        <w:t xml:space="preserve"> the primary-education directorate of the Ministry of Education, Culture and Science, and the grant agency that handled the applications (DUS-I).</w:t>
      </w:r>
    </w:p>
    <w:p>
      <w:pPr>
        <w:shd w:fill="F1F6F3" w:val="clear"/>
        <w:spacing w:after="120" w:before="120"/>
        <w:ind w:left="215" w:right="215"/>
      </w:pPr>
      <w:r>
        <w:rPr>
          <w:rFonts w:ascii="Calibri" w:cs="Calibri" w:eastAsia="Calibri" w:hAnsi="Calibri"/>
          <w:b/>
          <w:bCs/>
          <w:color w:val="24313A"/>
          <w:sz w:val="21"/>
          <w:szCs w:val="21"/>
        </w:rPr>
        <w:t xml:space="preserve">What we already know, so we do not ask it.</w:t>
      </w:r>
      <w:r>
        <w:rPr>
          <w:rFonts w:ascii="Calibri" w:cs="Calibri" w:eastAsia="Calibri" w:hAnsi="Calibri"/>
          <w:b w:val="false"/>
          <w:bCs w:val="false"/>
          <w:color w:val="24313A"/>
          <w:sz w:val="21"/>
          <w:szCs w:val="21"/>
        </w:rPr>
        <w:t xml:space="preserve"> The regulation took effect on 1 November 2017 and paid a primary-school board up to 2,500 euros for each qualified teacher it took on who had not worked in primary education for at least a year, on a contract of six months or more. The money went to the board, not the teacher, for the guidance and support a returner needs in the first months. The first budget was 1.25 million euros, enough for about 500 returners; a 2019 amendment extended the scheme, applications were accepted until 1 November 2020, and the regulation expired on 1 January 2022. In mid-2019 the ministry reported that more than a hundred returners had used it, against a pool of qualified teachers outside education that the ministry itself put in the tens of thousands. A Dutch teaching qualification does not expire, so there is no re-licensing step on the way back.</w:t>
      </w:r>
    </w:p>
    <w:p>
      <w:pPr>
        <w:spacing w:after="80" w:before="200"/>
        <w:ind w:left="648" w:hanging="431"/>
      </w:pPr>
      <w:r>
        <w:rPr>
          <w:rFonts w:ascii="Calibri" w:cs="Calibri" w:eastAsia="Calibri" w:hAnsi="Calibri"/>
          <w:b/>
          <w:bCs/>
          <w:color w:val="1F4E46"/>
          <w:sz w:val="22"/>
          <w:szCs w:val="22"/>
        </w:rPr>
        <w:t xml:space="preserve">1.</w:t>
      </w:r>
      <w:r>
        <w:rPr>
          <w:rFonts w:ascii="Calibri" w:cs="Calibri" w:eastAsia="Calibri" w:hAnsi="Calibri"/>
          <w:sz w:val="22"/>
          <w:szCs w:val="22"/>
        </w:rPr>
        <w:t xml:space="preserve">	</w:t>
      </w:r>
      <w:r>
        <w:rPr>
          <w:rFonts w:ascii="Calibri" w:cs="Calibri" w:eastAsia="Calibri" w:hAnsi="Calibri"/>
          <w:b/>
          <w:bCs/>
          <w:color w:val="24313A"/>
          <w:sz w:val="22"/>
          <w:szCs w:val="22"/>
        </w:rPr>
        <w:t xml:space="preserve">Could you tell us how the scheme came about in 2017, and what the thinking was in paying the school rather than the teacher?</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Was that design debated at the time? What would the alternative have been?</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Who inside the ministry, or outside it, pushed for it?</w:t>
      </w:r>
    </w:p>
    <w:p>
      <w:pPr>
        <w:spacing w:after="80" w:before="200"/>
        <w:ind w:left="648" w:hanging="431"/>
      </w:pPr>
      <w:r>
        <w:rPr>
          <w:rFonts w:ascii="Calibri" w:cs="Calibri" w:eastAsia="Calibri" w:hAnsi="Calibri"/>
          <w:b/>
          <w:bCs/>
          <w:color w:val="1F4E46"/>
          <w:sz w:val="22"/>
          <w:szCs w:val="22"/>
        </w:rPr>
        <w:t xml:space="preserve">2.</w:t>
      </w:r>
      <w:r>
        <w:rPr>
          <w:rFonts w:ascii="Calibri" w:cs="Calibri" w:eastAsia="Calibri" w:hAnsi="Calibri"/>
          <w:sz w:val="22"/>
          <w:szCs w:val="22"/>
        </w:rPr>
        <w:t xml:space="preserve">	</w:t>
      </w:r>
      <w:r>
        <w:rPr>
          <w:rFonts w:ascii="Calibri" w:cs="Calibri" w:eastAsia="Calibri" w:hAnsi="Calibri"/>
          <w:b/>
          <w:bCs/>
          <w:color w:val="24313A"/>
          <w:sz w:val="22"/>
          <w:szCs w:val="22"/>
        </w:rPr>
        <w:t xml:space="preserve">What did a school board actually have to do to claim it, and what did they spend the money on?</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Did 2,500 euros change a board's decision, or did they hire the person anyway and claim afterwards?</w:t>
      </w:r>
    </w:p>
    <w:p>
      <w:pPr>
        <w:spacing w:after="80" w:before="200"/>
        <w:ind w:left="648" w:hanging="431"/>
      </w:pPr>
      <w:r>
        <w:rPr>
          <w:rFonts w:ascii="Calibri" w:cs="Calibri" w:eastAsia="Calibri" w:hAnsi="Calibri"/>
          <w:b/>
          <w:bCs/>
          <w:color w:val="1F4E46"/>
          <w:sz w:val="22"/>
          <w:szCs w:val="22"/>
        </w:rPr>
        <w:t xml:space="preserve">3.</w:t>
      </w:r>
      <w:r>
        <w:rPr>
          <w:rFonts w:ascii="Calibri" w:cs="Calibri" w:eastAsia="Calibri" w:hAnsi="Calibri"/>
          <w:sz w:val="22"/>
          <w:szCs w:val="22"/>
        </w:rPr>
        <w:t xml:space="preserve">	</w:t>
      </w:r>
      <w:r>
        <w:rPr>
          <w:rFonts w:ascii="Calibri" w:cs="Calibri" w:eastAsia="Calibri" w:hAnsi="Calibri"/>
          <w:b/>
          <w:bCs/>
          <w:color w:val="24313A"/>
          <w:sz w:val="22"/>
          <w:szCs w:val="22"/>
        </w:rPr>
        <w:t xml:space="preserve">Our reading of the figures is that a good deal less of the money was used than was available. Is that right, and what was behind it?</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Was the scheme known to schools?</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Did the six-month contract or the twelve-month absence rule get in the way?</w:t>
      </w:r>
    </w:p>
    <w:p>
      <w:pPr>
        <w:spacing w:after="80" w:before="200"/>
        <w:ind w:left="648" w:hanging="431"/>
      </w:pPr>
      <w:r>
        <w:rPr>
          <w:rFonts w:ascii="Calibri" w:cs="Calibri" w:eastAsia="Calibri" w:hAnsi="Calibri"/>
          <w:b/>
          <w:bCs/>
          <w:color w:val="1F4E46"/>
          <w:sz w:val="22"/>
          <w:szCs w:val="22"/>
        </w:rPr>
        <w:t xml:space="preserve">4.</w:t>
      </w:r>
      <w:r>
        <w:rPr>
          <w:rFonts w:ascii="Calibri" w:cs="Calibri" w:eastAsia="Calibri" w:hAnsi="Calibri"/>
          <w:sz w:val="22"/>
          <w:szCs w:val="22"/>
        </w:rPr>
        <w:t xml:space="preserve">	</w:t>
      </w:r>
      <w:r>
        <w:rPr>
          <w:rFonts w:ascii="Calibri" w:cs="Calibri" w:eastAsia="Calibri" w:hAnsi="Calibri"/>
          <w:b/>
          <w:bCs/>
          <w:color w:val="24313A"/>
          <w:sz w:val="22"/>
          <w:szCs w:val="22"/>
        </w:rPr>
        <w:t xml:space="preserve">In 2019 the scheme was extended rather than dropped, and then it ran out at the beginning of 2022 without being replaced by anything of the same kind. How were those two decisions made?</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Was it evaluated, and what did it teach you?</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Did the work move into the regional partnerships, and does anyone there still target returners specifically?</w:t>
      </w:r>
    </w:p>
    <w:p>
      <w:pPr>
        <w:spacing w:after="80" w:before="200"/>
        <w:ind w:left="648" w:hanging="431"/>
      </w:pPr>
      <w:r>
        <w:rPr>
          <w:rFonts w:ascii="Calibri" w:cs="Calibri" w:eastAsia="Calibri" w:hAnsi="Calibri"/>
          <w:b/>
          <w:bCs/>
          <w:color w:val="1F4E46"/>
          <w:sz w:val="22"/>
          <w:szCs w:val="22"/>
        </w:rPr>
        <w:t xml:space="preserve">5.</w:t>
      </w:r>
      <w:r>
        <w:rPr>
          <w:rFonts w:ascii="Calibri" w:cs="Calibri" w:eastAsia="Calibri" w:hAnsi="Calibri"/>
          <w:sz w:val="22"/>
          <w:szCs w:val="22"/>
        </w:rPr>
        <w:t xml:space="preserve">	</w:t>
      </w:r>
      <w:r>
        <w:rPr>
          <w:rFonts w:ascii="Calibri" w:cs="Calibri" w:eastAsia="Calibri" w:hAnsi="Calibri"/>
          <w:b/>
          <w:bCs/>
          <w:color w:val="24313A"/>
          <w:sz w:val="22"/>
          <w:szCs w:val="22"/>
        </w:rPr>
        <w:t xml:space="preserve">Who are the herintreders, in your experience?</w:t>
      </w:r>
      <w:r>
        <w:rPr>
          <w:rFonts w:ascii="Calibri" w:cs="Calibri" w:eastAsia="Calibri" w:hAnsi="Calibri"/>
          <w:b w:val="false"/>
          <w:bCs w:val="false"/>
          <w:color w:val="24313A"/>
          <w:sz w:val="22"/>
          <w:szCs w:val="22"/>
        </w:rPr>
        <w:t xml:space="preserve"> We are aware the definition also covers people who qualified and never started.</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What do they say about why they left primary teaching, and about what makes coming back possible?</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Does the fact that a qualification never expires make returning easier, or does it simply move the difficulty somewhere else?</w:t>
      </w:r>
    </w:p>
    <w:p>
      <w:pPr>
        <w:spacing w:after="80" w:before="200"/>
        <w:ind w:left="648" w:hanging="431"/>
      </w:pPr>
      <w:r>
        <w:rPr>
          <w:rFonts w:ascii="Calibri" w:cs="Calibri" w:eastAsia="Calibri" w:hAnsi="Calibri"/>
          <w:b/>
          <w:bCs/>
          <w:color w:val="1F4E46"/>
          <w:sz w:val="22"/>
          <w:szCs w:val="22"/>
        </w:rPr>
        <w:t xml:space="preserve">6.</w:t>
      </w:r>
      <w:r>
        <w:rPr>
          <w:rFonts w:ascii="Calibri" w:cs="Calibri" w:eastAsia="Calibri" w:hAnsi="Calibri"/>
          <w:sz w:val="22"/>
          <w:szCs w:val="22"/>
        </w:rPr>
        <w:t xml:space="preserve">	</w:t>
      </w:r>
      <w:r>
        <w:rPr>
          <w:rFonts w:ascii="Calibri" w:cs="Calibri" w:eastAsia="Calibri" w:hAnsi="Calibri"/>
          <w:b/>
          <w:bCs/>
          <w:color w:val="24313A"/>
          <w:sz w:val="22"/>
          <w:szCs w:val="22"/>
        </w:rPr>
        <w:t xml:space="preserve">When you think about why primary teachers leave — workload, class size, leadership — does a grant to the school reach that, or something else?</w:t>
      </w:r>
      <w:r>
        <w:rPr>
          <w:rFonts w:ascii="Calibri" w:cs="Calibri" w:eastAsia="Calibri" w:hAnsi="Calibri"/>
          <w:b w:val="false"/>
          <w:bCs w:val="false"/>
          <w:color w:val="24313A"/>
          <w:sz w:val="22"/>
          <w:szCs w:val="22"/>
        </w:rPr>
        <w:t xml:space="preserve"> This is the question our chapter turns on.</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The number of returners in primary education has fallen over the last decade while the shortage continued. How do you read that?</w:t>
      </w:r>
    </w:p>
    <w:p>
      <w:pPr>
        <w:spacing w:after="80" w:before="200"/>
        <w:ind w:left="648" w:hanging="431"/>
      </w:pPr>
      <w:r>
        <w:rPr>
          <w:rFonts w:ascii="Calibri" w:cs="Calibri" w:eastAsia="Calibri" w:hAnsi="Calibri"/>
          <w:b/>
          <w:bCs/>
          <w:color w:val="1F4E46"/>
          <w:sz w:val="22"/>
          <w:szCs w:val="22"/>
        </w:rPr>
        <w:t xml:space="preserve">7.</w:t>
      </w:r>
      <w:r>
        <w:rPr>
          <w:rFonts w:ascii="Calibri" w:cs="Calibri" w:eastAsia="Calibri" w:hAnsi="Calibri"/>
          <w:sz w:val="22"/>
          <w:szCs w:val="22"/>
        </w:rPr>
        <w:t xml:space="preserve">	</w:t>
      </w:r>
      <w:r>
        <w:rPr>
          <w:rFonts w:ascii="Calibri" w:cs="Calibri" w:eastAsia="Calibri" w:hAnsi="Calibri"/>
          <w:b/>
          <w:bCs/>
          <w:color w:val="24313A"/>
          <w:sz w:val="22"/>
          <w:szCs w:val="22"/>
        </w:rPr>
        <w:t xml:space="preserve">The debate about the silent reserve now seems to be about whether that pool is really available, given how many are already working elsewhere. Where has the ministry landed, and what follows from it for policy?</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Do you know whether the teachers who came back through the scheme stayed?</w:t>
      </w:r>
    </w:p>
    <w:p>
      <w:pPr>
        <w:spacing w:after="80" w:before="200"/>
        <w:ind w:left="648" w:hanging="431"/>
      </w:pPr>
      <w:r>
        <w:rPr>
          <w:rFonts w:ascii="Calibri" w:cs="Calibri" w:eastAsia="Calibri" w:hAnsi="Calibri"/>
          <w:b/>
          <w:bCs/>
          <w:color w:val="1F4E46"/>
          <w:sz w:val="22"/>
          <w:szCs w:val="22"/>
        </w:rPr>
        <w:t xml:space="preserve">8.</w:t>
      </w:r>
      <w:r>
        <w:rPr>
          <w:rFonts w:ascii="Calibri" w:cs="Calibri" w:eastAsia="Calibri" w:hAnsi="Calibri"/>
          <w:sz w:val="22"/>
          <w:szCs w:val="22"/>
        </w:rPr>
        <w:t xml:space="preserve">	</w:t>
      </w:r>
      <w:r>
        <w:rPr>
          <w:rFonts w:ascii="Calibri" w:cs="Calibri" w:eastAsia="Calibri" w:hAnsi="Calibri"/>
          <w:b/>
          <w:bCs/>
          <w:color w:val="24313A"/>
          <w:sz w:val="22"/>
          <w:szCs w:val="22"/>
        </w:rPr>
        <w:t xml:space="preserve">Is there a colleague at the ministry, or at the agency that handled the applications, who followed the scheme closely and could speak to the experience and the results?</w:t>
      </w:r>
      <w:r>
        <w:rPr>
          <w:rFonts w:ascii="Calibri" w:cs="Calibri" w:eastAsia="Calibri" w:hAnsi="Calibri"/>
          <w:b w:val="false"/>
          <w:bCs w:val="false"/>
          <w:color w:val="24313A"/>
          <w:sz w:val="22"/>
          <w:szCs w:val="22"/>
        </w:rPr>
        <w:t xml:space="preserve"> We would be grateful if you could point us to them.</w:t>
      </w:r>
    </w:p>
    <w:p>
      <w:r>
        <w:br w:type="page"/>
      </w:r>
    </w:p>
    <w:p>
      <w:pPr>
        <w:pStyle w:val="Heading1"/>
        <w:spacing w:after="60" w:before="240"/>
      </w:pPr>
      <w:bookmarkStart w:name="sec7" w:id="1"/>
      <w:r>
        <w:rPr>
          <w:rFonts w:ascii="Cambria" w:cs="Cambria" w:eastAsia="Cambria" w:hAnsi="Cambria"/>
          <w:b/>
          <w:bCs/>
          <w:color w:val="1F4E46"/>
          <w:sz w:val="36"/>
          <w:szCs w:val="36"/>
        </w:rPr>
        <w:t xml:space="preserve">United States</w:t>
      </w:r>
      <w:bookmarkEnd w:id="1"/>
    </w:p>
    <w:p>
      <w:pPr>
        <w:pBdr>
          <w:bottom w:val="single" w:color="CFDCD5" w:sz="6" w:space="6"/>
        </w:pBdr>
        <w:spacing w:after="240" w:before="0"/>
      </w:pPr>
      <w:r>
        <w:rPr>
          <w:rFonts w:ascii="Calibri" w:cs="Calibri" w:eastAsia="Calibri" w:hAnsi="Calibri"/>
          <w:color w:val="B3542E"/>
          <w:sz w:val="24"/>
          <w:szCs w:val="24"/>
        </w:rPr>
        <w:t xml:space="preserve">State laws letting retired teachers return to work</w:t>
      </w:r>
    </w:p>
    <w:p>
      <w:pPr>
        <w:shd w:fill="F1F6F3" w:val="clear"/>
        <w:spacing w:after="120" w:before="120"/>
        <w:ind w:left="215" w:right="215"/>
      </w:pPr>
      <w:r>
        <w:rPr>
          <w:rFonts w:ascii="Calibri" w:cs="Calibri" w:eastAsia="Calibri" w:hAnsi="Calibri"/>
          <w:b/>
          <w:bCs/>
          <w:color w:val="24313A"/>
          <w:sz w:val="21"/>
          <w:szCs w:val="21"/>
        </w:rPr>
        <w:t xml:space="preserve">Who to ask for:</w:t>
      </w:r>
      <w:r>
        <w:rPr>
          <w:rFonts w:ascii="Calibri" w:cs="Calibri" w:eastAsia="Calibri" w:hAnsi="Calibri"/>
          <w:b w:val="false"/>
          <w:bCs w:val="false"/>
          <w:color w:val="24313A"/>
          <w:sz w:val="21"/>
          <w:szCs w:val="21"/>
        </w:rPr>
        <w:t xml:space="preserve"> in each state, two bodies rather than one — the teachers' retirement system, which administers the return and holds the records, and the department of education or the certification board, which controls the licence. That split is part of the story.</w:t>
      </w:r>
    </w:p>
    <w:p>
      <w:pPr>
        <w:shd w:fill="F1F6F3" w:val="clear"/>
        <w:spacing w:after="120" w:before="120"/>
        <w:ind w:left="215" w:right="215"/>
      </w:pPr>
      <w:r>
        <w:rPr>
          <w:rFonts w:ascii="Calibri" w:cs="Calibri" w:eastAsia="Calibri" w:hAnsi="Calibri"/>
          <w:b/>
          <w:bCs/>
          <w:color w:val="24313A"/>
          <w:sz w:val="21"/>
          <w:szCs w:val="21"/>
        </w:rPr>
        <w:t xml:space="preserve">What we already know, so we do not ask it.</w:t>
      </w:r>
      <w:r>
        <w:rPr>
          <w:rFonts w:ascii="Calibri" w:cs="Calibri" w:eastAsia="Calibri" w:hAnsi="Calibri"/>
          <w:b w:val="false"/>
          <w:bCs w:val="false"/>
          <w:color w:val="24313A"/>
          <w:sz w:val="21"/>
          <w:szCs w:val="21"/>
        </w:rPr>
        <w:t xml:space="preserve"> Almost every state lets a retired teacher come back under conditions, and the conditions are built from the same four levers: a waiting period before returning, a ceiling on earnings, a shortage designation the district must establish, and a limit on how long the return may last. The states in our set have moved these levers in different directions. Michigan shortened the wait to six months and removed the earnings ceiling after it, under a law that expires in October 2028. Georgia opened full-time return only to teachers with thirty years of service, in subjects a region had designated as highest-need, and its own audit in 2025 found the measure had little effect — a few hundred teachers a year — with the one-year wait, not the pay rules, as the main deterrent; the legislature has since widened eligibility and extended the measure to 2034. New Mexico lets a retiree draw pension and full salary with no cap on earnings or hours, for a limited number of months, each return approved by the retirement board. Louisiana removed the cut-off that had restricted its critical-shortage route to people who retired before mid-2020. North Carolina ran the most generous version of all between 1999 and 2009, and published research finds those returners went disproportionately to high-need schools; the policy was allowed to lapse. Virginia went at the licence rather than the pension. Several of these laws were amended in 2025 and 2026: check the current text before the conversation.</w:t>
      </w:r>
    </w:p>
    <w:p>
      <w:pPr>
        <w:pStyle w:val="Heading2"/>
        <w:spacing w:after="120" w:before="320"/>
      </w:pPr>
      <w:r>
        <w:rPr>
          <w:rFonts w:ascii="Cambria" w:cs="Cambria" w:eastAsia="Cambria" w:hAnsi="Cambria"/>
          <w:b/>
          <w:bCs/>
          <w:color w:val="24313A"/>
          <w:sz w:val="26"/>
          <w:szCs w:val="26"/>
        </w:rPr>
        <w:t xml:space="preserve">Questions for any of the states</w:t>
      </w:r>
    </w:p>
    <w:p>
      <w:pPr>
        <w:spacing w:after="80" w:before="200"/>
        <w:ind w:left="648" w:hanging="431"/>
      </w:pPr>
      <w:r>
        <w:rPr>
          <w:rFonts w:ascii="Calibri" w:cs="Calibri" w:eastAsia="Calibri" w:hAnsi="Calibri"/>
          <w:b/>
          <w:bCs/>
          <w:color w:val="1F4E46"/>
          <w:sz w:val="22"/>
          <w:szCs w:val="22"/>
        </w:rPr>
        <w:t xml:space="preserve">1.</w:t>
      </w:r>
      <w:r>
        <w:rPr>
          <w:rFonts w:ascii="Calibri" w:cs="Calibri" w:eastAsia="Calibri" w:hAnsi="Calibri"/>
          <w:sz w:val="22"/>
          <w:szCs w:val="22"/>
        </w:rPr>
        <w:t xml:space="preserve">	</w:t>
      </w:r>
      <w:r>
        <w:rPr>
          <w:rFonts w:ascii="Calibri" w:cs="Calibri" w:eastAsia="Calibri" w:hAnsi="Calibri"/>
          <w:b/>
          <w:bCs/>
          <w:color w:val="24313A"/>
          <w:sz w:val="22"/>
          <w:szCs w:val="22"/>
        </w:rPr>
        <w:t xml:space="preserve">Could you tell us how this came about in your state, and what problem it was meant to solve?</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Who had to be persuaded: the legislature, the retirement system, the districts, the unions?</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Was there another state you were looking at?</w:t>
      </w:r>
    </w:p>
    <w:p>
      <w:pPr>
        <w:spacing w:after="80" w:before="200"/>
        <w:ind w:left="648" w:hanging="431"/>
      </w:pPr>
      <w:r>
        <w:rPr>
          <w:rFonts w:ascii="Calibri" w:cs="Calibri" w:eastAsia="Calibri" w:hAnsi="Calibri"/>
          <w:b/>
          <w:bCs/>
          <w:color w:val="1F4E46"/>
          <w:sz w:val="22"/>
          <w:szCs w:val="22"/>
        </w:rPr>
        <w:t xml:space="preserve">2.</w:t>
      </w:r>
      <w:r>
        <w:rPr>
          <w:rFonts w:ascii="Calibri" w:cs="Calibri" w:eastAsia="Calibri" w:hAnsi="Calibri"/>
          <w:sz w:val="22"/>
          <w:szCs w:val="22"/>
        </w:rPr>
        <w:t xml:space="preserve">	</w:t>
      </w:r>
      <w:r>
        <w:rPr>
          <w:rFonts w:ascii="Calibri" w:cs="Calibri" w:eastAsia="Calibri" w:hAnsi="Calibri"/>
          <w:b/>
          <w:bCs/>
          <w:color w:val="24313A"/>
          <w:sz w:val="22"/>
          <w:szCs w:val="22"/>
        </w:rPr>
        <w:t xml:space="preserve">The rules here are built from a few levers — how long someone waits, how much they may earn, whether the district must show a shortage, how long the return may last. Which of those were argued over most, and why did they land where they did?</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Is the waiting period a pension question, a federal-tax question, or a political one?</w:t>
      </w:r>
    </w:p>
    <w:p>
      <w:pPr>
        <w:spacing w:after="80" w:before="200"/>
        <w:ind w:left="648" w:hanging="431"/>
      </w:pPr>
      <w:r>
        <w:rPr>
          <w:rFonts w:ascii="Calibri" w:cs="Calibri" w:eastAsia="Calibri" w:hAnsi="Calibri"/>
          <w:b/>
          <w:bCs/>
          <w:color w:val="1F4E46"/>
          <w:sz w:val="22"/>
          <w:szCs w:val="22"/>
        </w:rPr>
        <w:t xml:space="preserve">3.</w:t>
      </w:r>
      <w:r>
        <w:rPr>
          <w:rFonts w:ascii="Calibri" w:cs="Calibri" w:eastAsia="Calibri" w:hAnsi="Calibri"/>
          <w:sz w:val="22"/>
          <w:szCs w:val="22"/>
        </w:rPr>
        <w:t xml:space="preserve">	</w:t>
      </w:r>
      <w:r>
        <w:rPr>
          <w:rFonts w:ascii="Calibri" w:cs="Calibri" w:eastAsia="Calibri" w:hAnsi="Calibri"/>
          <w:b/>
          <w:bCs/>
          <w:color w:val="24313A"/>
          <w:sz w:val="22"/>
          <w:szCs w:val="22"/>
        </w:rPr>
        <w:t xml:space="preserve">What does a retiree actually have to do to come back, and who decides whether they may?</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Where does the paperwork slow people down?</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Licensing sits with a different body from the pension. For someone whose certificate has lapsed, how much of an obstacle is that, and does anyone own that part of the problem?</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What must a district show before it can hire a retiree — a real filter or a formality?</w:t>
      </w:r>
    </w:p>
    <w:p>
      <w:pPr>
        <w:spacing w:after="80" w:before="200"/>
        <w:ind w:left="648" w:hanging="431"/>
      </w:pPr>
      <w:r>
        <w:rPr>
          <w:rFonts w:ascii="Calibri" w:cs="Calibri" w:eastAsia="Calibri" w:hAnsi="Calibri"/>
          <w:b/>
          <w:bCs/>
          <w:color w:val="1F4E46"/>
          <w:sz w:val="22"/>
          <w:szCs w:val="22"/>
        </w:rPr>
        <w:t xml:space="preserve">4.</w:t>
      </w:r>
      <w:r>
        <w:rPr>
          <w:rFonts w:ascii="Calibri" w:cs="Calibri" w:eastAsia="Calibri" w:hAnsi="Calibri"/>
          <w:sz w:val="22"/>
          <w:szCs w:val="22"/>
        </w:rPr>
        <w:t xml:space="preserve">	</w:t>
      </w:r>
      <w:r>
        <w:rPr>
          <w:rFonts w:ascii="Calibri" w:cs="Calibri" w:eastAsia="Calibri" w:hAnsi="Calibri"/>
          <w:b/>
          <w:bCs/>
          <w:color w:val="24313A"/>
          <w:sz w:val="22"/>
          <w:szCs w:val="22"/>
        </w:rPr>
        <w:t xml:space="preserve">Who comes back, into what kind of posts, and in which schools?</w:t>
      </w:r>
      <w:r>
        <w:rPr>
          <w:rFonts w:ascii="Calibri" w:cs="Calibri" w:eastAsia="Calibri" w:hAnsi="Calibri"/>
          <w:b w:val="false"/>
          <w:bCs w:val="false"/>
          <w:color w:val="24313A"/>
          <w:sz w:val="22"/>
          <w:szCs w:val="22"/>
        </w:rPr>
        <w:t xml:space="preserve"> We are particularly interested in whether they end up where the shortage is worst.</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What do retirees say when they decide not to come back?</w:t>
      </w:r>
    </w:p>
    <w:p>
      <w:pPr>
        <w:spacing w:after="80" w:before="200"/>
        <w:ind w:left="648" w:hanging="431"/>
      </w:pPr>
      <w:r>
        <w:rPr>
          <w:rFonts w:ascii="Calibri" w:cs="Calibri" w:eastAsia="Calibri" w:hAnsi="Calibri"/>
          <w:b/>
          <w:bCs/>
          <w:color w:val="1F4E46"/>
          <w:sz w:val="22"/>
          <w:szCs w:val="22"/>
        </w:rPr>
        <w:t xml:space="preserve">5.</w:t>
      </w:r>
      <w:r>
        <w:rPr>
          <w:rFonts w:ascii="Calibri" w:cs="Calibri" w:eastAsia="Calibri" w:hAnsi="Calibri"/>
          <w:sz w:val="22"/>
          <w:szCs w:val="22"/>
        </w:rPr>
        <w:t xml:space="preserve">	</w:t>
      </w:r>
      <w:r>
        <w:rPr>
          <w:rFonts w:ascii="Calibri" w:cs="Calibri" w:eastAsia="Calibri" w:hAnsi="Calibri"/>
          <w:b/>
          <w:bCs/>
          <w:color w:val="24313A"/>
          <w:sz w:val="22"/>
          <w:szCs w:val="22"/>
        </w:rPr>
        <w:t xml:space="preserve">When you think about why teachers leave your state's schools, is a returning retiree an answer to that, or an answer to something else?</w:t>
      </w:r>
      <w:r>
        <w:rPr>
          <w:rFonts w:ascii="Calibri" w:cs="Calibri" w:eastAsia="Calibri" w:hAnsi="Calibri"/>
          <w:b w:val="false"/>
          <w:bCs w:val="false"/>
          <w:color w:val="24313A"/>
          <w:sz w:val="22"/>
          <w:szCs w:val="22"/>
        </w:rPr>
        <w:t xml:space="preserve"> This is the question our chapter turns on.</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Is there a concern that returning retirees take positions that would otherwise go to teachers starting out — and has anyone looked?</w:t>
      </w:r>
    </w:p>
    <w:p>
      <w:pPr>
        <w:spacing w:after="80" w:before="200"/>
        <w:ind w:left="648" w:hanging="431"/>
      </w:pPr>
      <w:r>
        <w:rPr>
          <w:rFonts w:ascii="Calibri" w:cs="Calibri" w:eastAsia="Calibri" w:hAnsi="Calibri"/>
          <w:b/>
          <w:bCs/>
          <w:color w:val="1F4E46"/>
          <w:sz w:val="22"/>
          <w:szCs w:val="22"/>
        </w:rPr>
        <w:t xml:space="preserve">6.</w:t>
      </w:r>
      <w:r>
        <w:rPr>
          <w:rFonts w:ascii="Calibri" w:cs="Calibri" w:eastAsia="Calibri" w:hAnsi="Calibri"/>
          <w:sz w:val="22"/>
          <w:szCs w:val="22"/>
        </w:rPr>
        <w:t xml:space="preserve">	</w:t>
      </w:r>
      <w:r>
        <w:rPr>
          <w:rFonts w:ascii="Calibri" w:cs="Calibri" w:eastAsia="Calibri" w:hAnsi="Calibri"/>
          <w:b/>
          <w:bCs/>
          <w:color w:val="24313A"/>
          <w:sz w:val="22"/>
          <w:szCs w:val="22"/>
        </w:rPr>
        <w:t xml:space="preserve">How many have returned, and how do you count them?</w:t>
      </w:r>
      <w:r>
        <w:rPr>
          <w:rFonts w:ascii="Calibri" w:cs="Calibri" w:eastAsia="Calibri" w:hAnsi="Calibri"/>
          <w:b w:val="false"/>
          <w:bCs w:val="false"/>
          <w:color w:val="24313A"/>
          <w:sz w:val="22"/>
          <w:szCs w:val="22"/>
        </w:rPr>
        <w:t xml:space="preserve"> We have found it hard to get a figure that means the same thing from one state to the next.</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What has it cost the retirement system, and how is that judged?</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Has the measure been evaluated or audited, and what did that conclude?</w:t>
      </w:r>
    </w:p>
    <w:p>
      <w:pPr>
        <w:spacing w:after="80" w:before="200"/>
        <w:ind w:left="648" w:hanging="431"/>
      </w:pPr>
      <w:r>
        <w:rPr>
          <w:rFonts w:ascii="Calibri" w:cs="Calibri" w:eastAsia="Calibri" w:hAnsi="Calibri"/>
          <w:b/>
          <w:bCs/>
          <w:color w:val="1F4E46"/>
          <w:sz w:val="22"/>
          <w:szCs w:val="22"/>
        </w:rPr>
        <w:t xml:space="preserve">7.</w:t>
      </w:r>
      <w:r>
        <w:rPr>
          <w:rFonts w:ascii="Calibri" w:cs="Calibri" w:eastAsia="Calibri" w:hAnsi="Calibri"/>
          <w:sz w:val="22"/>
          <w:szCs w:val="22"/>
        </w:rPr>
        <w:t xml:space="preserve">	</w:t>
      </w:r>
      <w:r>
        <w:rPr>
          <w:rFonts w:ascii="Calibri" w:cs="Calibri" w:eastAsia="Calibri" w:hAnsi="Calibri"/>
          <w:b/>
          <w:bCs/>
          <w:color w:val="24313A"/>
          <w:sz w:val="22"/>
          <w:szCs w:val="22"/>
        </w:rPr>
        <w:t xml:space="preserve">Several of these laws have an expiry date. What will decide whether yours is kept, and what would you want to know before that decision?</w:t>
      </w:r>
    </w:p>
    <w:p>
      <w:pPr>
        <w:spacing w:after="60" w:before="0"/>
        <w:ind w:left="1224" w:hanging="288"/>
      </w:pPr>
      <w:r>
        <w:rPr>
          <w:rFonts w:ascii="Calibri" w:cs="Calibri" w:eastAsia="Calibri" w:hAnsi="Calibri"/>
          <w:color w:val="5A6A72"/>
          <w:sz w:val="20"/>
          <w:szCs w:val="20"/>
        </w:rPr>
        <w:t xml:space="preserve">–	</w:t>
      </w:r>
      <w:r>
        <w:rPr>
          <w:rFonts w:ascii="Calibri" w:cs="Calibri" w:eastAsia="Calibri" w:hAnsi="Calibri"/>
          <w:b w:val="false"/>
          <w:bCs w:val="false"/>
          <w:color w:val="5A6A72"/>
          <w:sz w:val="20"/>
          <w:szCs w:val="20"/>
        </w:rPr>
        <w:t xml:space="preserve">If you were advising another state, what would you tell them to do differently?</w:t>
      </w:r>
    </w:p>
    <w:p>
      <w:pPr>
        <w:spacing w:after="80" w:before="200"/>
        <w:ind w:left="648" w:hanging="431"/>
      </w:pPr>
      <w:r>
        <w:rPr>
          <w:rFonts w:ascii="Calibri" w:cs="Calibri" w:eastAsia="Calibri" w:hAnsi="Calibri"/>
          <w:b/>
          <w:bCs/>
          <w:color w:val="1F4E46"/>
          <w:sz w:val="22"/>
          <w:szCs w:val="22"/>
        </w:rPr>
        <w:t xml:space="preserve">8.</w:t>
      </w:r>
      <w:r>
        <w:rPr>
          <w:rFonts w:ascii="Calibri" w:cs="Calibri" w:eastAsia="Calibri" w:hAnsi="Calibri"/>
          <w:sz w:val="22"/>
          <w:szCs w:val="22"/>
        </w:rPr>
        <w:t xml:space="preserve">	</w:t>
      </w:r>
      <w:r>
        <w:rPr>
          <w:rFonts w:ascii="Calibri" w:cs="Calibri" w:eastAsia="Calibri" w:hAnsi="Calibri"/>
          <w:b/>
          <w:bCs/>
          <w:color w:val="24313A"/>
          <w:sz w:val="22"/>
          <w:szCs w:val="22"/>
        </w:rPr>
        <w:t xml:space="preserve">Is there a colleague, at the retirement system or on the certification side, who could speak to the experience and the results?</w:t>
      </w:r>
      <w:r>
        <w:rPr>
          <w:rFonts w:ascii="Calibri" w:cs="Calibri" w:eastAsia="Calibri" w:hAnsi="Calibri"/>
          <w:b w:val="false"/>
          <w:bCs w:val="false"/>
          <w:color w:val="24313A"/>
          <w:sz w:val="22"/>
          <w:szCs w:val="22"/>
        </w:rPr>
        <w:t xml:space="preserve"> We would be very grateful for an introduction.</w:t>
      </w:r>
    </w:p>
    <w:p>
      <w:pPr>
        <w:pStyle w:val="Heading2"/>
        <w:spacing w:after="120" w:before="320"/>
      </w:pPr>
      <w:r>
        <w:rPr>
          <w:rFonts w:ascii="Cambria" w:cs="Cambria" w:eastAsia="Cambria" w:hAnsi="Cambria"/>
          <w:b/>
          <w:bCs/>
          <w:color w:val="24313A"/>
          <w:sz w:val="26"/>
          <w:szCs w:val="26"/>
        </w:rPr>
        <w:t xml:space="preserve">One follow-up per state</w:t>
      </w:r>
    </w:p>
    <w:p>
      <w:pPr>
        <w:spacing w:after="80" w:before="40"/>
        <w:ind w:left="648" w:hanging="288"/>
      </w:pPr>
      <w:r>
        <w:rPr>
          <w:rFonts w:ascii="Calibri" w:cs="Calibri" w:eastAsia="Calibri" w:hAnsi="Calibri"/>
          <w:color w:val="5A6A72"/>
          <w:sz w:val="22"/>
          <w:szCs w:val="22"/>
        </w:rPr>
        <w:t xml:space="preserve">—	</w:t>
      </w:r>
      <w:r>
        <w:rPr>
          <w:rFonts w:ascii="Calibri" w:cs="Calibri" w:eastAsia="Calibri" w:hAnsi="Calibri"/>
          <w:b/>
          <w:bCs/>
          <w:color w:val="24313A"/>
          <w:sz w:val="22"/>
          <w:szCs w:val="22"/>
        </w:rPr>
        <w:t xml:space="preserve">Michigan.</w:t>
      </w:r>
      <w:r>
        <w:rPr>
          <w:rFonts w:ascii="Calibri" w:cs="Calibri" w:eastAsia="Calibri" w:hAnsi="Calibri"/>
          <w:b w:val="false"/>
          <w:bCs w:val="false"/>
          <w:color w:val="24313A"/>
          <w:sz w:val="22"/>
          <w:szCs w:val="22"/>
        </w:rPr>
        <w:t xml:space="preserve"> Is the six-month wait still what holds people back, and how does the requirement of a genuine separation from the employer work in practice, given that it also reaches people hired through an agency?</w:t>
      </w:r>
    </w:p>
    <w:p>
      <w:pPr>
        <w:spacing w:after="80" w:before="40"/>
        <w:ind w:left="648" w:hanging="288"/>
      </w:pPr>
      <w:r>
        <w:rPr>
          <w:rFonts w:ascii="Calibri" w:cs="Calibri" w:eastAsia="Calibri" w:hAnsi="Calibri"/>
          <w:color w:val="5A6A72"/>
          <w:sz w:val="22"/>
          <w:szCs w:val="22"/>
        </w:rPr>
        <w:t xml:space="preserve">—	</w:t>
      </w:r>
      <w:r>
        <w:rPr>
          <w:rFonts w:ascii="Calibri" w:cs="Calibri" w:eastAsia="Calibri" w:hAnsi="Calibri"/>
          <w:b/>
          <w:bCs/>
          <w:color w:val="24313A"/>
          <w:sz w:val="22"/>
          <w:szCs w:val="22"/>
        </w:rPr>
        <w:t xml:space="preserve">Georgia.</w:t>
      </w:r>
      <w:r>
        <w:rPr>
          <w:rFonts w:ascii="Calibri" w:cs="Calibri" w:eastAsia="Calibri" w:hAnsi="Calibri"/>
          <w:b w:val="false"/>
          <w:bCs w:val="false"/>
          <w:color w:val="24313A"/>
          <w:sz w:val="22"/>
          <w:szCs w:val="22"/>
        </w:rPr>
        <w:t xml:space="preserve"> The audit named the one-year wait as the main deterrent, and we understand the new law kept it while widening eligibility. How was that decided?</w:t>
      </w:r>
    </w:p>
    <w:p>
      <w:pPr>
        <w:spacing w:after="80" w:before="40"/>
        <w:ind w:left="648" w:hanging="288"/>
      </w:pPr>
      <w:r>
        <w:rPr>
          <w:rFonts w:ascii="Calibri" w:cs="Calibri" w:eastAsia="Calibri" w:hAnsi="Calibri"/>
          <w:color w:val="5A6A72"/>
          <w:sz w:val="22"/>
          <w:szCs w:val="22"/>
        </w:rPr>
        <w:t xml:space="preserve">—	</w:t>
      </w:r>
      <w:r>
        <w:rPr>
          <w:rFonts w:ascii="Calibri" w:cs="Calibri" w:eastAsia="Calibri" w:hAnsi="Calibri"/>
          <w:b/>
          <w:bCs/>
          <w:color w:val="24313A"/>
          <w:sz w:val="22"/>
          <w:szCs w:val="22"/>
        </w:rPr>
        <w:t xml:space="preserve">New Mexico.</w:t>
      </w:r>
      <w:r>
        <w:rPr>
          <w:rFonts w:ascii="Calibri" w:cs="Calibri" w:eastAsia="Calibri" w:hAnsi="Calibri"/>
          <w:b w:val="false"/>
          <w:bCs w:val="false"/>
          <w:color w:val="24313A"/>
          <w:sz w:val="22"/>
          <w:szCs w:val="22"/>
        </w:rPr>
        <w:t xml:space="preserve"> Every return goes through the retirement board. What does that approval consist of, and what happens to a teacher when the months allowed run out?</w:t>
      </w:r>
    </w:p>
    <w:p>
      <w:pPr>
        <w:spacing w:after="80" w:before="40"/>
        <w:ind w:left="648" w:hanging="288"/>
      </w:pPr>
      <w:r>
        <w:rPr>
          <w:rFonts w:ascii="Calibri" w:cs="Calibri" w:eastAsia="Calibri" w:hAnsi="Calibri"/>
          <w:color w:val="5A6A72"/>
          <w:sz w:val="22"/>
          <w:szCs w:val="22"/>
        </w:rPr>
        <w:t xml:space="preserve">—	</w:t>
      </w:r>
      <w:r>
        <w:rPr>
          <w:rFonts w:ascii="Calibri" w:cs="Calibri" w:eastAsia="Calibri" w:hAnsi="Calibri"/>
          <w:b/>
          <w:bCs/>
          <w:color w:val="24313A"/>
          <w:sz w:val="22"/>
          <w:szCs w:val="22"/>
        </w:rPr>
        <w:t xml:space="preserve">Louisiana.</w:t>
      </w:r>
      <w:r>
        <w:rPr>
          <w:rFonts w:ascii="Calibri" w:cs="Calibri" w:eastAsia="Calibri" w:hAnsi="Calibri"/>
          <w:b w:val="false"/>
          <w:bCs w:val="false"/>
          <w:color w:val="24313A"/>
          <w:sz w:val="22"/>
          <w:szCs w:val="22"/>
        </w:rPr>
        <w:t xml:space="preserve"> Removing the retirement-date cut-off looks small on paper and large in effect. What did it change, and what does a district have to do to certify a shortage?</w:t>
      </w:r>
    </w:p>
    <w:p>
      <w:pPr>
        <w:spacing w:after="80" w:before="40"/>
        <w:ind w:left="648" w:hanging="288"/>
      </w:pPr>
      <w:r>
        <w:rPr>
          <w:rFonts w:ascii="Calibri" w:cs="Calibri" w:eastAsia="Calibri" w:hAnsi="Calibri"/>
          <w:color w:val="5A6A72"/>
          <w:sz w:val="22"/>
          <w:szCs w:val="22"/>
        </w:rPr>
        <w:t xml:space="preserve">—	</w:t>
      </w:r>
      <w:r>
        <w:rPr>
          <w:rFonts w:ascii="Calibri" w:cs="Calibri" w:eastAsia="Calibri" w:hAnsi="Calibri"/>
          <w:b/>
          <w:bCs/>
          <w:color w:val="24313A"/>
          <w:sz w:val="22"/>
          <w:szCs w:val="22"/>
        </w:rPr>
        <w:t xml:space="preserve">North Carolina.</w:t>
      </w:r>
      <w:r>
        <w:rPr>
          <w:rFonts w:ascii="Calibri" w:cs="Calibri" w:eastAsia="Calibri" w:hAnsi="Calibri"/>
          <w:b w:val="false"/>
          <w:bCs w:val="false"/>
          <w:color w:val="24313A"/>
          <w:sz w:val="22"/>
          <w:szCs w:val="22"/>
        </w:rPr>
        <w:t xml:space="preserve"> Yours is the one case with published research behind it. Why was the policy allowed to lapse, and what would it take to revisit it?</w:t>
      </w:r>
    </w:p>
    <w:p>
      <w:pPr>
        <w:spacing w:after="80" w:before="40"/>
        <w:ind w:left="648" w:hanging="288"/>
      </w:pPr>
      <w:r>
        <w:rPr>
          <w:rFonts w:ascii="Calibri" w:cs="Calibri" w:eastAsia="Calibri" w:hAnsi="Calibri"/>
          <w:color w:val="5A6A72"/>
          <w:sz w:val="22"/>
          <w:szCs w:val="22"/>
        </w:rPr>
        <w:t xml:space="preserve">—	</w:t>
      </w:r>
      <w:r>
        <w:rPr>
          <w:rFonts w:ascii="Calibri" w:cs="Calibri" w:eastAsia="Calibri" w:hAnsi="Calibri"/>
          <w:b/>
          <w:bCs/>
          <w:color w:val="24313A"/>
          <w:sz w:val="22"/>
          <w:szCs w:val="22"/>
        </w:rPr>
        <w:t xml:space="preserve">Virginia.</w:t>
      </w:r>
      <w:r>
        <w:rPr>
          <w:rFonts w:ascii="Calibri" w:cs="Calibri" w:eastAsia="Calibri" w:hAnsi="Calibri"/>
          <w:b w:val="false"/>
          <w:bCs w:val="false"/>
          <w:color w:val="24313A"/>
          <w:sz w:val="22"/>
          <w:szCs w:val="22"/>
        </w:rPr>
        <w:t xml:space="preserve"> Yours went at the licence rather than the pension. What did that change for retirees specifically, and where do things stand now?</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A6A72"/>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313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Re-attracting Former Teachers — Interview scripts</dc:title>
  <dc:creator>José Manuel Torres, José Elías Durán Roa</dc:creator>
  <cp:lastModifiedBy>Un-named</cp:lastModifiedBy>
  <cp:revision>1</cp:revision>
  <dcterms:created xsi:type="dcterms:W3CDTF">2026-09-21T08:08:23.239Z</dcterms:created>
  <dcterms:modified xsi:type="dcterms:W3CDTF">2026-09-21T08:08:23.248Z</dcterms:modified>
</cp:coreProperties>
</file>

<file path=docProps/custom.xml><?xml version="1.0" encoding="utf-8"?>
<Properties xmlns="http://schemas.openxmlformats.org/officeDocument/2006/custom-properties" xmlns:vt="http://schemas.openxmlformats.org/officeDocument/2006/docPropsVTypes"/>
</file>