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pPr>
      <w:r>
        <w:rPr>
          <w:rFonts w:ascii="Garamond" w:cs="Garamond" w:eastAsia="Garamond" w:hAnsi="Garamond"/>
          <w:b/>
          <w:bCs/>
          <w:color w:val="000000"/>
          <w:sz w:val="32"/>
          <w:szCs w:val="32"/>
        </w:rPr>
        <w:t xml:space="preserve">United States</w:t>
      </w:r>
    </w:p>
    <w:p>
      <w:pPr>
        <w:spacing w:after="240"/>
      </w:pPr>
      <w:r>
        <w:rPr>
          <w:rFonts w:ascii="Garamond" w:cs="Garamond" w:eastAsia="Garamond" w:hAnsi="Garamond"/>
          <w:i/>
          <w:iCs/>
          <w:color w:val="555555"/>
          <w:sz w:val="22"/>
          <w:szCs w:val="22"/>
        </w:rPr>
        <w:t xml:space="preserve">State laws letting retired teachers return to work</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in each state, the teachers' retirement system and the department of education or the certification board.</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Almost every state lets a retired teacher return to work under conditions built from four levers: how long they must wait after retiring, how much they may earn, whether the district must show a shortage, and how long the return may last (summary in the table below). What we do not know is how many teachers have returned in most of these states, what the measures have cost the retirement systems, and whether the rules will change again, since several laws were amended in 2025 and 2026 (to check before each conversation).</w:t>
      </w:r>
    </w:p>
    <w:p>
      <w:pPr>
        <w:sectPr>
          <w:footerReference w:type="default" r:id="rId7"/>
          <w:pgSz w:w="12240" w:h="15840" w:orient="portrait"/>
          <w:pgMar w:top="1440" w:right="1440" w:bottom="1440" w:left="1440" w:header="708" w:footer="708" w:gutter="0"/>
          <w:pgNumType/>
          <w:docGrid w:linePitch="360"/>
        </w:sectPr>
      </w:pPr>
    </w:p>
    <w:p>
      <w:pPr>
        <w:spacing w:after="120"/>
      </w:pPr>
      <w:r>
        <w:rPr>
          <w:rFonts w:ascii="Garamond" w:cs="Garamond" w:eastAsia="Garamond" w:hAnsi="Garamond"/>
          <w:b/>
          <w:bCs/>
          <w:sz w:val="24"/>
          <w:szCs w:val="24"/>
        </w:rPr>
        <w:t xml:space="preserve">Return-to-work rules for retired teachers in the six states</w:t>
      </w:r>
    </w:p>
    <w:tbl>
      <w:tblPr>
        <w:tblW w:type="dxa" w:w="12960"/>
        <w:tblBorders>
          <w:top w:val="single" w:color="999999" w:sz="4"/>
          <w:left w:val="single" w:color="999999" w:sz="4"/>
          <w:bottom w:val="single" w:color="999999" w:sz="4"/>
          <w:right w:val="single" w:color="999999" w:sz="4"/>
          <w:insideH w:val="single" w:color="999999" w:sz="4"/>
          <w:insideV w:val="single" w:color="999999" w:sz="4"/>
        </w:tblBorders>
      </w:tblPr>
      <w:tblGrid>
        <w:gridCol w:w="1811"/>
        <w:gridCol w:w="2192"/>
        <w:gridCol w:w="1811"/>
        <w:gridCol w:w="1906"/>
        <w:gridCol w:w="1620"/>
        <w:gridCol w:w="1620"/>
        <w:gridCol w:w="2001"/>
      </w:tblGrid>
      <w:tr>
        <w:trPr>
          <w:tblHeader/>
        </w:trPr>
        <w:tc>
          <w:tcPr>
            <w:tcW w:type="dxa" w:w="1811"/>
            <w:shd w:fill="E8E8E8" w:val="clear"/>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State and law</w:t>
            </w:r>
          </w:p>
        </w:tc>
        <w:tc>
          <w:tcPr>
            <w:tcW w:type="dxa" w:w="2192"/>
            <w:shd w:fill="E8E8E8" w:val="clear"/>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Who may return</w:t>
            </w:r>
          </w:p>
        </w:tc>
        <w:tc>
          <w:tcPr>
            <w:tcW w:type="dxa" w:w="1811"/>
            <w:shd w:fill="E8E8E8" w:val="clear"/>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Waiting period</w:t>
            </w:r>
          </w:p>
        </w:tc>
        <w:tc>
          <w:tcPr>
            <w:tcW w:type="dxa" w:w="1906"/>
            <w:shd w:fill="E8E8E8" w:val="clear"/>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Earnings limit</w:t>
            </w:r>
          </w:p>
        </w:tc>
        <w:tc>
          <w:tcPr>
            <w:tcW w:type="dxa" w:w="1620"/>
            <w:shd w:fill="E8E8E8" w:val="clear"/>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Shortage required?</w:t>
            </w:r>
          </w:p>
        </w:tc>
        <w:tc>
          <w:tcPr>
            <w:tcW w:type="dxa" w:w="1620"/>
            <w:shd w:fill="E8E8E8" w:val="clear"/>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How long / until when</w:t>
            </w:r>
          </w:p>
        </w:tc>
        <w:tc>
          <w:tcPr>
            <w:tcW w:type="dxa" w:w="2001"/>
            <w:shd w:fill="E8E8E8" w:val="clear"/>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Pension while working</w:t>
            </w:r>
          </w:p>
        </w:tc>
      </w:tr>
      <w:tr>
        <w:trPr>
          <w:cantSplit/>
        </w:trPr>
        <w:tc>
          <w:tcPr>
            <w:tcW w:type="dxa" w:w="1811"/>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Michigan</w:t>
            </w:r>
          </w:p>
          <w:p>
            <w:pPr>
              <w:spacing w:after="40"/>
            </w:pPr>
            <w:r>
              <w:rPr>
                <w:rFonts w:ascii="Garamond" w:cs="Garamond" w:eastAsia="Garamond" w:hAnsi="Garamond"/>
                <w:b w:val="false"/>
                <w:bCs w:val="false"/>
                <w:color w:val="000000"/>
                <w:sz w:val="17"/>
                <w:szCs w:val="17"/>
              </w:rPr>
              <w:t xml:space="preserve">Public Act 147 of 2023 (signed 10 Oct 2023). Replaced PA 184 of 2022.</w:t>
            </w:r>
          </w:p>
        </w:tc>
        <w:tc>
          <w:tcPr>
            <w:tcW w:type="dxa" w:w="2192"/>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Any retiree of the school employees' system with a bona fide termination of employment.</w:t>
            </w:r>
          </w:p>
        </w:tc>
        <w:tc>
          <w:tcPr>
            <w:tcW w:type="dxa" w:w="181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Six consecutive months (nine under the 2022 law). A retiree may work before that if earnings stay under $15,100 in the calendar year.</w:t>
            </w:r>
          </w:p>
        </w:tc>
        <w:tc>
          <w:tcPr>
            <w:tcW w:type="dxa" w:w="1906"/>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None once six months have passed.</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 limit on the return. The law expires 10 Oct 2028.</w:t>
            </w:r>
          </w:p>
        </w:tc>
        <w:tc>
          <w:tcPr>
            <w:tcW w:type="dxa" w:w="200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Unaffected, including the insurance subsidy. Applies whether hired directly or through an agency.</w:t>
            </w:r>
          </w:p>
        </w:tc>
      </w:tr>
      <w:tr>
        <w:trPr>
          <w:cantSplit/>
        </w:trPr>
        <w:tc>
          <w:tcPr>
            <w:tcW w:type="dxa" w:w="1811"/>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Georgia</w:t>
            </w:r>
          </w:p>
          <w:p>
            <w:pPr>
              <w:spacing w:after="40"/>
            </w:pPr>
            <w:r>
              <w:rPr>
                <w:rFonts w:ascii="Garamond" w:cs="Garamond" w:eastAsia="Garamond" w:hAnsi="Garamond"/>
                <w:b w:val="false"/>
                <w:bCs w:val="false"/>
                <w:color w:val="000000"/>
                <w:sz w:val="17"/>
                <w:szCs w:val="17"/>
              </w:rPr>
              <w:t xml:space="preserve">House Bill 385 (2022), 1 Jul 2022 – 30 Jun 2026; replaced by Senate Bill 150 from 1 Jul 2026.</w:t>
            </w:r>
          </w:p>
        </w:tc>
        <w:tc>
          <w:tcPr>
            <w:tcW w:type="dxa" w:w="2192"/>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HB 385: retirees with 30+ years of service, certified, hired full time as PreK-12 classroom teachers. SB 150: 25+ years per TRS's legislative update (its SB 150 page still shows 30 in one place; confirm).</w:t>
            </w:r>
          </w:p>
        </w:tc>
        <w:tc>
          <w:tcPr>
            <w:tcW w:type="dxa" w:w="181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One year retired.</w:t>
            </w:r>
          </w:p>
        </w:tc>
        <w:tc>
          <w:tcPr>
            <w:tcW w:type="dxa" w:w="1906"/>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None: full salary plus full pension.</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HB 385: yes, one of the three highest-need subjects of the region, set by the RESA. SB 150: no.</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SB 150 runs to 30 Jun 2034.</w:t>
            </w:r>
          </w:p>
        </w:tc>
        <w:tc>
          <w:tcPr>
            <w:tcW w:type="dxa" w:w="200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Full pension continues. The 2025 state audit counted about 350 returners a year under HB 385.</w:t>
            </w:r>
          </w:p>
        </w:tc>
      </w:tr>
      <w:tr>
        <w:trPr>
          <w:cantSplit/>
        </w:trPr>
        <w:tc>
          <w:tcPr>
            <w:tcW w:type="dxa" w:w="1811"/>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New Mexico</w:t>
            </w:r>
          </w:p>
          <w:p>
            <w:pPr>
              <w:spacing w:after="40"/>
            </w:pPr>
            <w:r>
              <w:rPr>
                <w:rFonts w:ascii="Garamond" w:cs="Garamond" w:eastAsia="Garamond" w:hAnsi="Garamond"/>
                <w:b w:val="false"/>
                <w:bCs w:val="false"/>
                <w:color w:val="000000"/>
                <w:sz w:val="17"/>
                <w:szCs w:val="17"/>
              </w:rPr>
              <w:t xml:space="preserve">Educational Retirees Returning to Work Act, HB 73 (2022); SB 133 (signed 10 Apr 2025).</w:t>
            </w:r>
          </w:p>
        </w:tc>
        <w:tc>
          <w:tcPr>
            <w:tcW w:type="dxa" w:w="2192"/>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Retirees of the Educational Retirement Board; each return is applied for and approved by the Board.</w:t>
            </w:r>
          </w:p>
        </w:tc>
        <w:tc>
          <w:tcPr>
            <w:tcW w:type="dxa" w:w="181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90-day layout after retirement.</w:t>
            </w:r>
          </w:p>
        </w:tc>
        <w:tc>
          <w:tcPr>
            <w:tcW w:type="dxa" w:w="1906"/>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None under the months-limited programme. Two alternatives exist: work at 0.25 FTE or less, or earn under $25,000 a fiscal year (was $15,000 before SB 133).</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Up to 60 consecutive or non-consecutive months (36 before SB 133).</w:t>
            </w:r>
          </w:p>
        </w:tc>
        <w:tc>
          <w:tcPr>
            <w:tcW w:type="dxa" w:w="200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Full pension continues. Retiree and employer pay non-refundable contributions; no new service credit.</w:t>
            </w:r>
          </w:p>
        </w:tc>
      </w:tr>
      <w:tr>
        <w:trPr>
          <w:cantSplit/>
        </w:trPr>
        <w:tc>
          <w:tcPr>
            <w:tcW w:type="dxa" w:w="1811"/>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Louisiana</w:t>
            </w:r>
          </w:p>
          <w:p>
            <w:pPr>
              <w:spacing w:after="40"/>
            </w:pPr>
            <w:r>
              <w:rPr>
                <w:rFonts w:ascii="Garamond" w:cs="Garamond" w:eastAsia="Garamond" w:hAnsi="Garamond"/>
                <w:b w:val="false"/>
                <w:bCs w:val="false"/>
                <w:color w:val="000000"/>
                <w:sz w:val="17"/>
                <w:szCs w:val="17"/>
              </w:rPr>
              <w:t xml:space="preserve">Act 394 of 2024 (signed May 2024).</w:t>
            </w:r>
          </w:p>
        </w:tc>
        <w:tc>
          <w:tcPr>
            <w:tcW w:type="dxa" w:w="2192"/>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Retired on or after 1 Jul 2020: full or part time as PreK-12 classroom teacher in specified subjects, or in a critical-shortage position. Retired before 1 Jul 2020: part time in a critical-shortage position.</w:t>
            </w:r>
          </w:p>
        </w:tc>
        <w:tc>
          <w:tcPr>
            <w:tcW w:type="dxa" w:w="181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Twelve months.</w:t>
            </w:r>
          </w:p>
        </w:tc>
        <w:tc>
          <w:tcPr>
            <w:tcW w:type="dxa" w:w="1906"/>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None in those positions.</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Yes for critical-shortage positions: the employer certifies the shortage to TRSL.</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 stated limit; certification is renewed with the employer.</w:t>
            </w:r>
          </w:p>
        </w:tc>
        <w:tc>
          <w:tcPr>
            <w:tcW w:type="dxa" w:w="200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Neither suspended nor reduced. Both sides contribute, no new credit. Hired through a staffing agency: benefits suspended.</w:t>
            </w:r>
          </w:p>
        </w:tc>
      </w:tr>
      <w:tr>
        <w:trPr>
          <w:cantSplit/>
        </w:trPr>
        <w:tc>
          <w:tcPr>
            <w:tcW w:type="dxa" w:w="1811"/>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North Carolina</w:t>
            </w:r>
          </w:p>
          <w:p>
            <w:pPr>
              <w:spacing w:after="40"/>
            </w:pPr>
            <w:r>
              <w:rPr>
                <w:rFonts w:ascii="Garamond" w:cs="Garamond" w:eastAsia="Garamond" w:hAnsi="Garamond"/>
                <w:b w:val="false"/>
                <w:bCs w:val="false"/>
                <w:color w:val="000000"/>
                <w:sz w:val="17"/>
                <w:szCs w:val="17"/>
              </w:rPr>
              <w:t xml:space="preserve">General return-to-work rule of the Teachers' and State Employees' Retirement System. Exception in force 1999–2009 (lapsed).</w:t>
            </w:r>
          </w:p>
        </w:tc>
        <w:tc>
          <w:tcPr>
            <w:tcW w:type="dxa" w:w="2192"/>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Any TSERS retiree, after the break.</w:t>
            </w:r>
          </w:p>
        </w:tc>
        <w:tc>
          <w:tcPr>
            <w:tcW w:type="dxa" w:w="181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Six months, during which no paid work for any system employer, substitute teaching included.</w:t>
            </w:r>
          </w:p>
        </w:tc>
        <w:tc>
          <w:tcPr>
            <w:tcW w:type="dxa" w:w="1906"/>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The greater of 50% of pre-retirement pay or $42,160 (2026). Above that, the pension is suspended. From 1999 to 2009 retired teachers could return full time on full salary with no cap.</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 limit within the cap.</w:t>
            </w:r>
          </w:p>
        </w:tc>
        <w:tc>
          <w:tcPr>
            <w:tcW w:type="dxa" w:w="200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Continues while earnings stay under the cap. Research on the 1999–2009 window finds returners went disproportionately to high-need schools.</w:t>
            </w:r>
          </w:p>
        </w:tc>
      </w:tr>
      <w:tr>
        <w:trPr>
          <w:cantSplit/>
        </w:trPr>
        <w:tc>
          <w:tcPr>
            <w:tcW w:type="dxa" w:w="1811"/>
            <w:tcMar>
              <w:top w:type="dxa" w:w="60"/>
              <w:left w:type="dxa" w:w="80"/>
              <w:bottom w:type="dxa" w:w="60"/>
              <w:right w:type="dxa" w:w="80"/>
            </w:tcMar>
          </w:tcPr>
          <w:p>
            <w:pPr>
              <w:spacing w:after="40"/>
            </w:pPr>
            <w:r>
              <w:rPr>
                <w:rFonts w:ascii="Garamond" w:cs="Garamond" w:eastAsia="Garamond" w:hAnsi="Garamond"/>
                <w:b/>
                <w:bCs/>
                <w:color w:val="000000"/>
                <w:sz w:val="17"/>
                <w:szCs w:val="17"/>
              </w:rPr>
              <w:t xml:space="preserve">Virginia</w:t>
            </w:r>
          </w:p>
          <w:p>
            <w:pPr>
              <w:spacing w:after="40"/>
            </w:pPr>
            <w:r>
              <w:rPr>
                <w:rFonts w:ascii="Garamond" w:cs="Garamond" w:eastAsia="Garamond" w:hAnsi="Garamond"/>
                <w:b w:val="false"/>
                <w:bCs w:val="false"/>
                <w:color w:val="000000"/>
                <w:sz w:val="17"/>
                <w:szCs w:val="17"/>
              </w:rPr>
              <w:t xml:space="preserve">Critical-shortage provisions administered by the Virginia Retirement System, break shortened from 12 to 6 months from 1 Jul 2023; Executive Directive 3 (2022) on licensure.</w:t>
            </w:r>
          </w:p>
        </w:tc>
        <w:tc>
          <w:tcPr>
            <w:tcW w:type="dxa" w:w="2192"/>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VRS retirees hired full time into a certified critical-shortage position (teachers, principals, specialised student support, bus drivers). Not those retired under an early-retirement incentive or on disability, and no pre-arranged agreement before retiring.</w:t>
            </w:r>
          </w:p>
        </w:tc>
        <w:tc>
          <w:tcPr>
            <w:tcW w:type="dxa" w:w="181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Six consecutive months with no work, paid or volunteer, for any VRS employer.</w:t>
            </w:r>
          </w:p>
        </w:tc>
        <w:tc>
          <w:tcPr>
            <w:tcW w:type="dxa" w:w="1906"/>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None: full salary plus full benefit.</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Yes: the school division certifies the position each year (form VRS-160).</w:t>
            </w:r>
          </w:p>
        </w:tc>
        <w:tc>
          <w:tcPr>
            <w:tcW w:type="dxa" w:w="1620"/>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The provisions expire 1 Jul 2028.</w:t>
            </w:r>
          </w:p>
        </w:tc>
        <w:tc>
          <w:tcPr>
            <w:tcW w:type="dxa" w:w="2001"/>
            <w:tcMar>
              <w:top w:type="dxa" w:w="60"/>
              <w:left w:type="dxa" w:w="80"/>
              <w:bottom w:type="dxa" w:w="60"/>
              <w:right w:type="dxa" w:w="80"/>
            </w:tcMar>
          </w:tcPr>
          <w:p>
            <w:pPr>
              <w:spacing w:after="40"/>
            </w:pPr>
            <w:r>
              <w:rPr>
                <w:rFonts w:ascii="Garamond" w:cs="Garamond" w:eastAsia="Garamond" w:hAnsi="Garamond"/>
                <w:b w:val="false"/>
                <w:bCs w:val="false"/>
                <w:color w:val="000000"/>
                <w:sz w:val="17"/>
                <w:szCs w:val="17"/>
              </w:rPr>
              <w:t xml:space="preserve">Full benefit continues; no new service credit.</w:t>
            </w:r>
          </w:p>
        </w:tc>
      </w:tr>
    </w:tbl>
    <w:p>
      <w:pPr>
        <w:spacing w:after="40" w:before="160"/>
      </w:pPr>
      <w:r>
        <w:rPr>
          <w:rFonts w:ascii="Garamond" w:cs="Garamond" w:eastAsia="Garamond" w:hAnsi="Garamond"/>
          <w:i/>
          <w:iCs/>
          <w:color w:val="555555"/>
          <w:sz w:val="18"/>
          <w:szCs w:val="18"/>
        </w:rPr>
        <w:t xml:space="preserve">Checked against the following sources, September 2026:</w:t>
      </w:r>
    </w:p>
    <w:p>
      <w:pPr>
        <w:spacing w:after="20"/>
        <w:ind w:left="288" w:hanging="288"/>
      </w:pPr>
      <w:r>
        <w:rPr>
          <w:rFonts w:ascii="Garamond" w:cs="Garamond" w:eastAsia="Garamond" w:hAnsi="Garamond"/>
          <w:color w:val="555555"/>
          <w:sz w:val="18"/>
          <w:szCs w:val="18"/>
        </w:rPr>
        <w:t xml:space="preserve">– Michigan Office of Retirement Services, Public Act 147 of 2023 FAQs, michigan.gov/orsschools/pa-147-of-2023-faqs; archive of PA 184 of 2022, michigan.gov/psru.</w:t>
      </w:r>
    </w:p>
    <w:p>
      <w:pPr>
        <w:spacing w:after="20"/>
        <w:ind w:left="288" w:hanging="288"/>
      </w:pPr>
      <w:r>
        <w:rPr>
          <w:rFonts w:ascii="Garamond" w:cs="Garamond" w:eastAsia="Garamond" w:hAnsi="Garamond"/>
          <w:color w:val="555555"/>
          <w:sz w:val="18"/>
          <w:szCs w:val="18"/>
        </w:rPr>
        <w:t xml:space="preserve">– Teachers Retirement System of Georgia, HB 385 Employment and SB 150 Employment pages and Legislative Update, trsga.com; Georgia Department of Audits and Accounts, Retired Teachers Return to Work (2025).</w:t>
      </w:r>
    </w:p>
    <w:p>
      <w:pPr>
        <w:spacing w:after="20"/>
        <w:ind w:left="288" w:hanging="288"/>
      </w:pPr>
      <w:r>
        <w:rPr>
          <w:rFonts w:ascii="Garamond" w:cs="Garamond" w:eastAsia="Garamond" w:hAnsi="Garamond"/>
          <w:color w:val="555555"/>
          <w:sz w:val="18"/>
          <w:szCs w:val="18"/>
        </w:rPr>
        <w:t xml:space="preserve">– New Mexico Educational Retirement Board, Returning to Work after Retirement, erb.nm.gov; Legislative Education Study Committee analysis of SB 133 (2025), nmlegis.gov.</w:t>
      </w:r>
    </w:p>
    <w:p>
      <w:pPr>
        <w:spacing w:after="20"/>
        <w:ind w:left="288" w:hanging="288"/>
      </w:pPr>
      <w:r>
        <w:rPr>
          <w:rFonts w:ascii="Garamond" w:cs="Garamond" w:eastAsia="Garamond" w:hAnsi="Garamond"/>
          <w:color w:val="555555"/>
          <w:sz w:val="18"/>
          <w:szCs w:val="18"/>
        </w:rPr>
        <w:t xml:space="preserve">– Teachers' Retirement System of Louisiana, Regular Session News 18 and 19 (2024) and Return to Work FAQs, trsl.org.</w:t>
      </w:r>
    </w:p>
    <w:p>
      <w:pPr>
        <w:spacing w:after="20"/>
        <w:ind w:left="288" w:hanging="288"/>
      </w:pPr>
      <w:r>
        <w:rPr>
          <w:rFonts w:ascii="Garamond" w:cs="Garamond" w:eastAsia="Garamond" w:hAnsi="Garamond"/>
          <w:color w:val="555555"/>
          <w:sz w:val="18"/>
          <w:szCs w:val="18"/>
        </w:rPr>
        <w:t xml:space="preserve">– North Carolina Retirement Systems, Return to Work Laws, myncretirement.gov; Jarrold-Grapes, Retirees return to work: how a North Carolina policy helped staff high-need schools, Education Policy Analysis Archives.</w:t>
      </w:r>
    </w:p>
    <w:p>
      <w:pPr>
        <w:spacing w:after="20"/>
        <w:ind w:left="288" w:hanging="288"/>
      </w:pPr>
      <w:r>
        <w:rPr>
          <w:rFonts w:ascii="Garamond" w:cs="Garamond" w:eastAsia="Garamond" w:hAnsi="Garamond"/>
          <w:color w:val="555555"/>
          <w:sz w:val="18"/>
          <w:szCs w:val="18"/>
        </w:rPr>
        <w:t xml:space="preserve">– Virginia Retirement System, Critical Shortage Positions and Employer Update May 2023, varetire.org.</w:t>
      </w:r>
    </w:p>
    <w:p>
      <w:pPr>
        <w:sectPr>
          <w:footerReference w:type="default" r:id="rId8"/>
          <w:pgSz w:w="15840" w:h="12240" w:orient="landscape"/>
          <w:pgMar w:top="1080" w:right="1440" w:bottom="1080" w:left="1440" w:header="708" w:footer="708" w:gutter="0"/>
          <w:pgNumType/>
          <w:docGrid w:linePitch="360"/>
        </w:sectPr>
      </w:pPr>
    </w:p>
    <w:p>
      <w:pPr>
        <w:pStyle w:val="Heading2"/>
        <w:spacing w:after="80" w:before="240"/>
      </w:pPr>
      <w:r>
        <w:rPr>
          <w:rFonts w:ascii="Garamond" w:cs="Garamond" w:eastAsia="Garamond" w:hAnsi="Garamond"/>
          <w:b/>
          <w:bCs/>
          <w:color w:val="000000"/>
          <w:sz w:val="26"/>
          <w:szCs w:val="26"/>
        </w:rPr>
        <w:t xml:space="preserve">For any state</w:t>
      </w:r>
    </w:p>
    <w:p>
      <w:pPr>
        <w:spacing w:after="60" w:before="200"/>
        <w:ind w:left="504" w:hanging="504"/>
      </w:pPr>
      <w:r>
        <w:rPr>
          <w:rFonts w:ascii="Garamond" w:cs="Garamond" w:eastAsia="Garamond" w:hAnsi="Garamond"/>
          <w:b/>
          <w:bCs/>
          <w:sz w:val="24"/>
          <w:szCs w:val="24"/>
        </w:rPr>
        <w:t xml:space="preserve">1.	</w:t>
      </w:r>
      <w:r>
        <w:rPr>
          <w:rFonts w:ascii="Garamond" w:cs="Garamond" w:eastAsia="Garamond" w:hAnsi="Garamond"/>
          <w:b/>
          <w:bCs/>
          <w:color w:val="000000"/>
          <w:sz w:val="24"/>
          <w:szCs w:val="24"/>
        </w:rPr>
        <w:t xml:space="preserve">In what context did this law come about, and with what purpose?</w:t>
      </w:r>
      <w:r>
        <w:rPr>
          <w:rFonts w:ascii="Garamond" w:cs="Garamond" w:eastAsia="Garamond" w:hAnsi="Garamond"/>
          <w:b w:val="false"/>
          <w:bCs w:val="false"/>
          <w:color w:val="000000"/>
          <w:sz w:val="24"/>
          <w:szCs w:val="24"/>
        </w:rPr>
        <w:t xml:space="preserve"> Did the state face strong teacher shortages at that moment?</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Who had to be persuaded: legislature, retirement system, districts, unions?</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another state the model?</w:t>
      </w:r>
    </w:p>
    <w:p>
      <w:pPr>
        <w:spacing w:after="60" w:before="200"/>
        <w:ind w:left="504" w:hanging="504"/>
      </w:pPr>
      <w:r>
        <w:rPr>
          <w:rFonts w:ascii="Garamond" w:cs="Garamond" w:eastAsia="Garamond" w:hAnsi="Garamond"/>
          <w:b/>
          <w:bCs/>
          <w:sz w:val="24"/>
          <w:szCs w:val="24"/>
        </w:rPr>
        <w:t xml:space="preserve">2.	</w:t>
      </w:r>
      <w:r>
        <w:rPr>
          <w:rFonts w:ascii="Garamond" w:cs="Garamond" w:eastAsia="Garamond" w:hAnsi="Garamond"/>
          <w:b/>
          <w:bCs/>
          <w:color w:val="000000"/>
          <w:sz w:val="24"/>
          <w:szCs w:val="24"/>
        </w:rPr>
        <w:t xml:space="preserve">We understand the rules are built from a few levers: the waiting period, the earnings ceiling, the shortage designation, the duration. Which were argued over, and why did they land where they did?</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waiting period a pension question, a federal-tax question or a political one?</w:t>
      </w:r>
    </w:p>
    <w:p>
      <w:pPr>
        <w:spacing w:after="60" w:before="200"/>
        <w:ind w:left="504" w:hanging="504"/>
      </w:pPr>
      <w:r>
        <w:rPr>
          <w:rFonts w:ascii="Garamond" w:cs="Garamond" w:eastAsia="Garamond" w:hAnsi="Garamond"/>
          <w:b/>
          <w:bCs/>
          <w:sz w:val="24"/>
          <w:szCs w:val="24"/>
        </w:rPr>
        <w:t xml:space="preserve">3.	</w:t>
      </w:r>
      <w:r>
        <w:rPr>
          <w:rFonts w:ascii="Garamond" w:cs="Garamond" w:eastAsia="Garamond" w:hAnsi="Garamond"/>
          <w:b/>
          <w:bCs/>
          <w:color w:val="000000"/>
          <w:sz w:val="24"/>
          <w:szCs w:val="24"/>
        </w:rPr>
        <w:t xml:space="preserve">How would you describe what a retiree has to do to come back, and who decides?</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Where does the paperwork slow people down?</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The licence sits with a different body from the pension. For a lapsed certificate, how much of an obstacle is that?</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district's shortage test a filter or a formality?</w:t>
      </w:r>
    </w:p>
    <w:p>
      <w:pPr>
        <w:spacing w:after="60" w:before="200"/>
        <w:ind w:left="504" w:hanging="504"/>
      </w:pPr>
      <w:r>
        <w:rPr>
          <w:rFonts w:ascii="Garamond" w:cs="Garamond" w:eastAsia="Garamond" w:hAnsi="Garamond"/>
          <w:b/>
          <w:bCs/>
          <w:sz w:val="24"/>
          <w:szCs w:val="24"/>
        </w:rPr>
        <w:t xml:space="preserve">4.	</w:t>
      </w:r>
      <w:r>
        <w:rPr>
          <w:rFonts w:ascii="Garamond" w:cs="Garamond" w:eastAsia="Garamond" w:hAnsi="Garamond"/>
          <w:b/>
          <w:bCs/>
          <w:color w:val="000000"/>
          <w:sz w:val="24"/>
          <w:szCs w:val="24"/>
        </w:rPr>
        <w:t xml:space="preserve">Can you describe the profile of those who come back, the posts they take and the schools they go to?</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 they end up where the shortage is worst?</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 you know what retirees say when they decline?</w:t>
      </w:r>
    </w:p>
    <w:p>
      <w:pPr>
        <w:spacing w:after="60" w:before="200"/>
        <w:ind w:left="504" w:hanging="504"/>
      </w:pPr>
      <w:r>
        <w:rPr>
          <w:rFonts w:ascii="Garamond" w:cs="Garamond" w:eastAsia="Garamond" w:hAnsi="Garamond"/>
          <w:b/>
          <w:bCs/>
          <w:sz w:val="24"/>
          <w:szCs w:val="24"/>
        </w:rPr>
        <w:t xml:space="preserve">5.	</w:t>
      </w:r>
      <w:r>
        <w:rPr>
          <w:rFonts w:ascii="Garamond" w:cs="Garamond" w:eastAsia="Garamond" w:hAnsi="Garamond"/>
          <w:b/>
          <w:bCs/>
          <w:color w:val="000000"/>
          <w:sz w:val="24"/>
          <w:szCs w:val="24"/>
        </w:rPr>
        <w:t xml:space="preserve">According to the research we have seen, there is a concern that returning retirees take posts that would otherwise go to new teachers. Has anyone looked at that in your state?</w:t>
      </w:r>
    </w:p>
    <w:p>
      <w:pPr>
        <w:spacing w:after="60" w:before="200"/>
        <w:ind w:left="504" w:hanging="504"/>
      </w:pPr>
      <w:r>
        <w:rPr>
          <w:rFonts w:ascii="Garamond" w:cs="Garamond" w:eastAsia="Garamond" w:hAnsi="Garamond"/>
          <w:b/>
          <w:bCs/>
          <w:sz w:val="24"/>
          <w:szCs w:val="24"/>
        </w:rPr>
        <w:t xml:space="preserve">6.	</w:t>
      </w:r>
      <w:r>
        <w:rPr>
          <w:rFonts w:ascii="Garamond" w:cs="Garamond" w:eastAsia="Garamond" w:hAnsi="Garamond"/>
          <w:b/>
          <w:bCs/>
          <w:color w:val="000000"/>
          <w:sz w:val="24"/>
          <w:szCs w:val="24"/>
        </w:rPr>
        <w:t xml:space="preserve">Is there any record of how many have returned, and how are they counted?</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has it cost the retirement system, and how is that judged?</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Has the measure been evaluated or audited?</w:t>
      </w:r>
    </w:p>
    <w:p>
      <w:pPr>
        <w:spacing w:after="60" w:before="200"/>
        <w:ind w:left="504" w:hanging="504"/>
      </w:pPr>
      <w:r>
        <w:rPr>
          <w:rFonts w:ascii="Garamond" w:cs="Garamond" w:eastAsia="Garamond" w:hAnsi="Garamond"/>
          <w:b/>
          <w:bCs/>
          <w:sz w:val="24"/>
          <w:szCs w:val="24"/>
        </w:rPr>
        <w:t xml:space="preserve">7.	</w:t>
      </w:r>
      <w:r>
        <w:rPr>
          <w:rFonts w:ascii="Garamond" w:cs="Garamond" w:eastAsia="Garamond" w:hAnsi="Garamond"/>
          <w:b/>
          <w:bCs/>
          <w:color w:val="000000"/>
          <w:sz w:val="24"/>
          <w:szCs w:val="24"/>
        </w:rPr>
        <w:t xml:space="preserve">Do you know about any other policy, in your state or elsewhere, that aims to re-attract former teachers?</w:t>
      </w:r>
    </w:p>
    <w:p>
      <w:pPr>
        <w:spacing w:after="60" w:before="200"/>
        <w:ind w:left="504" w:hanging="504"/>
      </w:pPr>
      <w:r>
        <w:rPr>
          <w:rFonts w:ascii="Garamond" w:cs="Garamond" w:eastAsia="Garamond" w:hAnsi="Garamond"/>
          <w:b/>
          <w:bCs/>
          <w:sz w:val="24"/>
          <w:szCs w:val="24"/>
        </w:rPr>
        <w:t xml:space="preserve">8.	</w:t>
      </w:r>
      <w:r>
        <w:rPr>
          <w:rFonts w:ascii="Garamond" w:cs="Garamond" w:eastAsia="Garamond" w:hAnsi="Garamond"/>
          <w:b/>
          <w:bCs/>
          <w:color w:val="000000"/>
          <w:sz w:val="24"/>
          <w:szCs w:val="24"/>
        </w:rPr>
        <w:t xml:space="preserve">Overall, what is your assessment of its impact, and what will decide whether it is kept when it expires?</w:t>
      </w:r>
    </w:p>
    <w:p>
      <w:pPr>
        <w:spacing w:after="4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would you tell another state to do differently?</w:t>
      </w:r>
    </w:p>
    <w:p>
      <w:pPr>
        <w:spacing w:after="60" w:before="200"/>
        <w:ind w:left="504" w:hanging="504"/>
      </w:pPr>
      <w:r>
        <w:rPr>
          <w:rFonts w:ascii="Garamond" w:cs="Garamond" w:eastAsia="Garamond" w:hAnsi="Garamond"/>
          <w:b/>
          <w:bCs/>
          <w:sz w:val="24"/>
          <w:szCs w:val="24"/>
        </w:rPr>
        <w:t xml:space="preserve">9.	</w:t>
      </w:r>
      <w:r>
        <w:rPr>
          <w:rFonts w:ascii="Garamond" w:cs="Garamond" w:eastAsia="Garamond" w:hAnsi="Garamond"/>
          <w:b/>
          <w:bCs/>
          <w:color w:val="000000"/>
          <w:sz w:val="24"/>
          <w:szCs w:val="24"/>
        </w:rPr>
        <w:t xml:space="preserve">Is there someone at the retirement system or on the certification side you would recommend we speak to?</w:t>
      </w:r>
    </w:p>
    <w:p>
      <w:pPr>
        <w:pStyle w:val="Heading2"/>
        <w:spacing w:after="80" w:before="240"/>
      </w:pPr>
      <w:r>
        <w:rPr>
          <w:rFonts w:ascii="Garamond" w:cs="Garamond" w:eastAsia="Garamond" w:hAnsi="Garamond"/>
          <w:b/>
          <w:bCs/>
          <w:color w:val="000000"/>
          <w:sz w:val="26"/>
          <w:szCs w:val="26"/>
        </w:rPr>
        <w:t xml:space="preserve">One follow-up per state</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Michigan.</w:t>
      </w:r>
      <w:r>
        <w:rPr>
          <w:rFonts w:ascii="Garamond" w:cs="Garamond" w:eastAsia="Garamond" w:hAnsi="Garamond"/>
          <w:b w:val="false"/>
          <w:bCs w:val="false"/>
          <w:color w:val="000000"/>
          <w:sz w:val="24"/>
          <w:szCs w:val="24"/>
        </w:rPr>
        <w:t xml:space="preserve"> Is the six-month wait still what holds people back, and how does the requirement of a genuine separation from the employer work when it also reaches hiring through an agency?</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Georgia.</w:t>
      </w:r>
      <w:r>
        <w:rPr>
          <w:rFonts w:ascii="Garamond" w:cs="Garamond" w:eastAsia="Garamond" w:hAnsi="Garamond"/>
          <w:b w:val="false"/>
          <w:bCs w:val="false"/>
          <w:color w:val="000000"/>
          <w:sz w:val="24"/>
          <w:szCs w:val="24"/>
        </w:rPr>
        <w:t xml:space="preserve"> The audit named the one-year wait as the main deterrent, and the new law appears to have kept it while widening eligibility. How was that decided?</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New Mexico.</w:t>
      </w:r>
      <w:r>
        <w:rPr>
          <w:rFonts w:ascii="Garamond" w:cs="Garamond" w:eastAsia="Garamond" w:hAnsi="Garamond"/>
          <w:b w:val="false"/>
          <w:bCs w:val="false"/>
          <w:color w:val="000000"/>
          <w:sz w:val="24"/>
          <w:szCs w:val="24"/>
        </w:rPr>
        <w:t xml:space="preserve"> What does the retirement board's approval consist of, and what happens when the months allowed run out?</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Louisiana.</w:t>
      </w:r>
      <w:r>
        <w:rPr>
          <w:rFonts w:ascii="Garamond" w:cs="Garamond" w:eastAsia="Garamond" w:hAnsi="Garamond"/>
          <w:b w:val="false"/>
          <w:bCs w:val="false"/>
          <w:color w:val="000000"/>
          <w:sz w:val="24"/>
          <w:szCs w:val="24"/>
        </w:rPr>
        <w:t xml:space="preserve"> Removing the retirement-date cut-off looks small on paper and large in effect. What did it change, and how does a district certify a shortage?</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North Carolina.</w:t>
      </w:r>
      <w:r>
        <w:rPr>
          <w:rFonts w:ascii="Garamond" w:cs="Garamond" w:eastAsia="Garamond" w:hAnsi="Garamond"/>
          <w:b w:val="false"/>
          <w:bCs w:val="false"/>
          <w:color w:val="000000"/>
          <w:sz w:val="24"/>
          <w:szCs w:val="24"/>
        </w:rPr>
        <w:t xml:space="preserve"> Why was the 1999–2009 policy allowed to lapse, and what would it take to revisit it?</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Virginia.</w:t>
      </w:r>
      <w:r>
        <w:rPr>
          <w:rFonts w:ascii="Garamond" w:cs="Garamond" w:eastAsia="Garamond" w:hAnsi="Garamond"/>
          <w:b w:val="false"/>
          <w:bCs w:val="false"/>
          <w:color w:val="000000"/>
          <w:sz w:val="24"/>
          <w:szCs w:val="24"/>
        </w:rPr>
        <w:t xml:space="preserve"> Acting on the licence rather than the pension: what did that change for retirees, and where does it stand now?</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 interview script</dc:title>
  <dc:creator>José Manuel Torres, José Elías Durán Roa</dc:creator>
  <cp:lastModifiedBy>Un-named</cp:lastModifiedBy>
  <cp:revision>1</cp:revision>
  <dcterms:created xsi:type="dcterms:W3CDTF">2026-09-22T14:42:00.793Z</dcterms:created>
  <dcterms:modified xsi:type="dcterms:W3CDTF">2026-09-22T14:42:00.793Z</dcterms:modified>
</cp:coreProperties>
</file>

<file path=docProps/custom.xml><?xml version="1.0" encoding="utf-8"?>
<Properties xmlns="http://schemas.openxmlformats.org/officeDocument/2006/custom-properties" xmlns:vt="http://schemas.openxmlformats.org/officeDocument/2006/docPropsVTypes"/>
</file>