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w:t>
      </w:r>
    </w:p>
    <w:p>
      <w:pPr>
        <w:spacing w:after="70" w:line="300" w:lineRule="auto"/>
        <w:jc w:val="both"/>
      </w:pPr>
      <w:r>
        <w:rPr>
          <w:rFonts w:ascii="Garamond" w:cs="Garamond" w:eastAsia="Garamond" w:hAnsi="Garamond"/>
          <w:color w:val="1A2430"/>
          <w:sz w:val="22"/>
          <w:szCs w:val="22"/>
        </w:rPr>
        <w:t xml:space="preserve">Obtaining data on teachers who leave the profession is difficult. It requires either longitudinal surveys that follow the same teachers over time or administrative records from the labor market, and both are scarce in the international landscape. Where dedicated instruments exist, they are restricted and infrequent. The reference survey in the United States, the Teacher Follow-up Survey, runs only every four to five years, with gaps between waves, and its microdata are not public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official reports built on these data are therefore the ceiling of what is known. Far deeper characterizations of who leaves, and of who comes back, would be possible if the underlying data were open.</w:t>
      </w:r>
    </w:p>
    <w:p>
      <w:pPr>
        <w:spacing w:after="70" w:line="300" w:lineRule="auto"/>
        <w:jc w:val="both"/>
      </w:pPr>
      <w:r>
        <w:rPr>
          <w:rFonts w:ascii="Garamond" w:cs="Garamond" w:eastAsia="Garamond" w:hAnsi="Garamond"/>
          <w:color w:val="1A2430"/>
          <w:sz w:val="22"/>
          <w:szCs w:val="22"/>
        </w:rPr>
        <w:t xml:space="preserve">Research on this margin is essential, because teacher shortages are a real problem in many school systems and the debate around them runs on evidence that is neither public nor comparable. Annual attrition figures range from about two percent in South Korea to about nine percent in England, but every national statistic measures a different object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 Longitudinal household surveys that exist in several countries at once are a unique and largely unused opportunity. They follow the same people for decades, they record the family, income and health context that administrative data never see, and they allow rich detail on the profile of the leaver and the returner. A serious international debate on teacher attrition needs the insight they can provide.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w:t>
      </w:r>
    </w:p>
    <w:p>
      <w:pPr>
        <w:spacing w:after="50" w:line="300" w:lineRule="auto"/>
        <w:ind w:left="400" w:hanging="280"/>
        <w:jc w:val="both"/>
      </w:pPr>
      <w:r>
        <w:rPr>
          <w:rFonts w:ascii="Garamond" w:cs="Garamond" w:eastAsia="Garamond" w:hAnsi="Garamond"/>
          <w:color w:val="1A2430"/>
          <w:sz w:val="22"/>
          <w:szCs w:val="22"/>
        </w:rPr>
        <w:t xml:space="preserve">1.  To estimate teacher attrition and re-entry rates for seven countries under a single, common definition, decomposed by destination, namely another job, unemployment, or withdrawal from the labor force.</w:t>
      </w:r>
    </w:p>
    <w:p>
      <w:pPr>
        <w:spacing w:after="50" w:line="300" w:lineRule="auto"/>
        <w:ind w:left="400" w:hanging="280"/>
        <w:jc w:val="both"/>
      </w:pPr>
      <w:r>
        <w:rPr>
          <w:rFonts w:ascii="Garamond" w:cs="Garamond" w:eastAsia="Garamond" w:hAnsi="Garamond"/>
          <w:color w:val="1A2430"/>
          <w:sz w:val="22"/>
          <w:szCs w:val="22"/>
        </w:rPr>
        <w:t xml:space="preserve">2.  To characterize the socioeconomic profile of the teachers who leave and of those who return, using identical variables in every country.</w:t>
      </w:r>
    </w:p>
    <w:p>
      <w:pPr>
        <w:spacing w:after="50" w:line="300" w:lineRule="auto"/>
        <w:ind w:left="400" w:hanging="280"/>
        <w:jc w:val="both"/>
      </w:pPr>
      <w:r>
        <w:rPr>
          <w:rFonts w:ascii="Garamond" w:cs="Garamond" w:eastAsia="Garamond" w:hAnsi="Garamond"/>
          <w:color w:val="1A2430"/>
          <w:sz w:val="22"/>
          <w:szCs w:val="22"/>
        </w:rPr>
        <w:t xml:space="preserve">3.  To link cross-country differences in rates and profiles to institutional differences in job protection, pay and family policy, so the comparison speaks to the levers governments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Several countries run an annual longitudinal survey that follows a representative sample of households over decades, asking about jobs, incomes, partners, children and health. Because the same people answer year after year, these studies watch careers unfold in a way no snapshot can. The Comparative Panel File (CPF) is an academic initiative that harmonizes the seven longest-running of these panels into one open structure with identical variables for employment, income, family and wellbeing </w:t>
      </w:r>
      <w:r>
        <w:rPr>
          <w:rFonts w:ascii="Garamond" w:cs="Garamond" w:eastAsia="Garamond" w:hAnsi="Garamond"/>
          <w:color w:val="2A5DB0"/>
          <w:sz w:val="22"/>
          <w:szCs w:val="22"/>
        </w:rPr>
        <w:t xml:space="preserve">(Turek, Kalmijn and Leopold 2021)</w:t>
      </w:r>
      <w:r>
        <w:rPr>
          <w:rFonts w:ascii="Garamond" w:cs="Garamond" w:eastAsia="Garamond" w:hAnsi="Garamond"/>
          <w:color w:val="1A2430"/>
          <w:sz w:val="22"/>
          <w:szCs w:val="22"/>
        </w:rPr>
        <w:t xml:space="preserve">. It has been used to study retirement, divorce and unemployment across countries. It has never been used for teachers.</w:t>
      </w:r>
    </w:p>
    <w:p>
      <w:pPr>
        <w:spacing w:after="40" w:before="60"/>
      </w:pPr>
      <w:r>
        <w:rPr>
          <w:rFonts w:ascii="Garamond" w:cs="Garamond" w:eastAsia="Garamond" w:hAnsi="Garamond"/>
          <w:i/>
          <w:iCs/>
          <w:color w:val="5A6572"/>
          <w:sz w:val="20"/>
          <w:szCs w:val="20"/>
        </w:rPr>
        <w:t xml:space="preserve">Table 1. The seven household panels of the Comparative Panel File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500"/>
        <w:gridCol w:w="1900"/>
      </w:tblGrid>
      <w:tr>
        <w:tc>
          <w:tcPr>
            <w:tcW w:type="dxa" w:w="27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Country</w:t>
            </w:r>
          </w:p>
        </w:tc>
        <w:tc>
          <w:tcPr>
            <w:tcW w:type="dxa" w:w="33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 panel</w:t>
            </w:r>
          </w:p>
        </w:tc>
        <w:tc>
          <w:tcPr>
            <w:tcW w:type="dxa" w:w="15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Since</w:t>
            </w:r>
          </w:p>
        </w:tc>
        <w:tc>
          <w:tcPr>
            <w:tcW w:type="dxa" w:w="19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Households per wave</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States</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PSID</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1968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Germany</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SOEP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1984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15,000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Kingdom</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BHPS, then Understanding Society</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30,000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Russia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RLMS-HSE</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4,500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South Korea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KLIPS</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Switzerland</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SHP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1999</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Australia</w:t>
            </w:r>
          </w:p>
        </w:tc>
        <w:tc>
          <w:tcPr>
            <w:tcW w:type="dxa" w:w="33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HILDA</w:t>
            </w:r>
          </w:p>
        </w:tc>
        <w:tc>
          <w:tcPr>
            <w:tcW w:type="dxa" w:w="15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2001</w:t>
            </w:r>
          </w:p>
        </w:tc>
        <w:tc>
          <w:tcPr>
            <w:tcW w:type="dxa" w:w="19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9,500</w:t>
            </w:r>
          </w:p>
        </w:tc>
      </w:tr>
    </w:tbl>
    <w:p>
      <w:pPr>
        <w:spacing w:after="70"/>
      </w:pP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three thousand and twenty-five thousand teacher-year observations per country. That is enough to estimate a leaving rate with a precision of about half a percentage point and to support profiles by age, sex and family situation, though not year-by-year series in the smaller countries. All seven panels are open to researchers at no or nominal cost, and the harmonization code is public, so every result can be replicated.</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 set of twenty-five administrative benchmarks compiled for this proposal from ministries, statistical offices and teacher registers.</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w:t>
      </w:r>
    </w:p>
    <w:p>
      <w:pPr>
        <w:spacing w:after="70" w:line="300" w:lineRule="auto"/>
        <w:jc w:val="both"/>
      </w:pPr>
      <w:r>
        <w:rPr>
          <w:rFonts w:ascii="Garamond" w:cs="Garamond" w:eastAsia="Garamond" w:hAnsi="Garamond"/>
          <w:color w:val="1A2430"/>
          <w:sz w:val="22"/>
          <w:szCs w:val="22"/>
        </w:rPr>
        <w:t xml:space="preserve">The project also feeds directly into the OECD Unlocking Teachers' Potential study. It serves the working paper on former teachers now in preparation, and it informs the study as a whole by delivering a database in which teachers, their exits and their returns can be followed in seven of the world's major economies.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2026-07-21T15:58:04.606Z</dcterms:created>
  <dcterms:modified xsi:type="dcterms:W3CDTF">2026-07-21T15:58:04.609Z</dcterms:modified>
</cp:coreProperties>
</file>

<file path=docProps/custom.xml><?xml version="1.0" encoding="utf-8"?>
<Properties xmlns="http://schemas.openxmlformats.org/officeDocument/2006/custom-properties" xmlns:vt="http://schemas.openxmlformats.org/officeDocument/2006/docPropsVTypes"/>
</file>