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aramond" w:cs="Garamond" w:eastAsia="Garamond" w:hAnsi="Garamond"/>
          <w:b/>
          <w:bCs/>
          <w:color w:val="1A2430"/>
          <w:sz w:val="30"/>
          <w:szCs w:val="30"/>
        </w:rPr>
        <w:t xml:space="preserve">Who Leaves Teaching—and Who Comes Back?</w:t>
      </w:r>
    </w:p>
    <w:p>
      <w:pPr>
        <w:spacing w:after="120"/>
        <w:jc w:val="center"/>
      </w:pPr>
      <w:r>
        <w:rPr>
          <w:rFonts w:ascii="Garamond" w:cs="Garamond" w:eastAsia="Garamond" w:hAnsi="Garamond"/>
          <w:color w:val="1A2430"/>
          <w:sz w:val="24"/>
          <w:szCs w:val="24"/>
        </w:rPr>
        <w:t xml:space="preserve">A Harmonized Cross-Country Anatomy of Teacher Attrition in the Comparative Panel File</w:t>
      </w:r>
    </w:p>
    <w:p>
      <w:pPr>
        <w:spacing w:after="260"/>
        <w:jc w:val="center"/>
      </w:pPr>
      <w:r>
        <w:rPr>
          <w:rFonts w:ascii="Garamond" w:cs="Garamond" w:eastAsia="Garamond" w:hAnsi="Garamond"/>
          <w:color w:val="1A2430"/>
          <w:sz w:val="22"/>
          <w:szCs w:val="22"/>
        </w:rPr>
        <w:t xml:space="preserve">José Elías Durán Roa</w:t>
      </w:r>
      <w:r>
        <w:rPr>
          <w:rFonts w:ascii="Garamond" w:cs="Garamond" w:eastAsia="Garamond" w:hAnsi="Garamond"/>
          <w:color w:val="5A6572"/>
          <w:sz w:val="20"/>
          <w:szCs w:val="20"/>
        </w:rPr>
        <w:t xml:space="preserve">   ·   University of Alicante and OECD   ·   July 2026</w:t>
      </w:r>
    </w:p>
    <w:p>
      <w:pPr>
        <w:spacing w:after="120" w:line="264" w:lineRule="auto"/>
        <w:jc w:val="both"/>
      </w:pPr>
      <w:r>
        <w:rPr>
          <w:rFonts w:ascii="Garamond" w:cs="Garamond" w:eastAsia="Garamond" w:hAnsi="Garamond"/>
          <w:b/>
          <w:bCs/>
          <w:color w:val="1A2430"/>
          <w:sz w:val="22"/>
          <w:szCs w:val="22"/>
        </w:rPr>
        <w:t xml:space="preserve">The problem. </w:t>
      </w:r>
      <w:r>
        <w:rPr>
          <w:rFonts w:ascii="Garamond" w:cs="Garamond" w:eastAsia="Garamond" w:hAnsi="Garamond"/>
          <w:color w:val="1A2430"/>
          <w:sz w:val="22"/>
          <w:szCs w:val="22"/>
        </w:rPr>
        <w:t xml:space="preserve">Teacher attrition is a first-order policy concern in every school system, yet nearly everything known about it is single-country and single-source. Administrative registers measure the level well but stop at the school door: they carry few personal characteristics, rarely observe destinations, and never observe returns </w:t>
      </w:r>
      <w:r>
        <w:rPr>
          <w:rFonts w:ascii="Garamond" w:cs="Garamond" w:eastAsia="Garamond" w:hAnsi="Garamond"/>
          <w:color w:val="2A5DB0"/>
          <w:sz w:val="22"/>
          <w:szCs w:val="22"/>
        </w:rPr>
        <w:t xml:space="preserve">(DfE 2025; BFS 2022)</w:t>
      </w:r>
      <w:r>
        <w:rPr>
          <w:rFonts w:ascii="Garamond" w:cs="Garamond" w:eastAsia="Garamond" w:hAnsi="Garamond"/>
          <w:color w:val="1A2430"/>
          <w:sz w:val="22"/>
          <w:szCs w:val="22"/>
        </w:rPr>
        <w:t xml:space="preserve">. Follow-up surveys are richer but infrequent and closed—the U.S. instrument runs every four to five years under restricted-use licenses </w:t>
      </w:r>
      <w:r>
        <w:rPr>
          <w:rFonts w:ascii="Garamond" w:cs="Garamond" w:eastAsia="Garamond" w:hAnsi="Garamond"/>
          <w:color w:val="2A5DB0"/>
          <w:sz w:val="22"/>
          <w:szCs w:val="22"/>
        </w:rPr>
        <w:t xml:space="preserve">(Goldring, Taie and Riddles 2014; NCES 2024)</w:t>
      </w:r>
      <w:r>
        <w:rPr>
          <w:rFonts w:ascii="Garamond" w:cs="Garamond" w:eastAsia="Garamond" w:hAnsi="Garamond"/>
          <w:color w:val="1A2430"/>
          <w:sz w:val="22"/>
          <w:szCs w:val="22"/>
        </w:rPr>
        <w:t xml:space="preserve">. And cross-country comparison founders on incompatible definitions: gross school separations, sector exits, profession exits, and voluntary quits are different objects, and every country publishes a different one </w:t>
      </w:r>
      <w:r>
        <w:rPr>
          <w:rFonts w:ascii="Garamond" w:cs="Garamond" w:eastAsia="Garamond" w:hAnsi="Garamond"/>
          <w:color w:val="2A5DB0"/>
          <w:sz w:val="22"/>
          <w:szCs w:val="22"/>
        </w:rPr>
        <w:t xml:space="preserve">(author’s compilation of 25 administrative sources, 2026)</w:t>
      </w:r>
      <w:r>
        <w:rPr>
          <w:rFonts w:ascii="Garamond" w:cs="Garamond" w:eastAsia="Garamond" w:hAnsi="Garamond"/>
          <w:color w:val="1A2430"/>
          <w:sz w:val="22"/>
          <w:szCs w:val="22"/>
        </w:rPr>
        <w:t xml:space="preserve">.</w:t>
      </w:r>
    </w:p>
    <w:p>
      <w:pPr>
        <w:spacing w:after="120" w:line="264" w:lineRule="auto"/>
        <w:jc w:val="both"/>
      </w:pPr>
      <w:r>
        <w:rPr>
          <w:rFonts w:ascii="Garamond" w:cs="Garamond" w:eastAsia="Garamond" w:hAnsi="Garamond"/>
          <w:b/>
          <w:bCs/>
          <w:color w:val="1A2430"/>
          <w:sz w:val="22"/>
          <w:szCs w:val="22"/>
        </w:rPr>
        <w:t xml:space="preserve">The proposal. </w:t>
      </w:r>
      <w:r>
        <w:rPr>
          <w:rFonts w:ascii="Garamond" w:cs="Garamond" w:eastAsia="Garamond" w:hAnsi="Garamond"/>
          <w:color w:val="1A2430"/>
          <w:sz w:val="22"/>
          <w:szCs w:val="22"/>
        </w:rPr>
        <w:t xml:space="preserve">I propose the first harmonized cross-country characterization of the profile of teachers who leave the profession—and of those who return—using the Comparative Panel File </w:t>
      </w:r>
      <w:r>
        <w:rPr>
          <w:rFonts w:ascii="Garamond" w:cs="Garamond" w:eastAsia="Garamond" w:hAnsi="Garamond"/>
          <w:color w:val="2A5DB0"/>
          <w:sz w:val="22"/>
          <w:szCs w:val="22"/>
        </w:rPr>
        <w:t xml:space="preserve">(CPF; Turek, Kalmijn and Leopold 2021)</w:t>
      </w:r>
      <w:r>
        <w:rPr>
          <w:rFonts w:ascii="Garamond" w:cs="Garamond" w:eastAsia="Garamond" w:hAnsi="Garamond"/>
          <w:color w:val="1A2430"/>
          <w:sz w:val="22"/>
          <w:szCs w:val="22"/>
        </w:rPr>
        <w:t xml:space="preserve">, which harmonizes the seven longest-running national household panels: PSID (United States), Understanding Society (United Kingdom), SOEP (Germany), HILDA (Australia), KLIPS (Korea), RLMS-HSE (Russia), and SHP (Switzerland). Household panels are the only design that observes exit and re-entry together with the socioeconomic life running alongside them—partnership, births, spousal earnings, health, satisfaction, hours and pay. That is exactly what registers lack, and it is what makes a profile, not just a rate, possible.</w:t>
      </w:r>
    </w:p>
    <w:p>
      <w:pPr>
        <w:spacing w:after="120" w:line="264" w:lineRule="auto"/>
        <w:jc w:val="both"/>
      </w:pPr>
      <w:r>
        <w:rPr>
          <w:rFonts w:ascii="Garamond" w:cs="Garamond" w:eastAsia="Garamond" w:hAnsi="Garamond"/>
          <w:b/>
          <w:bCs/>
          <w:color w:val="1A2430"/>
          <w:sz w:val="22"/>
          <w:szCs w:val="22"/>
        </w:rPr>
        <w:t xml:space="preserve">The contribution. </w:t>
      </w:r>
      <w:r>
        <w:rPr>
          <w:rFonts w:ascii="Garamond" w:cs="Garamond" w:eastAsia="Garamond" w:hAnsi="Garamond"/>
          <w:color w:val="1A2430"/>
          <w:sz w:val="22"/>
          <w:szCs w:val="22"/>
        </w:rPr>
        <w:t xml:space="preserve">Three deliverables no existing study provides. First, pooled profession-leaving and return rates per country under one common definition, decomposed by route (job change, unemployment, inactivity). Second, harmonized profiles of leavers and returners—age, sex, family events, relative pay, health—estimable because the CPF codes these variables identically across countries. Third, cross-country heterogeneity linked to institutions: annual attrition ranges from roughly 2 percent in Korea to 9 percent in England and scales inversely with civil-service protection, so the same rate can hide radically different profiles. Existing evidence is either single-country administrative </w:t>
      </w:r>
      <w:r>
        <w:rPr>
          <w:rFonts w:ascii="Garamond" w:cs="Garamond" w:eastAsia="Garamond" w:hAnsi="Garamond"/>
          <w:color w:val="2A5DB0"/>
          <w:sz w:val="22"/>
          <w:szCs w:val="22"/>
        </w:rPr>
        <w:t xml:space="preserve">(Buckley and Griselda 2025; Goldhaber and Theobald 2022)</w:t>
      </w:r>
      <w:r>
        <w:rPr>
          <w:rFonts w:ascii="Garamond" w:cs="Garamond" w:eastAsia="Garamond" w:hAnsi="Garamond"/>
          <w:color w:val="1A2430"/>
          <w:sz w:val="22"/>
          <w:szCs w:val="22"/>
        </w:rPr>
        <w:t xml:space="preserve">, U.S. cross-sectional </w:t>
      </w:r>
      <w:r>
        <w:rPr>
          <w:rFonts w:ascii="Garamond" w:cs="Garamond" w:eastAsia="Garamond" w:hAnsi="Garamond"/>
          <w:color w:val="2A5DB0"/>
          <w:sz w:val="22"/>
          <w:szCs w:val="22"/>
        </w:rPr>
        <w:t xml:space="preserve">(Harris and Adams 2007; Aldeman and Yi 2025)</w:t>
      </w:r>
      <w:r>
        <w:rPr>
          <w:rFonts w:ascii="Garamond" w:cs="Garamond" w:eastAsia="Garamond" w:hAnsi="Garamond"/>
          <w:color w:val="1A2430"/>
          <w:sz w:val="22"/>
          <w:szCs w:val="22"/>
        </w:rPr>
        <w:t xml:space="preserve">, or single-country panel </w:t>
      </w:r>
      <w:r>
        <w:rPr>
          <w:rFonts w:ascii="Garamond" w:cs="Garamond" w:eastAsia="Garamond" w:hAnsi="Garamond"/>
          <w:color w:val="2A5DB0"/>
          <w:sz w:val="22"/>
          <w:szCs w:val="22"/>
        </w:rPr>
        <w:t xml:space="preserve">(Dolton and van der Klaauw 1999; Hillary, Andrade and Worth 2018; Cuervo and Vera-Toscano 2025)</w:t>
      </w:r>
      <w:r>
        <w:rPr>
          <w:rFonts w:ascii="Garamond" w:cs="Garamond" w:eastAsia="Garamond" w:hAnsi="Garamond"/>
          <w:color w:val="1A2430"/>
          <w:sz w:val="22"/>
          <w:szCs w:val="22"/>
        </w:rPr>
        <w:t xml:space="preserve">. Nobody has put the seven panels side by side.</w:t>
      </w:r>
    </w:p>
    <w:p>
      <w:pPr>
        <w:spacing w:after="120" w:line="264" w:lineRule="auto"/>
        <w:jc w:val="both"/>
      </w:pPr>
      <w:r>
        <w:rPr>
          <w:rFonts w:ascii="Garamond" w:cs="Garamond" w:eastAsia="Garamond" w:hAnsi="Garamond"/>
          <w:b/>
          <w:bCs/>
          <w:color w:val="1A2430"/>
          <w:sz w:val="22"/>
          <w:szCs w:val="22"/>
        </w:rPr>
        <w:t xml:space="preserve">Feasibility and design. </w:t>
      </w:r>
      <w:r>
        <w:rPr>
          <w:rFonts w:ascii="Garamond" w:cs="Garamond" w:eastAsia="Garamond" w:hAnsi="Garamond"/>
          <w:color w:val="1A2430"/>
          <w:sz w:val="22"/>
          <w:szCs w:val="22"/>
        </w:rPr>
        <w:t xml:space="preserve">Pooling 20–30 waves yields roughly 3,000 (KLIPS, SHP) to 25,000 (SOEP, UKHLS, HILDA) teacher-year observations per country; a pooled exit rate of 8 percent on 3,000 observations carries a standard error of ±0.5 percentage points—ample for profiles and routes, honest about ruling out year-by-year series in the small panels. The known measurement risk is that occupation-coding churn inflates panel-based exit to roughly double the administrative benchmark </w:t>
      </w:r>
      <w:r>
        <w:rPr>
          <w:rFonts w:ascii="Garamond" w:cs="Garamond" w:eastAsia="Garamond" w:hAnsi="Garamond"/>
          <w:color w:val="2A5DB0"/>
          <w:sz w:val="22"/>
          <w:szCs w:val="22"/>
        </w:rPr>
        <w:t xml:space="preserve">(Buckley and Griselda 2025)</w:t>
      </w:r>
      <w:r>
        <w:rPr>
          <w:rFonts w:ascii="Garamond" w:cs="Garamond" w:eastAsia="Garamond" w:hAnsi="Garamond"/>
          <w:color w:val="1A2430"/>
          <w:sz w:val="22"/>
          <w:szCs w:val="22"/>
        </w:rPr>
        <w:t xml:space="preserve">. The design addresses it four ways: requiring an employer change alongside the occupation change; exploiting dependent-interviewing flags (SOEP, UKHLS); netting out re-entries, which are themselves an object of interest; and validating every country estimate against a compiled set of twenty-five administrative benchmarks.</w:t>
      </w:r>
    </w:p>
    <w:p>
      <w:pPr>
        <w:spacing w:after="120" w:line="264" w:lineRule="auto"/>
        <w:jc w:val="both"/>
      </w:pPr>
      <w:r>
        <w:rPr>
          <w:rFonts w:ascii="Garamond" w:cs="Garamond" w:eastAsia="Garamond" w:hAnsi="Garamond"/>
          <w:b/>
          <w:bCs/>
          <w:color w:val="1A2430"/>
          <w:sz w:val="22"/>
          <w:szCs w:val="22"/>
        </w:rPr>
        <w:t xml:space="preserve">Data access. </w:t>
      </w:r>
      <w:r>
        <w:rPr>
          <w:rFonts w:ascii="Garamond" w:cs="Garamond" w:eastAsia="Garamond" w:hAnsi="Garamond"/>
          <w:color w:val="1A2430"/>
          <w:sz w:val="22"/>
          <w:szCs w:val="22"/>
        </w:rPr>
        <w:t xml:space="preserve">All seven panels are available to researchers at no or nominal cost through standard applications—PSID and RLMS-HSE by open registration, Understanding Society through the UK Data Service, SOEP by data contract with DIW Berlin, HILDA through the Australian Data Archive (NCLD approval), KLIPS through the Korea Labor Institute, SHP through FORS/SWISSUbase—and the CPF harmonization code is open source. No NCES-style restricted-use license is required at any point: the entire exercise is replicable.</w:t>
      </w:r>
    </w:p>
    <w:p>
      <w:r>
        <w:br w:type="page"/>
      </w:r>
    </w:p>
    <w:p>
      <w:pPr>
        <w:spacing w:after="200"/>
        <w:jc w:val="center"/>
      </w:pPr>
      <w:r>
        <w:rPr>
          <w:rFonts w:ascii="Garamond" w:cs="Garamond" w:eastAsia="Garamond" w:hAnsi="Garamond"/>
          <w:b/>
          <w:bCs/>
          <w:color w:val="1A2430"/>
          <w:sz w:val="26"/>
          <w:szCs w:val="26"/>
        </w:rPr>
        <w:t xml:space="preserve">References</w:t>
      </w:r>
    </w:p>
    <w:p>
      <w:pPr>
        <w:spacing w:after="100"/>
        <w:ind w:left="360" w:hanging="360"/>
        <w:jc w:val="both"/>
      </w:pPr>
      <w:r>
        <w:rPr>
          <w:rFonts w:ascii="Garamond" w:cs="Garamond" w:eastAsia="Garamond" w:hAnsi="Garamond"/>
          <w:color w:val="1A2430"/>
          <w:sz w:val="20"/>
          <w:szCs w:val="20"/>
        </w:rPr>
        <w:t xml:space="preserve">Aldeman, C., and S. Yi (2025). “Are Teachers Abandoning Their Profession in Large Numbers?” Education Next.</w:t>
      </w:r>
    </w:p>
    <w:p>
      <w:pPr>
        <w:spacing w:after="100"/>
        <w:ind w:left="360" w:hanging="360"/>
        <w:jc w:val="both"/>
      </w:pPr>
      <w:r>
        <w:rPr>
          <w:rFonts w:ascii="Garamond" w:cs="Garamond" w:eastAsia="Garamond" w:hAnsi="Garamond"/>
          <w:color w:val="1A2430"/>
          <w:sz w:val="20"/>
          <w:szCs w:val="20"/>
        </w:rPr>
        <w:t xml:space="preserve">BFS — Bundesamt für Statistik (2022). Verbleib der Lehrkräfte an der obligatorischen Schule. Neuchâtel: BFS, Längsschnittanalysen im Bildungsbereich.</w:t>
      </w:r>
    </w:p>
    <w:p>
      <w:pPr>
        <w:spacing w:after="100"/>
        <w:ind w:left="360" w:hanging="360"/>
        <w:jc w:val="both"/>
      </w:pPr>
      <w:r>
        <w:rPr>
          <w:rFonts w:ascii="Garamond" w:cs="Garamond" w:eastAsia="Garamond" w:hAnsi="Garamond"/>
          <w:color w:val="1A2430"/>
          <w:sz w:val="20"/>
          <w:szCs w:val="20"/>
        </w:rPr>
        <w:t xml:space="preserve">Buckley, J., and S. Griselda (2025). “Who Stays, Who Goes? A New Look at Teacher Attrition Using Administrative Data.” e61 Institute Research Note.</w:t>
      </w:r>
    </w:p>
    <w:p>
      <w:pPr>
        <w:spacing w:after="100"/>
        <w:ind w:left="360" w:hanging="360"/>
        <w:jc w:val="both"/>
      </w:pPr>
      <w:r>
        <w:rPr>
          <w:rFonts w:ascii="Garamond" w:cs="Garamond" w:eastAsia="Garamond" w:hAnsi="Garamond"/>
          <w:color w:val="1A2430"/>
          <w:sz w:val="20"/>
          <w:szCs w:val="20"/>
        </w:rPr>
        <w:t xml:space="preserve">Cuervo, H., and E. Vera-Toscano (2025). “Teacher Retention and Attrition: Understanding Why Teachers Leave and Their Post-Teaching Pathways in Australia.” Asia Pacific Journal of Education.</w:t>
      </w:r>
    </w:p>
    <w:p>
      <w:pPr>
        <w:spacing w:after="100"/>
        <w:ind w:left="360" w:hanging="360"/>
        <w:jc w:val="both"/>
      </w:pPr>
      <w:r>
        <w:rPr>
          <w:rFonts w:ascii="Garamond" w:cs="Garamond" w:eastAsia="Garamond" w:hAnsi="Garamond"/>
          <w:color w:val="1A2430"/>
          <w:sz w:val="20"/>
          <w:szCs w:val="20"/>
        </w:rPr>
        <w:t xml:space="preserve">DfE — Department for Education (2025). School Workforce in England, 2024/25. Explore Education Statistics.</w:t>
      </w:r>
    </w:p>
    <w:p>
      <w:pPr>
        <w:spacing w:after="100"/>
        <w:ind w:left="360" w:hanging="360"/>
        <w:jc w:val="both"/>
      </w:pPr>
      <w:r>
        <w:rPr>
          <w:rFonts w:ascii="Garamond" w:cs="Garamond" w:eastAsia="Garamond" w:hAnsi="Garamond"/>
          <w:color w:val="1A2430"/>
          <w:sz w:val="20"/>
          <w:szCs w:val="20"/>
        </w:rPr>
        <w:t xml:space="preserve">Dolton, P., and W. van der Klaauw (1999). “The Turnover of Teachers: A Competing Risks Explanation.” Review of Economics and Statistics 81(3), 543–550.</w:t>
      </w:r>
    </w:p>
    <w:p>
      <w:pPr>
        <w:spacing w:after="100"/>
        <w:ind w:left="360" w:hanging="360"/>
        <w:jc w:val="both"/>
      </w:pPr>
      <w:r>
        <w:rPr>
          <w:rFonts w:ascii="Garamond" w:cs="Garamond" w:eastAsia="Garamond" w:hAnsi="Garamond"/>
          <w:color w:val="1A2430"/>
          <w:sz w:val="20"/>
          <w:szCs w:val="20"/>
        </w:rPr>
        <w:t xml:space="preserve">Goldhaber, D., and R. Theobald (2022). “Teacher Attrition and Mobility Over Time.” Educational Researcher 51(3), 235–237.</w:t>
      </w:r>
    </w:p>
    <w:p>
      <w:pPr>
        <w:spacing w:after="100"/>
        <w:ind w:left="360" w:hanging="360"/>
        <w:jc w:val="both"/>
      </w:pPr>
      <w:r>
        <w:rPr>
          <w:rFonts w:ascii="Garamond" w:cs="Garamond" w:eastAsia="Garamond" w:hAnsi="Garamond"/>
          <w:color w:val="1A2430"/>
          <w:sz w:val="20"/>
          <w:szCs w:val="20"/>
        </w:rPr>
        <w:t xml:space="preserve">Goldring, R., S. Taie, and M. Riddles (2014). Teacher Attrition and Mobility: Results from the 2012–13 Teacher Follow-up Survey. NCES 2014-077, U.S. Department of Education.</w:t>
      </w:r>
    </w:p>
    <w:p>
      <w:pPr>
        <w:spacing w:after="100"/>
        <w:ind w:left="360" w:hanging="360"/>
        <w:jc w:val="both"/>
      </w:pPr>
      <w:r>
        <w:rPr>
          <w:rFonts w:ascii="Garamond" w:cs="Garamond" w:eastAsia="Garamond" w:hAnsi="Garamond"/>
          <w:color w:val="1A2430"/>
          <w:sz w:val="20"/>
          <w:szCs w:val="20"/>
        </w:rPr>
        <w:t xml:space="preserve">Harris, D., and S. Adams (2007). “Understanding the Level and Causes of Teacher Turnover: A Comparison with Other Professions.” Economics of Education Review 26(3), 325–337.</w:t>
      </w:r>
    </w:p>
    <w:p>
      <w:pPr>
        <w:spacing w:after="100"/>
        <w:ind w:left="360" w:hanging="360"/>
        <w:jc w:val="both"/>
      </w:pPr>
      <w:r>
        <w:rPr>
          <w:rFonts w:ascii="Garamond" w:cs="Garamond" w:eastAsia="Garamond" w:hAnsi="Garamond"/>
          <w:color w:val="1A2430"/>
          <w:sz w:val="20"/>
          <w:szCs w:val="20"/>
        </w:rPr>
        <w:t xml:space="preserve">Hillary, J., J. Andrade, and J. Worth (2018). Teacher Retention and Turnover Research — Update 4: How Do Teachers Compare to Nurses and Police Officers? Slough: NFER.</w:t>
      </w:r>
    </w:p>
    <w:p>
      <w:pPr>
        <w:spacing w:after="100"/>
        <w:ind w:left="360" w:hanging="360"/>
        <w:jc w:val="both"/>
      </w:pPr>
      <w:r>
        <w:rPr>
          <w:rFonts w:ascii="Garamond" w:cs="Garamond" w:eastAsia="Garamond" w:hAnsi="Garamond"/>
          <w:color w:val="1A2430"/>
          <w:sz w:val="20"/>
          <w:szCs w:val="20"/>
        </w:rPr>
        <w:t xml:space="preserve">NCES — National Center for Education Statistics (2024). Teacher Attrition and Mobility: Results from the 2021–22 Teacher Follow-up Survey. NCES 2024-039, U.S. Department of Education.</w:t>
      </w:r>
    </w:p>
    <w:p>
      <w:pPr>
        <w:spacing w:after="100"/>
        <w:ind w:left="360" w:hanging="360"/>
        <w:jc w:val="both"/>
      </w:pPr>
      <w:r>
        <w:rPr>
          <w:rFonts w:ascii="Garamond" w:cs="Garamond" w:eastAsia="Garamond" w:hAnsi="Garamond"/>
          <w:color w:val="1A2430"/>
          <w:sz w:val="20"/>
          <w:szCs w:val="20"/>
        </w:rPr>
        <w:t xml:space="preserve">Roshchin, S., et al. (2025). Uchitel na perekrestkakh rossiyskogo rynka truda [The Teacher at the Crossroads of the Russian Labor Market]. Moscow: HSE Publishing.</w:t>
      </w:r>
    </w:p>
    <w:p>
      <w:pPr>
        <w:spacing w:after="100"/>
        <w:ind w:left="360" w:hanging="360"/>
        <w:jc w:val="both"/>
      </w:pPr>
      <w:r>
        <w:rPr>
          <w:rFonts w:ascii="Garamond" w:cs="Garamond" w:eastAsia="Garamond" w:hAnsi="Garamond"/>
          <w:color w:val="1A2430"/>
          <w:sz w:val="20"/>
          <w:szCs w:val="20"/>
        </w:rPr>
        <w:t xml:space="preserve">Turek, K., M. Kalmijn, and T. Leopold (2021). “The Comparative Panel File: Harmonized Panel Surveys from Seven Countries.” European Sociological Review 37(3), 505–523.</w:t>
      </w:r>
    </w:p>
    <w:p>
      <w:pPr>
        <w:spacing w:after="100"/>
        <w:ind w:left="360" w:hanging="360"/>
        <w:jc w:val="both"/>
      </w:pPr>
      <w:r>
        <w:rPr>
          <w:rFonts w:ascii="Garamond" w:cs="Garamond" w:eastAsia="Garamond" w:hAnsi="Garamond"/>
          <w:color w:val="1A2430"/>
          <w:sz w:val="20"/>
          <w:szCs w:val="20"/>
        </w:rPr>
        <w:t xml:space="preserve">Weldon, P. (2018). “Early Career Teacher Attrition in Australia: Evidence, Definition, Classification and Measurement.” Australian Journal of Education 62(1), 61–78.</w:t>
      </w:r>
    </w:p>
    <w:sectPr>
      <w:pgSz w:w="11906" w:h="16838" w:orient="portrait"/>
      <w:pgMar w:top="1191" w:right="1247" w:bottom="1191"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2026-07-21T14:09:52.447Z</dcterms:created>
  <dcterms:modified xsi:type="dcterms:W3CDTF">2026-07-21T14:09:52.448Z</dcterms:modified>
</cp:coreProperties>
</file>

<file path=docProps/custom.xml><?xml version="1.0" encoding="utf-8"?>
<Properties xmlns="http://schemas.openxmlformats.org/officeDocument/2006/custom-properties" xmlns:vt="http://schemas.openxmlformats.org/officeDocument/2006/docPropsVTypes"/>
</file>