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Teacher shortages are a real and growing concern across the OECD, yet the evidence on who leaves teaching is remarkably thin. Measuring attrition requires either longitudinal data that follow the same teachers over time or administrative records from the labor market, and both are scarce. Where dedicated teacher surveys exist, they are infrequent and closed. The reference instrument in the United States, the Teacher Follow-up Survey, runs only every four to five years, with gaps between waves, and its microdata are not public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such data are therefore the ceiling of what is known. Far deeper characterizations of who leaves, and of who comes back, would be possible if the underlying data were open.</w:t>
      </w:r>
    </w:p>
    <w:p>
      <w:pPr>
        <w:spacing w:after="70" w:line="300" w:lineRule="auto"/>
        <w:jc w:val="both"/>
      </w:pPr>
      <w:r>
        <w:rPr>
          <w:rFonts w:ascii="Garamond" w:cs="Garamond" w:eastAsia="Garamond" w:hAnsi="Garamond"/>
          <w:color w:val="1A2430"/>
          <w:sz w:val="22"/>
          <w:szCs w:val="22"/>
        </w:rPr>
        <w:t xml:space="preserve">The consequence is a policy debate running ahead of its evidence. Annual attrition figures range from about two percent in South Korea to about nine percent in England, but every national statistic measures a different object, so the numbers cannot be compared and a shared problem is being addressed with uncoordinated evidence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Longitudinal household surveys that exist in several countries at once are a unique and largely unused opportunity to change this.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the seven longest-running of these panels into one open structure with identical variables for employment, income, family and wellbeing </w:t>
      </w:r>
      <w:r>
        <w:rPr>
          <w:rFonts w:ascii="Garamond" w:cs="Garamond" w:eastAsia="Garamond" w:hAnsi="Garamond"/>
          <w:color w:val="2A5DB0"/>
          <w:sz w:val="22"/>
          <w:szCs w:val="22"/>
        </w:rPr>
        <w:t xml:space="preserve">(Turek, Kalmijn and Leopold 2021)</w:t>
      </w:r>
      <w:r>
        <w:rPr>
          <w:rFonts w:ascii="Garamond" w:cs="Garamond" w:eastAsia="Garamond" w:hAnsi="Garamond"/>
          <w:color w:val="1A2430"/>
          <w:sz w:val="22"/>
          <w:szCs w:val="22"/>
        </w:rPr>
        <w:t xml:space="preserve">.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Russia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RLMS-HSE</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4,500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three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 set of twenty-five administrative benchmarks compiled for this proposal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2026-07-21T15:56:26.032Z</dcterms:created>
  <dcterms:modified xsi:type="dcterms:W3CDTF">2026-07-21T15:56:26.053Z</dcterms:modified>
</cp:coreProperties>
</file>

<file path=docProps/custom.xml><?xml version="1.0" encoding="utf-8"?>
<Properties xmlns="http://schemas.openxmlformats.org/officeDocument/2006/custom-properties" xmlns:vt="http://schemas.openxmlformats.org/officeDocument/2006/docPropsVTypes"/>
</file>