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974C181" w14:textId="77777777" w:rsidR="00863E26" w:rsidRDefault="00000000">
      <w:pPr>
        <w:spacing w:after="130" w:line="242" w:lineRule="auto"/>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554C23D3" w14:textId="65D2483D" w:rsidR="00F72F5A" w:rsidRDefault="00000000">
      <w:pPr>
        <w:spacing w:after="130" w:line="242" w:lineRule="auto"/>
        <w:jc w:val="both"/>
      </w:pPr>
      <w:r>
        <w:t xml:space="preserve">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69B8B73" w14:textId="77777777" w:rsidR="00B3332B" w:rsidRDefault="00000000">
      <w:pPr>
        <w:spacing w:after="130" w:line="242" w:lineRule="auto"/>
        <w:jc w:val="both"/>
        <w:rPr>
          <w:ins w:id="7" w:author="DURÁN ROA José Elías, EDU/IMEP" w:date="2026-10-06T10:56:00Z" w16du:dateUtc="2026-10-06T08:56:00Z"/>
        </w:rPr>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5073ABB" w14:textId="77777777" w:rsidR="00F72F5A" w:rsidRDefault="00000000">
      <w:pPr>
        <w:spacing w:after="130" w:line="242" w:lineRule="auto"/>
        <w:jc w:val="both"/>
      </w:pPr>
      <w:r>
        <w:t>The evolution of the leaving rate across time tends to be stable in most of the observed countries. The OECD average leaving rate moved from 6.9% in 2015 to 6.5% in 2023 and most systems present in both years moved by less than a percentage point (OECD, 2025a).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(NCES, 2024),  and similar patterns hold in England, New Zealand, Sweden, Israel, Iceland, Norway and Flanders (Department for Education, 2024a; Education Counts, 2025; Adermon and Laun, 2018; CBS Israel, 2023; Björnsdóttir and Hansen, 2024; Statistics Norway, 2025; Vansteenkiste, 2025).</w:t>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8" w:author="TORRES José Manuel, EDU/IMEP" w:date="2026-09-17T16:48:00Z" w16du:dateUtc="2026-09-17T14:48:00Z"/>
        </w:rPr>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ins w:id="9" w:author="DURÁN ROA José Elías, EDU/IMEP" w:date="2026-10-05T16:13:00Z" w16du:dateUtc="2026-10-05T14:13:00Z">
        <w:r>
          <w:t xml:space="preserve">Despite no </w:t>
        </w:r>
      </w:ins>
      <w:del w:id="10" w:author="DURÁN ROA José Elías, EDU/IMEP" w:date="2026-10-05T16:13:00Z" w16du:dateUtc="2026-10-05T14:13:00Z">
        <w:r>
          <w:delText>No</w:delText>
        </w:r>
      </w:del>
      <w:r>
        <w:t xml:space="preserve"> comparable benchmark has been published for most OECD countries, </w:t>
      </w:r>
      <w:del w:id="11" w:author="DURÁN ROA José Elías, EDU/IMEP" w:date="2026-10-05T16:13:00Z" w16du:dateUtc="2026-10-05T14:13:00Z">
        <w:r>
          <w:delText xml:space="preserve">but </w:delText>
        </w:r>
      </w:del>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14:paraId="5D78685C" w14:textId="77777777" w:rsidR="00F72F5A" w:rsidRDefault="00000000">
      <w:pPr>
        <w:spacing w:after="130" w:line="242" w:lineRule="auto"/>
        <w:jc w:val="both"/>
        <w:rPr>
          <w:del w:id="18004" w:author="Claude" w:date="2026-10-07T09:39:59Z"/>
        </w:rPr>
      </w:pPr>
      <w:commentRangeStart w:id="12"/>
      <w:commentRangeStart w:id="21"/>
      <w:del w:id="18003" w:author="Claude" w:date="2026-10-07T09:39:59Z">
        <w:r>
          <w:delText>Why, then, does a moderate and stable leaving rate deserve attention? The answer lies in the state of teacher supply. Teacher shortages affect most OECD education systems to some degree (OECD, 2026). In 2024/25, unfilled posts accounted for less than 4% of the primary and secondary teaching workforce in every system with available data, but 9% of teachers were not fully qualified on average across the OECD, and more than 18% in Chile, Denmark, Estonia and Germany, which suggests that part of the shortage is absorbed by hiring teachers without full qualifications rather than by leaving posts vacant. Shortages are especially pronounced in mathematics and the natural sciences, where schools compete with other sectors for the same graduates, and in rural, remote and disadvantaged communities. Two features of the outflow make it central to this problem. Teachers with less than five years of experience account for more than one third of resignations on average, so that systems lose a large share of the teachers they have just trained, and one in four secondary teachers is aged 55 or older, so that retirements will add to the pressure in the coming years (OECD, 2026). In this context, even a stable leaving rate of around 6% represents a loss that systems can no longer absorb easily, and understanding why teachers leave becomes relevant for two reasons. The first is that the determinants of leaving are the levers available to reduce it. The second, which concerns this paper directly, is that policies that seek to bring former teachers back can only be designed and assessed with a clear view of why those teachers left in the first place. The following section reviews what the literature has established on these motives.</w:delText>
        </w:r>
      </w:del>
      <w:commentRangeEnd w:id="21"/>
      <w:commentRangeEnd w:id="12"/>
      <w:r>
        <w:rPr>
          <w:rStyle w:val="CommentReference"/>
          <w:sz w:val="23"/>
          <w:szCs w:val="23"/>
        </w:rPr>
        <w:commentReference w:id="12"/>
      </w:r>
      <w:r>
        <w:rPr>
          <w:rStyle w:val="CommentReference"/>
        </w:rPr>
        <w:commentReference w:id="21"/>
      </w:r>
    </w:p>
    <w:p>
      <w:pPr>
        <w:spacing w:after="130" w:line="242" w:lineRule="auto"/>
        <w:jc w:val="both"/>
        <w:rPr>
          <w:ins w:id="18001" w:author="Claude" w:date="2026-10-07T09:39:59Z"/>
        </w:rPr>
      </w:pPr>
      <w:ins w:id="18002" w:author="Claude" w:date="2026-10-07T09:39:59Z">
        <w:r>
          <w:t xml:space="preserve">Why, then, does a moderate and stable leaving rate deserve attention? Because most OECD education systems face teacher shortages (OECD, 2026). Unfilled posts remain below 4% of the teaching workforce, but 9% of teachers are not fully qualified on average, shortages are concentrated in mathematics, science and disadvantaged or rural schools, and one in four secondary teachers is aged 55 or older, so that retirements will add to the pressure in the coming years. In this context, even a leaving rate of around 6% is a loss that systems cannot easily absorb, and two reasons make it essential to understand why teachers leave. First, the determinants of leaving are the levers available to reduce it. Second, and more importantly for this paper, policies that seek to bring former teachers back can only be designed, and their effects assessed, with a clear view of why those teachers left in the first place. The following section reviews what the literature has established on these motives.</w:t>
        </w:r>
      </w:ins>
    </w:p>
    <w:p w14:paraId="085ED38B" w14:textId="77777777" w:rsidR="00F40E91" w:rsidRDefault="00A42790">
      <w:pPr>
        <w:pStyle w:val="Heading2"/>
        <w:spacing w:before="200" w:after="120"/>
      </w:pPr>
      <w:bookmarkStart w:id="13" w:name="_Toc239235955"/>
      <w:r>
        <w:rPr>
          <w:b/>
          <w:bCs/>
          <w:color w:val="04629A"/>
          <w:sz w:val="25"/>
          <w:szCs w:val="25"/>
        </w:rPr>
        <w:lastRenderedPageBreak/>
        <w:t>2.2 Determinants of teachers leaving</w:t>
      </w:r>
      <w:bookmarkEnd w:id="13"/>
    </w:p>
    <w:p w14:paraId="789C9BC2" w14:textId="05AE83D5"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reasons stated in Table 1. They are 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ins w:id="14" w:author="TORRES José Manuel, EDU/IMEP" w:date="2026-09-17T17:02:00Z" w16du:dateUtc="2026-09-17T15:02:00Z"/>
          <w:color w:val="000000" w:themeColor="text1"/>
        </w:rPr>
      </w:pPr>
    </w:p>
    <w:p w14:paraId="3BEEBC89" w14:textId="77777777" w:rsidR="00B3332B" w:rsidRDefault="00000000">
      <w:pPr>
        <w:pStyle w:val="Heading3"/>
        <w:keepNext/>
      </w:pPr>
      <w: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331950EF" w14:textId="503EC301" w:rsidR="007E420F" w:rsidRDefault="00612BDD">
      <w:pPr>
        <w:spacing w:after="130" w:line="242" w:lineRule="auto"/>
        <w:jc w:val="both"/>
      </w:pPr>
      <w:r>
        <w:t>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p>
    <w:p w14:paraId="4347EF6C" w14:textId="5AFDE85B" w:rsidR="00BA211F" w:rsidRDefault="00725113">
      <w:pPr>
        <w:spacing w:after="130" w:line="242" w:lineRule="auto"/>
        <w:jc w:val="both"/>
      </w:pPr>
      <w:r>
        <w:t xml:space="preserve">However, teachers do not work longer hours than comparable professionals, </w:t>
      </w:r>
      <w:ins w:id="15" w:author="Claude" w:date="2026-10-05T15:48:00Z">
        <w:r>
          <w:t>when TALIS</w:t>
        </w:r>
      </w:ins>
      <w:r>
        <w:t xml:space="preserve"> 2024 responses are compared with those of similarly qualified workers in the Survey of Adult Skills (PIAAC), </w:t>
        <w:lastRenderedPageBreak/>
        <w:t>teachers report fewer weekly hours in 13 of 26 covered</w:t>
      </w:r>
      <w:ins w:id="16" w:author="Claude" w:date="2026-10-05T15:48:00Z">
        <w:r>
          <w:t xml:space="preserve"> </w:t>
        </w:r>
      </w:ins>
      <w:r>
        <w:t xml:space="preserve">countries and no clear difference in another 11 (OECD, 2025b).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r>
          <w:rPr>
            <w:color w:val="0563C1"/>
          </w:rPr>
          <w:t>Sims and Jerrim, 2020</w:t>
        </w:r>
      </w:hyperlink>
      <w:r>
        <w:rPr>
          <w:color w:val="0563C1"/>
        </w:rPr>
        <w:t>).</w:t>
      </w:r>
    </w:p>
    <w:p w14:paraId="20204715" w14:textId="77777777" w:rsidR="00F72F5A" w:rsidRDefault="00000000">
      <w:pPr>
        <w:spacing w:after="130" w:line="242" w:lineRule="auto"/>
        <w:jc w:val="both"/>
        <w:rPr>
          <w:del w:id="18008" w:author="Claude" w:date="2026-10-07T09:39:59Z"/>
        </w:rPr>
      </w:pPr>
      <w:commentRangeStart w:id="17"/>
      <w:commentRangeStart w:id="22"/>
      <w:del w:id="18007" w:author="Claude" w:date="2026-10-07T09:39:59Z">
        <w:r>
          <w:delText>This is relevant for policies that aim to re-attract former teachers, because it points to what such policies should attend to, namely the discipline climate of the school where a returner is placed and the teaching load they are offered, which is the retention measure that leavers themselves most often name (Sims and Jerrim, 2020; Van Casteren et al., 2023). Considering, in addition, that teacher shortages tend to concentrate in disadvantaged or rural schools where the classroom climate is worst (Simon and Johnson, 2015; UNESCO, 2024), a former teacher placed in one of them on the strength of an incentive alone would meet precisely the conditions that drive departures. Since working conditions weigh on switchers and leavers alike, this applies to both profiles.</w:delText>
        </w:r>
      </w:del>
      <w:commentRangeEnd w:id="22"/>
      <w:commentRangeEnd w:id="17"/>
      <w:r>
        <w:rPr>
          <w:rStyle w:val="CommentReference"/>
          <w:sz w:val="23"/>
          <w:szCs w:val="23"/>
        </w:rPr>
        <w:commentReference w:id="17"/>
      </w:r>
      <w:r>
        <w:rPr>
          <w:rStyle w:val="CommentReference"/>
        </w:rPr>
        <w:commentReference w:id="22"/>
      </w:r>
    </w:p>
    <w:p>
      <w:pPr>
        <w:spacing w:after="130" w:line="242" w:lineRule="auto"/>
        <w:jc w:val="both"/>
        <w:rPr>
          <w:ins w:id="18005" w:author="Claude" w:date="2026-10-07T09:39:59Z"/>
        </w:rPr>
      </w:pPr>
      <w:ins w:id="18006" w:author="Claude" w:date="2026-10-07T09:39:59Z">
        <w:r>
          <w:t xml:space="preserve">For policies that seek to re-attract former teachers, these findings carry two implications. The first is that the school and the teaching load offered to a returner are part of the policy, since the discipline climate of the school and the load are what drive departures, and a lighter load or a smaller class is the retention measure that leavers themselves most often name (Sims and Jerrim, 2020; Van Casteren et al., 2023). The second follows from the fact that shortages tend to concentrate in disadvantaged and rural schools, where the classroom climate is worst (Simon and Johnson, 2015; UNESCO, 2024): a former teacher sent back to one of these schools on the strength of an incentive alone would meet precisely the conditions that drive departures. Re-attraction is therefore better understood as an opportunity to make a better match between the returning teacher and the school than as a way of filling the hardest vacancies, and this applies to switchers and leavers alike, since working conditions weigh on both.</w:t>
        </w:r>
      </w:ins>
    </w:p>
    <w:p w14:paraId="12738D9D" w14:textId="77777777" w:rsidR="00B3332B" w:rsidRDefault="00000000">
      <w:pPr>
        <w:pStyle w:val="Heading3"/>
        <w:keepNext/>
      </w:pPr>
      <w:r>
        <w:t>Organisational factors</w:t>
      </w:r>
    </w:p>
    <w:p w14:paraId="68A1A9FF" w14:textId="77777777" w:rsidR="00F72F5A" w:rsidRDefault="00000000">
      <w:pPr>
        <w:spacing w:after="130" w:line="242" w:lineRule="auto"/>
        <w:jc w:val="both"/>
        <w:rPr>
          <w:del w:id="18012" w:author="Claude" w:date="2026-10-07T09:39:59Z"/>
        </w:rPr>
      </w:pPr>
      <w:commentRangeStart w:id="18"/>
      <w:commentRangeStart w:id="23"/>
      <w:commentRangeStart w:id="19"/>
      <w:commentRangeStart w:id="20"/>
      <w:del w:id="18011" w:author="Claude" w:date="2026-10-07T09:39:59Z">
        <w:r>
          <w:delText>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on its effect is nonetheless scarce, since the quality of leadership is observed almost only through teachers' own perceptions, and teachers who are about to leave may judge their principals more harshly than those who stay, which would inflate the association. The studies that address this problem, by following the same schools over time or by linking teacher surveys to administrative records of actual departures, still find a substantial effect.</w:delText>
        </w:r>
      </w:del>
    </w:p>
    <w:p>
      <w:pPr>
        <w:spacing w:after="130" w:line="242" w:lineRule="auto"/>
        <w:jc w:val="both"/>
        <w:rPr>
          <w:ins w:id="18009" w:author="Claude" w:date="2026-10-07T09:39:59Z"/>
        </w:rPr>
      </w:pPr>
      <w:ins w:id="18010" w:author="Claude" w:date="2026-10-07T09:39:59Z">
        <w: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is nonetheless scarce, because leadership is measured through the perceptions of the teachers themselves, and those who are about to leave may judge their principals more harshly than those who stay.</w:t>
        </w:r>
      </w:ins>
    </w:p>
    <w:commentRangeEnd w:id="23"/>
    <w:commentRangeEnd w:id="18"/>
    <w:p w14:paraId="32D0673D" w14:textId="77777777" w:rsidR="00F72F5A" w:rsidRDefault="00000000">
      <w:pPr>
        <w:spacing w:after="130" w:line="242" w:lineRule="auto"/>
        <w:jc w:val="both"/>
        <w:rPr>
          <w:del w:id="18016" w:author="Claude" w:date="2026-10-07T09:39:59Z"/>
        </w:rPr>
      </w:pPr>
      <w:r>
        <w:rPr>
          <w:rStyle w:val="CommentReference"/>
          <w:sz w:val="23"/>
          <w:szCs w:val="23"/>
        </w:rPr>
        <w:commentReference w:id="18"/>
      </w:r>
      <w:r>
        <w:rPr>
          <w:rStyle w:val="CommentReference"/>
        </w:rPr>
        <w:commentReference w:id="23"/>
      </w:r>
      <w:commentRangeEnd w:id="19"/>
      <w:r>
        <w:rPr>
          <w:rStyle w:val="CommentReference"/>
          <w:sz w:val="23"/>
          <w:szCs w:val="23"/>
        </w:rPr>
        <w:commentReference w:id="19"/>
      </w:r>
      <w:commentRangeEnd w:id="20"/>
      <w:r>
        <w:rPr>
          <w:rStyle w:val="CommentReference"/>
          <w:sz w:val="23"/>
          <w:szCs w:val="23"/>
        </w:rPr>
        <w:commentReference w:id="20"/>
      </w:r>
      <w:del w:id="18015" w:author="Claude" w:date="2026-10-07T09:39:59Z">
        <w:r>
          <w:delText>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Furthermore, the effect of principals appears to be largest precisely in disadvantaged schools, where an effective principal raises teacher satisfaction and lowers turnover more than elsewhere (Grissom, 2011).</w:delText>
        </w:r>
      </w:del>
    </w:p>
    <w:p>
      <w:pPr>
        <w:spacing w:after="130" w:line="242" w:lineRule="auto"/>
        <w:jc w:val="both"/>
        <w:rPr>
          <w:ins w:id="18013" w:author="Claude" w:date="2026-10-07T09:39:59Z"/>
        </w:rPr>
      </w:pPr>
      <w:ins w:id="18014" w:author="Claude" w:date="2026-10-07T09:39:59Z">
        <w:r>
          <w:t xml:space="preserve">The studies that overcome this problem, by following the same schools over time or by linking teachers' answers to administrative records of actual departures, confirm that leadership matters in its own right. Where teachers perceive their school to be well led, turnover is substantially lower, even after accounting for the other working conditions and for the characteristics of the students, and when the leadership of a school improves, its turnover falls (Boyd et al., 2011; Ladd, 2011; Kraft, Marinell and Shen-Wei Yee, 2016). The effect is largest precisely in disadvantaged schools, where an effective principal makes the greatest difference to whether teachers stay (Grissom, 2011).</w:t>
        </w:r>
      </w:ins>
    </w:p>
    <w:p w14:paraId="6AFAC850" w14:textId="5F2D0206" w:rsidR="007E420F" w:rsidRDefault="00D503E3">
      <w:pPr>
        <w:spacing w:after="130" w:line="242" w:lineRule="auto"/>
        <w:jc w:val="both"/>
      </w:pPr>
      <w:r>
        <w:t>Additionally, mentorship is another relevant organizational aspect, as it accelerates the pedagogical development of novice educators and mitigates the professional isolation common in early-career years</w:t>
      </w:r>
      <w:ins w:id="21" w:author="Claude" w:date="2026-10-05T15:48:00Z">
        <w:r>
          <w:t>.</w:t>
        </w:r>
      </w:ins>
      <w:r>
        <w:t xml:space="preserve">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p>
    <w:p w14:paraId="6D0D4F52" w14:textId="5BC7EEE2" w:rsidR="007E420F" w:rsidRDefault="00000000">
      <w:pPr>
        <w:spacing w:after="130" w:line="242" w:lineRule="auto"/>
        <w:jc w:val="both"/>
      </w:pPr>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w:t>
        <w:lastRenderedPageBreak/>
        <w:t>can make, since in systems where fewer than one in three novice teachers has a mentor, experienced returners can fill that gap, and the peer interaction they bring has been shown to improve the instruction of their colleagues (Papay et al., 2020; DeCesare et al., 2017).</w:t>
      </w:r>
    </w:p>
    <w:p w14:paraId="3D29A35B" w14:textId="77777777" w:rsidR="00B3332B" w:rsidRDefault="00000000">
      <w:pPr>
        <w:pStyle w:val="Heading3"/>
        <w:keepNext/>
      </w:pPr>
      <w:r>
        <w:t>Financial factors</w:t>
      </w:r>
    </w:p>
    <w:p w14:paraId="016CBDB8" w14:textId="5FA9C465" w:rsidR="00B3332B" w:rsidRDefault="00E936DF">
      <w:pPr>
        <w:spacing w:after="130" w:line="242" w:lineRule="auto"/>
        <w:jc w:val="both"/>
      </w:pPr>
      <w:r>
        <w:t>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786B5E35" w14:textId="35E46113" w:rsidR="007E420F" w:rsidRDefault="00000000">
      <w:pPr>
        <w:spacing w:after="130" w:line="242" w:lineRule="auto"/>
        <w:jc w:val="both"/>
      </w:pPr>
      <w:r>
        <w:t>The causal evidence on the effect of teacher payments confirms that financial incentives are effective to retain teachers, and payments cut departures by 9% to 23% in Norway, England and North Carolina (Falch, 2011; Sims and Benhenda, 2022; Clotfelter et al., 2008). This evidence rests on a small number of studies exploiting policy discontinuities, and lead to three main conclusions.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p>
    <w:p w14:paraId="2CE902A5" w14:textId="70B9C183" w:rsidR="007E420F" w:rsidRDefault="00000000">
      <w:pPr>
        <w:spacing w:after="130" w:line="242" w:lineRule="auto"/>
        <w:jc w:val="both"/>
      </w:pPr>
      <w:r>
        <w:t>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w:t>
      </w:r>
      <w:ins w:id="22" w:author="Claude" w:date="2026-10-07T07:47:00Z">
        <w:r>
          <w:t xml:space="preserve"> (Baraton, Beffy and Fougère, 2011; Ni and </w:t>
          <w:lastRenderedPageBreak/>
          <w:t>Podgursky, 2016)</w:t>
        </w:r>
      </w:ins>
      <w:r>
        <w:t>.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51703EE2" w14:textId="77777777" w:rsidR="00F72F5A" w:rsidRDefault="00000000">
      <w:pPr>
        <w:spacing w:after="130" w:line="242" w:lineRule="auto"/>
        <w:jc w:val="both"/>
      </w:pPr>
      <w:r>
        <w:t>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p>
    <w:p w14:paraId="535F943A" w14:textId="799D96A1" w:rsidR="007E420F" w:rsidRDefault="00000000">
      <w:pPr>
        <w:spacing w:after="130" w:line="242" w:lineRule="auto"/>
        <w:jc w:val="both"/>
      </w:pPr>
      <w:r>
        <w:t>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pPr>
      <w: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(Räsänen et al., 2020). In England teachers who intend to leave give more weight to the feeling that their views are not considered by policymakers than to wages (Department for Education, 2024b). Among actual leavers,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p>
    <w:p w14:paraId="1115047A" w14:textId="70690735" w:rsidR="007E420F" w:rsidRDefault="00000000">
      <w:pPr>
        <w:spacing w:after="130" w:line="242" w:lineRule="auto"/>
        <w:jc w:val="both"/>
      </w:pPr>
      <w:r>
        <w:t>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pPr>
      <w:r>
        <w:lastRenderedPageBreak/>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w:t>
      </w:r>
    </w:p>
    <w:p w14:paraId="423B2D32" w14:textId="77777777" w:rsidR="007E420F" w:rsidRDefault="00000000">
      <w:pPr>
        <w:keepNext/>
        <w:spacing w:after="130" w:line="242" w:lineRule="auto"/>
        <w:jc w:val="both"/>
      </w:pPr>
      <w:r>
        <w:rPr>
          <w:b/>
          <w:bCs/>
        </w:rPr>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0880CAA2" w14:textId="77777777" w:rsidR="00F72F5A" w:rsidRDefault="00000000">
      <w:pPr>
        <w:spacing w:after="130" w:line="200" w:lineRule="auto"/>
        <w:jc w:val="both"/>
      </w:pPr>
      <w:r>
        <w:rPr>
          <w:sz w:val="17"/>
          <w:szCs w:val="17"/>
        </w:rPr>
        <w:t xml:space="preserve">Note: </w:t>
      </w:r>
      <w:r>
        <w:rPr>
          <w:sz w:val="15"/>
          <w:szCs w:val="15"/>
        </w:rPr>
        <w:t>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p>
    <w:p w14:paraId="0F1B50B4" w14:textId="7EEF19C5" w:rsidR="001C2F77" w:rsidRDefault="001C2F77" w:rsidP="001C2F77">
      <w:pPr>
        <w:spacing w:after="130" w:line="242" w:lineRule="auto"/>
        <w:jc w:val="both"/>
      </w:pPr>
      <w:r>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(OECD, 2025b).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(Department for Education, 2023). Similarly in the United States and Sweden the same event has long driven female exits (Stinebrickner, 2002). </w:t>
      </w:r>
    </w:p>
    <w:p w14:paraId="77A48BB5" w14:textId="39F80603" w:rsidR="007E420F" w:rsidRDefault="009440C7">
      <w:pPr>
        <w:spacing w:after="130" w:line="242" w:lineRule="auto"/>
        <w:jc w:val="both"/>
      </w:pPr>
      <w:r>
        <w:t>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p>
    <w:p w14:paraId="7C14C454" w14:textId="560E295C" w:rsidR="00F72F5A" w:rsidRDefault="00000000">
      <w:pPr>
        <w:spacing w:after="130" w:line="242" w:lineRule="auto"/>
        <w:jc w:val="both"/>
      </w:pPr>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5C2134AC" w14:textId="77777777" w:rsidR="00B3332B" w:rsidRDefault="00000000">
      <w:pPr>
        <w:pStyle w:val="Heading3"/>
        <w:keepNext/>
      </w:pPr>
      <w:r>
        <w:lastRenderedPageBreak/>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(OECD, 2020). </w:t>
      </w:r>
    </w:p>
    <w:p w14:paraId="11A013CD" w14:textId="12E00740" w:rsidR="007E420F" w:rsidRDefault="00352A8B">
      <w:pPr>
        <w:spacing w:after="130" w:line="242" w:lineRule="auto"/>
        <w:jc w:val="both"/>
      </w:pPr>
      <w:r>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p>
    <w:p w14:paraId="45245AAB" w14:textId="77777777" w:rsidR="007E420F" w:rsidRDefault="00000000">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p>
    <w:p w14:paraId="1EB718A2" w14:textId="77777777" w:rsidR="007E420F" w:rsidRDefault="00000000">
      <w:pPr>
        <w:spacing w:after="130" w:line="242" w:lineRule="auto"/>
        <w:jc w:val="both"/>
      </w:pPr>
      <w:r>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43BCBCC8" w14:textId="1B25AA23" w:rsidR="00F72F5A" w:rsidRDefault="00000000">
      <w:pPr>
        <w:spacing w:after="130" w:line="242" w:lineRule="auto"/>
        <w:jc w:val="both"/>
      </w:pPr>
      <w:r>
        <w:t>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(Nguyen et al., 2020; Gundlach, Slemp and Hattie, 2024).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6D0D6C45" w:rsidR="00B3332B" w:rsidRDefault="00000000">
      <w:pPr>
        <w:spacing w:after="130" w:line="242" w:lineRule="auto"/>
        <w:jc w:val="both"/>
      </w:pPr>
      <w:r>
        <w:t xml:space="preserve">This distinction matters for policies that aim to re-attract former teachers. Bringing a teacher back without changing the conditions under which they left risks reproducing the same decision later on.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23" w:name="_Toc239235958"/>
      <w:r>
        <w:rPr>
          <w:b/>
          <w:bCs/>
          <w:color w:val="04629A"/>
          <w:sz w:val="30"/>
          <w:szCs w:val="30"/>
        </w:rPr>
        <w:lastRenderedPageBreak/>
        <w:t>3. The policies</w:t>
      </w:r>
      <w:bookmarkEnd w:id="23"/>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24" w:name="_Toc239235959"/>
      <w:r>
        <w:rPr>
          <w:b/>
          <w:bCs/>
          <w:color w:val="04629A"/>
          <w:sz w:val="30"/>
          <w:szCs w:val="30"/>
        </w:rPr>
        <w:lastRenderedPageBreak/>
        <w:t>4. Conclusions</w:t>
      </w:r>
      <w:bookmarkEnd w:id="24"/>
    </w:p>
    <w:p w14:paraId="111665AD" w14:textId="77777777" w:rsidR="00F40E91" w:rsidRDefault="00A42790">
      <w:pPr>
        <w:pStyle w:val="Heading2"/>
        <w:spacing w:before="200" w:after="120"/>
      </w:pPr>
      <w:bookmarkStart w:id="25" w:name="_Toc239235960"/>
      <w:r>
        <w:rPr>
          <w:b/>
          <w:bCs/>
          <w:color w:val="04629A"/>
          <w:sz w:val="25"/>
          <w:szCs w:val="25"/>
        </w:rPr>
        <w:t>References</w:t>
      </w:r>
      <w:bookmarkEnd w:id="25"/>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rPr/>
      </w:pPr>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rPr/>
      </w:pPr>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pPr>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p>
    <w:p w14:paraId="1AB34854" w14:textId="77777777" w:rsidR="00B3332B" w:rsidRDefault="00000000">
      <w:pPr>
        <w:spacing w:after="70"/>
        <w:ind w:left="280" w:hanging="280"/>
      </w:pPr>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pPr>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5D7544F5" w14:textId="77777777" w:rsidR="00F40E91" w:rsidRDefault="00A42790">
      <w:pPr>
        <w:spacing w:after="70"/>
        <w:ind w:left="280" w:hanging="280"/>
      </w:pPr>
      <w:r>
        <w:rPr>
          <w:sz w:val="20"/>
          <w:szCs w:val="20"/>
        </w:rPr>
        <w:lastRenderedPageBreak/>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pPr>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pPr>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56A49B5D" w14:textId="77777777" w:rsidR="007E420F" w:rsidRDefault="00000000">
      <w:pPr>
        <w:spacing w:after="70"/>
        <w:ind w:left="280" w:hanging="280"/>
      </w:pPr>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0875AC7D" w14:textId="77777777" w:rsidR="00F72F5A" w:rsidRDefault="00000000">
      <w:pPr>
        <w:spacing w:after="70"/>
        <w:ind w:left="280" w:hanging="280"/>
      </w:pPr>
      <w:r>
        <w:rPr>
          <w:sz w:val="20"/>
          <w:szCs w:val="20"/>
        </w:rPr>
        <w:t xml:space="preserve">OECD (2026), </w:t>
      </w:r>
      <w:r>
        <w:rPr>
          <w:i/>
          <w:iCs/>
          <w:sz w:val="20"/>
          <w:szCs w:val="20"/>
        </w:rPr>
        <w:t>Education at a Glance 2026: OECD Indicators</w:t>
      </w:r>
      <w:r>
        <w:rPr>
          <w:sz w:val="20"/>
          <w:szCs w:val="20"/>
        </w:rPr>
        <w:t>, OECD Publishing, Paris, https://doi.org/10.1787/b4968bbc-en.</w:t>
      </w:r>
    </w:p>
    <w:p w14:paraId="7F28702B" w14:textId="77777777" w:rsidR="00F40E91" w:rsidRDefault="00A42790">
      <w:pPr>
        <w:spacing w:after="70"/>
        <w:ind w:left="280" w:hanging="280"/>
      </w:pPr>
      <w:r>
        <w:rPr>
          <w:sz w:val="20"/>
          <w:szCs w:val="20"/>
        </w:rPr>
        <w:lastRenderedPageBreak/>
        <w:t>Papay, J. P., E. S. Taylor, J. H. Tyler and M. E. Laski (2020), "Learning job skills from colleagues at work: Evidence from a field experiment using teacher performance data", *American Economic Journal: Economic Policy*, Vol. 12/1, pp. 359-388, https://doi.org/10.1257/pol.20170709.</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pPr>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pPr>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pPr>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B87710" w:rsidRDefault="00A42790">
      <w:pPr>
        <w:spacing w:after="70"/>
        <w:ind w:left="280" w:hanging="280"/>
      </w:pPr>
      <w:r>
        <w:rPr>
          <w:sz w:val="20"/>
          <w:szCs w:val="20"/>
        </w:rPr>
        <w:t>Somers, M. et al. (2024a), *Loont het om leraren financieel te prikkelen? De voltijdbonus onderzocht*, ROA, Maastricht University, Maastricht, https://roa.maastrichtuniversity.nl/.</w:t>
      </w:r>
    </w:p>
    <w:p w14:paraId="7847F30A" w14:textId="77777777" w:rsidR="00F40E91" w:rsidRDefault="00A42790">
      <w:pPr>
        <w:spacing w:after="70"/>
        <w:ind w:left="280" w:hanging="280"/>
      </w:pPr>
      <w:r>
        <w:rPr>
          <w:sz w:val="20"/>
          <w:szCs w:val="20"/>
        </w:rPr>
        <w:t>Somers, M. et al. (2024b), *De stille reserve aan leraren buiten het onderwijs*, ROA, Maastricht University, Maastricht, https://roa.maastrichtuniversity.nl/.</w:t>
      </w:r>
    </w:p>
    <w:p w14:paraId="16295B09" w14:textId="77777777" w:rsidR="00B3332B" w:rsidRDefault="00000000">
      <w:pPr>
        <w:spacing w:after="70"/>
        <w:ind w:left="280" w:hanging="280"/>
      </w:pPr>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lastRenderedPageBreak/>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Teaching Council of Aotearoa New Zealand (2016), </w:t>
      </w:r>
      <w:r>
        <w:rPr>
          <w:i/>
          <w:iCs/>
          <w:sz w:val="20"/>
          <w:szCs w:val="20"/>
        </w:rPr>
        <w:t xml:space="preserve">Requirements for renewing a practising certificate</w:t>
      </w:r>
      <w:r>
        <w:rPr>
          <w:sz w:val="20"/>
          <w:szCs w:val="20"/>
        </w:rPr>
        <w:t xml:space="preserve">, Teaching Council, Wellington. [Full bibliographic details to be completed before publication.]</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RÁN ROA José Elías, EDU/IMEP" w:date="2026-10-07T11:34:00Z" w:initials="JD">
    <w:p w14:paraId="3EDA7D76" w14:textId="77777777" w:rsidR="00EC473B" w:rsidRDefault="00EC473B" w:rsidP="00EC473B">
      <w:pPr>
        <w:pStyle w:val="CommentText"/>
      </w:pPr>
      <w:r>
        <w:rPr>
          <w:rStyle w:val="CommentReference"/>
        </w:rPr>
        <w:annotationRef/>
      </w:r>
      <w:r>
        <w:rPr>
          <w:lang w:val="en-GB"/>
        </w:rPr>
        <w:t>Demasiado largo, demasiadas vueltas para ideas simples. Prune, redact transparent</w:t>
      </w:r>
    </w:p>
  </w:comment>
  <w:comment w:id="17" w:author="DURÁN ROA José Elías, EDU/IMEP" w:date="2026-10-07T11:32:00Z" w:initials="JD">
    <w:p w14:paraId="36FF7692" w14:textId="77777777" w:rsidR="00EC473B" w:rsidRDefault="00EC473B" w:rsidP="00EC473B">
      <w:pPr>
        <w:pStyle w:val="CommentText"/>
      </w:pPr>
      <w:r>
        <w:rPr>
          <w:rStyle w:val="CommentReference"/>
        </w:rPr>
        <w:annotationRef/>
      </w:r>
      <w:r>
        <w:rPr>
          <w:lang w:val="en-GB"/>
        </w:rPr>
        <w:t xml:space="preserve">Sigue estando mal redactado… no sigue el flow de las demás recomendaciones. Se mas claro en la reacción. Me gusa la idea de re-atracting as an oportunity to do a better match de la que hablas al final. </w:t>
      </w:r>
    </w:p>
  </w:comment>
  <w:comment w:id="18"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19" w:author="Claude" w:date="2026-10-07T07:47:00Z" w:initials="C">
    <w:p w14:paraId="4559FC5F" w14:textId="77777777" w:rsidR="00F72F5A" w:rsidRDefault="00000000">
      <w:r>
        <w:rPr>
          <w:rStyle w:val="CommentReference"/>
        </w:rPr>
        <w:annotationRef/>
      </w:r>
      <w:r>
        <w:rPr>
          <w:color w:val="000000"/>
          <w:sz w:val="20"/>
          <w:szCs w:val="20"/>
        </w:rPr>
        <w:t>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20" w:author="DURÁN ROA José Elías, EDU/IMEP" w:date="2026-10-07T11:33:00Z" w:initials="JD">
    <w:p w14:paraId="4AC1DDF7" w14:textId="77777777" w:rsidR="00EC473B" w:rsidRDefault="00EC473B" w:rsidP="00EC473B">
      <w:pPr>
        <w:pStyle w:val="CommentText"/>
      </w:pPr>
      <w:r>
        <w:rPr>
          <w:rStyle w:val="CommentReference"/>
        </w:rPr>
        <w:annotationRef/>
      </w:r>
      <w:r>
        <w:rPr>
          <w:lang w:val="en-GB"/>
        </w:rPr>
        <w:t>No, sigue sin convencerme… este y el siguiente párrafo. No des tanto detalle… los ejemplos dales un frame relevante! No simplemente un bombardeo de lugares, estudios y cifras!</w:t>
      </w:r>
    </w:p>
  </w:comment>
  <w:comment w:id="21" w:author="Claude" w:date="2026-10-07T09:40:00Z" w:initials="C">
    <w:p w14:paraId="1094F1D2" w14:textId="77777777">
      <w:r>
        <w:rPr>
          <w:rStyle w:val="CommentReference"/>
        </w:rPr>
        <w:annotationRef/>
      </w:r>
      <w:r>
        <w:rPr>
          <w:color w:val="000000"/>
          <w:sz w:val="20"/>
          <w:szCs w:val="20"/>
        </w:rPr>
        <w:t xml:space="preserve">Pruned to the essentials: shortages in most systems, the four facts that matter (posts, qualifications, subjects and places, ageing), and the two reasons why the determinants of leaving matter, the second being this paper's.</w:t>
      </w:r>
    </w:p>
  </w:comment>
  <w:comment w:id="22" w:author="Claude" w:date="2026-10-07T09:40:00Z" w:initials="C">
    <w:p w14:paraId="330AEC70" w14:textId="77777777">
      <w:r>
        <w:rPr>
          <w:rStyle w:val="CommentReference"/>
        </w:rPr>
        <w:annotationRef/>
      </w:r>
      <w:r>
        <w:rPr>
          <w:color w:val="000000"/>
          <w:sz w:val="20"/>
          <w:szCs w:val="20"/>
        </w:rPr>
        <w:t xml:space="preserve">Rewritten in the same form as the other implication paragraphs ('For policies that seek to re-attract former teachers, these findings carry two implications'): first the load and the school as part of the policy, then the concentration of shortages, closing on re-attraction as an opportunity for a better match between returner and school.</w:t>
      </w:r>
    </w:p>
  </w:comment>
  <w:comment w:id="23" w:author="Claude" w:date="2026-10-07T09:40:00Z" w:initials="C">
    <w:p w14:paraId="281FAF59" w14:textId="77777777">
      <w:r>
        <w:rPr>
          <w:rStyle w:val="CommentReference"/>
        </w:rPr>
        <w:annotationRef/>
      </w:r>
      <w:r>
        <w:rPr>
          <w:color w:val="000000"/>
          <w:sz w:val="20"/>
          <w:szCs w:val="20"/>
        </w:rPr>
        <w:t xml:space="preserve">Both paragraphs rewritten with less detail. The first states the ideas and why causal evidence is scarce; the second frames the evidence as what the studies that overcome the problem show (lower turnover where teachers perceive good leadership, falling turnover when leadership improves, largest effect in disadvantaged schools), with the references but without the list of places and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A7D76" w15:done="0"/>
  <w15:commentEx w15:paraId="36FF7692" w15:done="0"/>
  <w15:commentEx w15:paraId="386D3113" w15:done="0"/>
  <w15:commentEx w15:paraId="4559FC5F" w15:paraIdParent="386D3113" w15:done="0"/>
  <w15:commentEx w15:paraId="4AC1DDF7" w15:paraIdParent="386D3113" w15:done="0"/>
  <w15:commentEx w15:paraId="1094F1D2" w15:paraIdParent="3EDA7D76" w15:done="0"/>
  <w15:commentEx w15:paraId="330AEC70" w15:paraIdParent="36FF7692" w15:done="0"/>
  <w15:commentEx w15:paraId="281FAF59" w15:paraIdParent="386D31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0A3FFB" w16cex:dateUtc="2026-10-07T09:34:00Z"/>
  <w16cex:commentExtensible w16cex:durableId="0DDFC5FE" w16cex:dateUtc="2026-10-07T09:32:00Z"/>
  <w16cex:commentExtensible w16cex:durableId="7CF2C603" w16cex:dateUtc="2026-10-06T14:21:00Z"/>
  <w16cex:commentExtensible w16cex:durableId="4EA9E12F" w16cex:dateUtc="2026-10-07T07:47:00Z"/>
  <w16cex:commentExtensible w16cex:durableId="4666DED9" w16cex:dateUtc="2026-10-07T09:33:00Z"/>
  <w16cex:commentExtensible w16cex:durableId="2D3D6D26" w16cex:dateUtc="2026-10-07T09:40:00Z"/>
  <w16cex:commentExtensible w16cex:durableId="2C7D3D7F" w16cex:dateUtc="2026-10-07T09:40:00Z"/>
  <w16cex:commentExtensible w16cex:durableId="2FADC2F9" w16cex:dateUtc="2026-10-07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A7D76" w16cid:durableId="460A3FFB"/>
  <w16cid:commentId w16cid:paraId="36FF7692" w16cid:durableId="0DDFC5FE"/>
  <w16cid:commentId w16cid:paraId="386D3113" w16cid:durableId="7CF2C603"/>
  <w16cid:commentId w16cid:paraId="4559FC5F" w16cid:durableId="4EA9E12F"/>
  <w16cid:commentId w16cid:paraId="4AC1DDF7" w16cid:durableId="4666DED9"/>
  <w16cid:commentId w16cid:paraId="1094F1D2" w16cid:durableId="2D3D6D26"/>
  <w16cid:commentId w16cid:paraId="330AEC70" w16cid:durableId="2C7D3D7F"/>
  <w16cid:commentId w16cid:paraId="281FAF59" w16cid:durableId="2FADC2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5F09F" w14:textId="77777777" w:rsidR="00D663C3" w:rsidRDefault="00D663C3">
      <w:r>
        <w:separator/>
      </w:r>
    </w:p>
  </w:endnote>
  <w:endnote w:type="continuationSeparator" w:id="0">
    <w:p w14:paraId="6C784984" w14:textId="77777777" w:rsidR="00D663C3" w:rsidRDefault="00D663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85A0" w14:textId="77777777" w:rsidR="00D663C3" w:rsidRDefault="00D663C3">
      <w:r>
        <w:separator/>
      </w:r>
    </w:p>
  </w:footnote>
  <w:footnote w:type="continuationSeparator" w:id="0">
    <w:p w14:paraId="2CE5EFCD" w14:textId="77777777" w:rsidR="00D663C3" w:rsidRDefault="00D663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3E26"/>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3592B"/>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3C3"/>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473B"/>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2F5A"/>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1435</TotalTime>
  <Pages>20</Pages>
  <Words>8552</Words>
  <Characters>51745</Characters>
  <Application>Microsoft Office Word</Application>
  <DocSecurity>0</DocSecurity>
  <Lines>708</Lines>
  <Paragraphs>255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60042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7</cp:revision>
  <dcterms:created xsi:type="dcterms:W3CDTF">2026-10-05T12:05:00Z</dcterms:created>
  <dcterms:modified xsi:type="dcterms:W3CDTF">2026-10-07T09:35:00Z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