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Most countries now publish an aggregate attrition rate each year from administrative records. What is scarce is everything behind the rate. Person-level records sit in secure enclaves, closed registers or restricted licenses, and the public tables carry no personal characteristics, no destinations and no returns. The one national survey that follows leavers to where they go, the American Teacher Follow-up Survey, has run eight times since 1988, with a nine-year gap before its latest wave, and its recent microdata are available only to licensed institutions in the United States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instruments are therefore the ceiling of what is known. Far deeper characterizations of who leaves, and of who comes back, would be possible with data that are open and comparable.</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problem in many school systems and the debate around them runs on evidence that is neither public nor comparable. Annual attrition figures range from about two percent in South Korea to about nine percent in England, but every national statistic measures a different object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seven of the world's most important household panels into one open structure with identical variables for employment, income, family and wellbeing </w:t>
      </w:r>
      <w:r>
        <w:rPr>
          <w:rFonts w:ascii="Garamond" w:cs="Garamond" w:eastAsia="Garamond" w:hAnsi="Garamond"/>
          <w:color w:val="2A5DB0"/>
          <w:sz w:val="22"/>
          <w:szCs w:val="22"/>
        </w:rPr>
        <w:t xml:space="preserve">(Turek, Kalmijn and Leopold 2021; Turek and Kalmijn 2025)</w:t>
      </w:r>
      <w:r>
        <w:rPr>
          <w:rFonts w:ascii="Garamond" w:cs="Garamond" w:eastAsia="Garamond" w:hAnsi="Garamond"/>
          <w:color w:val="1A2430"/>
          <w:sz w:val="22"/>
          <w:szCs w:val="22"/>
        </w:rPr>
        <w:t xml:space="preserve">. Its 2025 release spans 43 waves between 1968 and 2024, around three million observations, and more than 400,000 respondents.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Netherlands</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LISS</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2007</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two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administrative benchmarks compiled for this proposal, country by country,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p>
      <w:pPr>
        <w:spacing w:after="120" w:line="276" w:lineRule="auto"/>
        <w:ind w:left="420" w:hanging="420"/>
      </w:pPr>
      <w:r>
        <w:rPr>
          <w:rFonts w:ascii="Garamond" w:cs="Garamond" w:eastAsia="Garamond" w:hAnsi="Garamond"/>
          <w:color w:val="1A2430"/>
          <w:sz w:val="20"/>
          <w:szCs w:val="20"/>
        </w:rPr>
        <w:t xml:space="preserve">Turek, K., and M. Kalmijn (2025). Comparative Panel File (CPF) 2.0: Information and Manual. OSF, doi 10.31219/osf.io/y3ph6.</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2026-07-22T07:53:54.522Z</dcterms:created>
  <dcterms:modified xsi:type="dcterms:W3CDTF">2026-07-22T07:53:54.523Z</dcterms:modified>
</cp:coreProperties>
</file>

<file path=docProps/custom.xml><?xml version="1.0" encoding="utf-8"?>
<Properties xmlns="http://schemas.openxmlformats.org/officeDocument/2006/custom-properties" xmlns:vt="http://schemas.openxmlformats.org/officeDocument/2006/docPropsVTypes"/>
</file>