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Garamond" w:cs="Garamond" w:eastAsia="Garamond" w:hAnsi="Garamond"/>
          <w:b/>
          <w:bCs/>
          <w:color w:val="000000"/>
          <w:sz w:val="40"/>
          <w:szCs w:val="40"/>
        </w:rPr>
        <w:t xml:space="preserve">Re-attracting Former Teachers</w:t>
      </w:r>
    </w:p>
    <w:p>
      <w:pPr>
        <w:spacing w:after="480"/>
      </w:pPr>
      <w:r>
        <w:rPr>
          <w:rFonts w:ascii="Garamond" w:cs="Garamond" w:eastAsia="Garamond" w:hAnsi="Garamond"/>
          <w:color w:val="555555"/>
          <w:sz w:val="28"/>
          <w:szCs w:val="28"/>
        </w:rPr>
        <w:t xml:space="preserve">Interview scripts</w:t>
      </w:r>
    </w:p>
    <w:p>
      <w:pPr>
        <w:spacing w:after="0" w:before="120"/>
      </w:pPr>
      <w:r>
        <w:rPr>
          <w:rFonts w:ascii="Garamond" w:cs="Garamond" w:eastAsia="Garamond" w:hAnsi="Garamond"/>
          <w:b/>
          <w:bCs/>
          <w:color w:val="000000"/>
          <w:sz w:val="24"/>
          <w:szCs w:val="24"/>
        </w:rPr>
        <w:t xml:space="preserve">Australia</w:t>
      </w:r>
    </w:p>
    <w:p>
      <w:pPr>
        <w:spacing w:after="0" w:before="40"/>
        <w:ind w:left="504"/>
      </w:pPr>
      <w:hyperlink w:history="1" w:anchor="sec0">
        <w:r>
          <w:rPr>
            <w:rFonts w:ascii="Garamond" w:cs="Garamond" w:eastAsia="Garamond" w:hAnsi="Garamond"/>
            <w:b w:val="false"/>
            <w:bCs w:val="false"/>
            <w:color w:val="000000"/>
            <w:sz w:val="22"/>
            <w:szCs w:val="22"/>
            <w:u w:val="single"/>
          </w:rPr>
          <w:t xml:space="preserve">New South Wales</w:t>
        </w:r>
      </w:hyperlink>
    </w:p>
    <w:p>
      <w:pPr>
        <w:spacing w:after="0" w:before="40"/>
        <w:ind w:left="504"/>
      </w:pPr>
      <w:hyperlink w:history="1" w:anchor="sec1">
        <w:r>
          <w:rPr>
            <w:rFonts w:ascii="Garamond" w:cs="Garamond" w:eastAsia="Garamond" w:hAnsi="Garamond"/>
            <w:b w:val="false"/>
            <w:bCs w:val="false"/>
            <w:color w:val="000000"/>
            <w:sz w:val="22"/>
            <w:szCs w:val="22"/>
            <w:u w:val="single"/>
          </w:rPr>
          <w:t xml:space="preserve">Victoria</w:t>
        </w:r>
      </w:hyperlink>
    </w:p>
    <w:p>
      <w:pPr>
        <w:spacing w:after="0" w:before="120"/>
      </w:pPr>
      <w:hyperlink w:history="1" w:anchor="sec2">
        <w:r>
          <w:rPr>
            <w:rFonts w:ascii="Garamond" w:cs="Garamond" w:eastAsia="Garamond" w:hAnsi="Garamond"/>
            <w:b/>
            <w:bCs/>
            <w:color w:val="000000"/>
            <w:sz w:val="24"/>
            <w:szCs w:val="24"/>
            <w:u w:val="single"/>
          </w:rPr>
          <w:t xml:space="preserve">Canada</w:t>
        </w:r>
      </w:hyperlink>
    </w:p>
    <w:p>
      <w:pPr>
        <w:spacing w:after="0" w:before="120"/>
      </w:pPr>
      <w:hyperlink w:history="1" w:anchor="sec3">
        <w:r>
          <w:rPr>
            <w:rFonts w:ascii="Garamond" w:cs="Garamond" w:eastAsia="Garamond" w:hAnsi="Garamond"/>
            <w:b/>
            <w:bCs/>
            <w:color w:val="000000"/>
            <w:sz w:val="24"/>
            <w:szCs w:val="24"/>
            <w:u w:val="single"/>
          </w:rPr>
          <w:t xml:space="preserve">China</w:t>
        </w:r>
      </w:hyperlink>
    </w:p>
    <w:p>
      <w:pPr>
        <w:spacing w:after="0" w:before="120"/>
      </w:pPr>
      <w:hyperlink w:history="1" w:anchor="sec4">
        <w:r>
          <w:rPr>
            <w:rFonts w:ascii="Garamond" w:cs="Garamond" w:eastAsia="Garamond" w:hAnsi="Garamond"/>
            <w:b/>
            <w:bCs/>
            <w:color w:val="000000"/>
            <w:sz w:val="24"/>
            <w:szCs w:val="24"/>
            <w:u w:val="single"/>
          </w:rPr>
          <w:t xml:space="preserve">Netherlands</w:t>
        </w:r>
      </w:hyperlink>
    </w:p>
    <w:p>
      <w:pPr>
        <w:spacing w:after="0" w:before="120"/>
      </w:pPr>
      <w:hyperlink w:history="1" w:anchor="sec5">
        <w:r>
          <w:rPr>
            <w:rFonts w:ascii="Garamond" w:cs="Garamond" w:eastAsia="Garamond" w:hAnsi="Garamond"/>
            <w:b/>
            <w:bCs/>
            <w:color w:val="000000"/>
            <w:sz w:val="24"/>
            <w:szCs w:val="24"/>
            <w:u w:val="single"/>
          </w:rPr>
          <w:t xml:space="preserve">United States</w:t>
        </w:r>
      </w:hyperlink>
    </w:p>
    <w:p>
      <w:r>
        <w:br w:type="page"/>
      </w:r>
    </w:p>
    <w:p>
      <w:pPr>
        <w:pStyle w:val="Heading1"/>
        <w:spacing w:after="0" w:before="0"/>
      </w:pPr>
      <w:bookmarkStart w:name="sec0" w:id="1"/>
      <w:r>
        <w:rPr>
          <w:rFonts w:ascii="Garamond" w:cs="Garamond" w:eastAsia="Garamond" w:hAnsi="Garamond"/>
          <w:b/>
          <w:bCs/>
          <w:color w:val="000000"/>
          <w:sz w:val="32"/>
          <w:szCs w:val="32"/>
        </w:rPr>
        <w:t xml:space="preserve">New South Wales</w:t>
      </w:r>
      <w:bookmarkEnd w:id="1"/>
    </w:p>
    <w:p>
      <w:pPr>
        <w:spacing w:after="240"/>
      </w:pPr>
      <w:r>
        <w:rPr>
          <w:rFonts w:ascii="Garamond" w:cs="Garamond" w:eastAsia="Garamond" w:hAnsi="Garamond"/>
          <w:i/>
          <w:iCs/>
          <w:color w:val="555555"/>
          <w:sz w:val="22"/>
          <w:szCs w:val="22"/>
        </w:rPr>
        <w:t xml:space="preserve">Teachers Re-Engage, since 2023</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the School Workforce directorate of the NSW Department of Education, which handles attraction, retention and the placement of teachers in public schools.</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From November 2023 the Department went through its own records of teachers who had left in the previous five years and approached more than 1,500 of them. By May 2024, 260 had expressed interest and 145 had joined the pool of casual and temporary teachers serving more than 600 schools, about six in ten of them retirees. Returners are helped with accreditation, approval to teach and the working-with-children check, and register on the casual booking platform schools use. A shorter re-accreditation route for retired teachers appeared at the standards authority the month the calls began. The press described the outreach as cold-calling; the Department has not said what the channel was. No figures have been published since May 2024.</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How did this start?</w:t>
      </w:r>
      <w:r>
        <w:rPr>
          <w:rFonts w:ascii="Garamond" w:cs="Garamond" w:eastAsia="Garamond" w:hAnsi="Garamond"/>
          <w:b w:val="false"/>
          <w:bCs w:val="false"/>
          <w:color w:val="000000"/>
          <w:sz w:val="24"/>
          <w:szCs w:val="24"/>
        </w:rPr>
        <w:t xml:space="preserve"> Who first proposed going back to teachers who had already left, and who had to agree?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there a model, in Australia or elsewhere?</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How did you find the teachers you contacted, and how were they approached?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Which records were used, and what had to be settled before former employees could be contacted?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Phone, letter, e-mail? What was said to them?</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Everyone who had left, or a selection?</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What did they answer?</w:t>
      </w:r>
      <w:r>
        <w:rPr>
          <w:rFonts w:ascii="Garamond" w:cs="Garamond" w:eastAsia="Garamond" w:hAnsi="Garamond"/>
          <w:b w:val="false"/>
          <w:bCs w:val="false"/>
          <w:color w:val="000000"/>
          <w:sz w:val="24"/>
          <w:szCs w:val="24"/>
        </w:rPr>
        <w:t xml:space="preserve"> Refusals interest us as much as acceptances.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the refusals have anything in common?</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Once someone said yes, what followed, and where did it stall?</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The standards authority opened a shorter re-accreditation route for retired teachers the same month. Was that planned together?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the process itself changed, or was it the usual process with someone guiding them through?</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Who came back, and to what kind of post?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Casual, temporary, permanent: did what they wanted match what schools needed?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they go where the shortage was, or where they lived?</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The pay rise and the reduction in administrative work came in at the same time. How much of the result do you attribute to the outreach itself?</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Are the teachers who came back the same kind of teachers who leave?</w:t>
      </w:r>
      <w:r>
        <w:rPr>
          <w:rFonts w:ascii="Garamond" w:cs="Garamond" w:eastAsia="Garamond" w:hAnsi="Garamond"/>
          <w:b w:val="false"/>
          <w:bCs w:val="false"/>
          <w:color w:val="000000"/>
          <w:sz w:val="24"/>
          <w:szCs w:val="24"/>
        </w:rPr>
        <w:t xml:space="preserve"> What did they say about why they had left, and what had changed?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Is there a kind of leaver this approach does not reach?</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What became of them, and what did the exercise teach you?</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many were still teaching a year later? Any permanent appointments?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it reviewed? Is it still running? What would you change?</w:t>
      </w:r>
    </w:p>
    <w:p>
      <w:pPr>
        <w:spacing w:after="60" w:before="200"/>
        <w:ind w:left="504" w:hanging="504"/>
      </w:pPr>
      <w:r>
        <w:rPr>
          <w:rFonts w:ascii="Garamond" w:cs="Garamond" w:eastAsia="Garamond" w:hAnsi="Garamond"/>
          <w:b/>
          <w:bCs/>
          <w:color w:val="000000"/>
          <w:sz w:val="24"/>
          <w:szCs w:val="24"/>
        </w:rPr>
        <w:t xml:space="preserve">9.	</w:t>
      </w:r>
      <w:r>
        <w:rPr>
          <w:rFonts w:ascii="Garamond" w:cs="Garamond" w:eastAsia="Garamond" w:hAnsi="Garamond"/>
          <w:b/>
          <w:bCs/>
          <w:color w:val="000000"/>
          <w:sz w:val="24"/>
          <w:szCs w:val="24"/>
        </w:rPr>
        <w:t xml:space="preserve">Is there someone else, in the Department or at the standards authority, we should speak to?</w:t>
      </w:r>
    </w:p>
    <w:p>
      <w:r>
        <w:br w:type="page"/>
      </w:r>
    </w:p>
    <w:p>
      <w:pPr>
        <w:pStyle w:val="Heading1"/>
        <w:spacing w:after="0" w:before="0"/>
      </w:pPr>
      <w:bookmarkStart w:name="sec1" w:id="1"/>
      <w:r>
        <w:rPr>
          <w:rFonts w:ascii="Garamond" w:cs="Garamond" w:eastAsia="Garamond" w:hAnsi="Garamond"/>
          <w:b/>
          <w:bCs/>
          <w:color w:val="000000"/>
          <w:sz w:val="32"/>
          <w:szCs w:val="32"/>
        </w:rPr>
        <w:t xml:space="preserve">Victoria</w:t>
      </w:r>
      <w:bookmarkEnd w:id="1"/>
    </w:p>
    <w:p>
      <w:pPr>
        <w:spacing w:after="240"/>
      </w:pPr>
      <w:r>
        <w:rPr>
          <w:rFonts w:ascii="Garamond" w:cs="Garamond" w:eastAsia="Garamond" w:hAnsi="Garamond"/>
          <w:i/>
          <w:iCs/>
          <w:color w:val="555555"/>
          <w:sz w:val="22"/>
          <w:szCs w:val="22"/>
        </w:rPr>
        <w:t xml:space="preserve">Teacher Re-Engagement Initiative, since 2022</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the re-engagement team of the Department of Education, in the area responsible for attracting teachers to government schools.</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The initiative opened in late 2022 as a call for expressions of interest, answered by more than 1,100 teachers; the 2023/24 State Budget then put 12 million dollars into paid placements of up to forty days in government schools, to be completed by June 2025. A teacher away from a fixed-term or ongoing post for a year or more registers, the team calls, coaching is offered on applications and the current curriculum, and a placement is arranged with a serving teacher alongside. Returners from a career break or retirement receive an honorarium of up to 12,000 dollars; teachers returning from more than two years of parental absence resume duty temporarily on their own salary. The current departmental pages describe the placement as school-funded at 330 dollars a day, which we have not been able to confirm. No figure on placements made, or on how many led to a post, has been published.</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How did this start?</w:t>
      </w:r>
      <w:r>
        <w:rPr>
          <w:rFonts w:ascii="Garamond" w:cs="Garamond" w:eastAsia="Garamond" w:hAnsi="Garamond"/>
          <w:b w:val="false"/>
          <w:bCs w:val="false"/>
          <w:color w:val="000000"/>
          <w:sz w:val="24"/>
          <w:szCs w:val="24"/>
        </w:rPr>
        <w:t xml:space="preserve"> The expressions of interest came before the money, which is the reverse of the usual order.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Why pay someone to try the classroom before deciding, rather than ask them to decide first?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else was considered?</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From registration to the first day in a school, what happens?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does the call from the team cover?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are teachers and schools matched, and what happens to someone who is not placed?</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What does a school take on when it hosts a returner, and what does it get from it?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does the serving teacher alongside them do, and how is that time found?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Is the forty days a fixed shape, or different for each person?</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The placement is now described as funded by the school rather than centrally. Is that right, and how did it come about?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schools' willingness to host change once they were paying?</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Who came forward, and was it who you expected?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Of the paid days, the coaching, the mentor and the route into a school, which one do people come for?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Why are returners from parental leave treated differently from retirees and career-break returners?</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Are the teachers who came back the same kind of teachers who leave?</w:t>
      </w:r>
      <w:r>
        <w:rPr>
          <w:rFonts w:ascii="Garamond" w:cs="Garamond" w:eastAsia="Garamond" w:hAnsi="Garamond"/>
          <w:b w:val="false"/>
          <w:bCs w:val="false"/>
          <w:color w:val="000000"/>
          <w:sz w:val="24"/>
          <w:szCs w:val="24"/>
        </w:rPr>
        <w:t xml:space="preserve"> What did they say about why they had left, and what worried them about returning?</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Does a paid re-entry reach the teacher who left because of the job itself?</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What happened after the placements?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Who took a post, who did not, and what became of those who decided against the classroom?</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Has it been evaluated? What did it cost against what it produced?</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Where does the initiative stand now, and what would you change?</w:t>
      </w:r>
    </w:p>
    <w:p>
      <w:pPr>
        <w:spacing w:after="60" w:before="200"/>
        <w:ind w:left="504" w:hanging="504"/>
      </w:pPr>
      <w:r>
        <w:rPr>
          <w:rFonts w:ascii="Garamond" w:cs="Garamond" w:eastAsia="Garamond" w:hAnsi="Garamond"/>
          <w:b/>
          <w:bCs/>
          <w:color w:val="000000"/>
          <w:sz w:val="24"/>
          <w:szCs w:val="24"/>
        </w:rPr>
        <w:t xml:space="preserve">9.	</w:t>
      </w:r>
      <w:r>
        <w:rPr>
          <w:rFonts w:ascii="Garamond" w:cs="Garamond" w:eastAsia="Garamond" w:hAnsi="Garamond"/>
          <w:b/>
          <w:bCs/>
          <w:color w:val="000000"/>
          <w:sz w:val="24"/>
          <w:szCs w:val="24"/>
        </w:rPr>
        <w:t xml:space="preserve">Is there someone who has run this closely that we should speak to?</w:t>
      </w:r>
    </w:p>
    <w:p>
      <w:r>
        <w:br w:type="page"/>
      </w:r>
    </w:p>
    <w:p>
      <w:pPr>
        <w:pStyle w:val="Heading1"/>
        <w:spacing w:after="0" w:before="0"/>
      </w:pPr>
      <w:bookmarkStart w:name="sec2" w:id="1"/>
      <w:r>
        <w:rPr>
          <w:rFonts w:ascii="Garamond" w:cs="Garamond" w:eastAsia="Garamond" w:hAnsi="Garamond"/>
          <w:b/>
          <w:bCs/>
          <w:color w:val="000000"/>
          <w:sz w:val="32"/>
          <w:szCs w:val="32"/>
        </w:rPr>
        <w:t xml:space="preserve">Canada</w:t>
      </w:r>
      <w:bookmarkEnd w:id="1"/>
    </w:p>
    <w:p>
      <w:pPr>
        <w:spacing w:after="240"/>
      </w:pPr>
      <w:r>
        <w:rPr>
          <w:rFonts w:ascii="Garamond" w:cs="Garamond" w:eastAsia="Garamond" w:hAnsi="Garamond"/>
          <w:i/>
          <w:iCs/>
          <w:color w:val="555555"/>
          <w:sz w:val="22"/>
          <w:szCs w:val="22"/>
        </w:rPr>
        <w:t xml:space="preserve">Quebec. Measure 15178, pay for returning retired teachers, since 2020</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the direction of the Ministère de l'Éducation responsible for teaching staff and for the operating budget rules of the centres de services scolaires.</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Announced on 21 September 2020 as a pandemic measure, the incentive sits in the Règles budgétaires de fonctionnement of the school service centres, now as measure 15178 in several volets. A retired teacher doing supply work is paid from the first day at the salary step and experience held at retirement, where the ordinary rules grant that step only after twenty days; the pension continues because the retiree may elect not to rejoin the plan. It was first limited to teachers retired since July 2015; a ministerial act effective in late January 2022 removed the condition, and the measure was declared permanent the same month. It rests on an agreement outside the collective agreement, between the employers' negotiating committee and the teaching unions, renewed each school year. The minister has written to retired teachers twice, in June 2023 and August 2025. The ministry's figure for 2024-25 is more than 5,000 retirees back in schools; the press has since reported that some school service centres call retirees last because they cost more.</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How did this come about in 2020?</w:t>
      </w:r>
      <w:r>
        <w:rPr>
          <w:rFonts w:ascii="Garamond" w:cs="Garamond" w:eastAsia="Garamond" w:hAnsi="Garamond"/>
          <w:b w:val="false"/>
          <w:bCs w:val="false"/>
          <w:color w:val="000000"/>
          <w:sz w:val="24"/>
          <w:szCs w:val="24"/>
        </w:rPr>
        <w:t xml:space="preserve"> Why a pay rule, rather than a programme, a campaign or a change to pension rules?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Who had to agree, and what was hardest to agree?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Why the budget rules rather than the collective agreement?</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The measure is permanent on the budget side but the agreement carrying it is renewed each year. How does that work?</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is renegotiated, and what has changed from one year to the next?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will decide the next renewal?</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Seen from a school service centre, how does the measure work?</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do they draw on it, and what do they have to report?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Some centres are said to call retirees last because they cost more. Do you recognise that? Who bears the premium, the ministry or the school?</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Who comes back, and to do what?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long after retiring, and for supply days or contracts?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Is the option not to rejoin the pension plan explained to them?</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What came of the minister's letters, and what do they tell you about what moves this group?</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 retirees say when they decline?</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Do the retirees who return cover the same problem that drives teachers out of the profession, or a different one?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Has the measure changed how absences are covered, and the number of classrooms without a qualified teacher?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Does it reach the mid-career leaver at all?</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How has take-up moved since 2020, and how is it counted?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Does the 5,000 count anyone paid for one day, or people with a meaningful volume of work?</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Has the ministry assessed the measure? What has it solved, and what not?</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Is there someone who has followed this closely that we should speak to?</w:t>
      </w:r>
    </w:p>
    <w:p>
      <w:pPr>
        <w:spacing w:after="100" w:before="100"/>
      </w:pPr>
      <w:r>
        <w:rPr>
          <w:rFonts w:ascii="Garamond" w:cs="Garamond" w:eastAsia="Garamond" w:hAnsi="Garamond"/>
          <w:b/>
          <w:bCs/>
          <w:color w:val="000000"/>
          <w:sz w:val="24"/>
          <w:szCs w:val="24"/>
        </w:rPr>
        <w:t xml:space="preserve">Note.</w:t>
      </w:r>
      <w:r>
        <w:rPr>
          <w:rFonts w:ascii="Garamond" w:cs="Garamond" w:eastAsia="Garamond" w:hAnsi="Garamond"/>
          <w:b w:val="false"/>
          <w:bCs w:val="false"/>
          <w:color w:val="000000"/>
          <w:sz w:val="24"/>
          <w:szCs w:val="24"/>
        </w:rPr>
        <w:t xml:space="preserve"> Two points the record does not settle, to ask in passing: the number and citation of the ministerial act of January 2022, and whether the measure has carried the number 15178 from the start.</w:t>
      </w:r>
    </w:p>
    <w:p>
      <w:r>
        <w:br w:type="page"/>
      </w:r>
    </w:p>
    <w:p>
      <w:pPr>
        <w:pStyle w:val="Heading1"/>
        <w:spacing w:after="0" w:before="0"/>
      </w:pPr>
      <w:bookmarkStart w:name="sec3" w:id="1"/>
      <w:r>
        <w:rPr>
          <w:rFonts w:ascii="Garamond" w:cs="Garamond" w:eastAsia="Garamond" w:hAnsi="Garamond"/>
          <w:b/>
          <w:bCs/>
          <w:color w:val="000000"/>
          <w:sz w:val="32"/>
          <w:szCs w:val="32"/>
        </w:rPr>
        <w:t xml:space="preserve">China</w:t>
      </w:r>
      <w:bookmarkEnd w:id="1"/>
    </w:p>
    <w:p>
      <w:pPr>
        <w:spacing w:after="240"/>
      </w:pPr>
      <w:r>
        <w:rPr>
          <w:rFonts w:ascii="Garamond" w:cs="Garamond" w:eastAsia="Garamond" w:hAnsi="Garamond"/>
          <w:i/>
          <w:iCs/>
          <w:color w:val="555555"/>
          <w:sz w:val="22"/>
          <w:szCs w:val="22"/>
        </w:rPr>
        <w:t xml:space="preserve">Silver-Age Lecturing Plan, since 2018</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the Teacher Work Department of the Ministry of Education, which issues the plan with the Ministry of Finance, and if possible a provincial education department that recruits for it.</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Since 2018 the Ministry of Education and the Ministry of Finance have recruited retired principals, teaching-research officers, special-grade and senior teachers, generally aged 65 or under, to county-town and rural schools in formerly poor, border and minority counties. Recruitment is run by provinces against named posts; the county education bureau signs an agreement with the teacher, for at least one school year and renewed annually, on the strength of a recent health certificate. The pension is untouched; the work is funded at 20,000 yuan per person per year, shared between central and local budgets, for an allowance, travel and accident insurance, and the county provides housing. In 2023 ten government departments extended the model to higher, vocational and private education, with a target of about 120,000 silver-age teachers within three years. The annual plan for compulsory education has been 7,000 in 2024 and 2025, and the notices ask provinces to raise their completion rate.</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How did the plan start in 2018, and what was it meant to do that other measures for rural schools were not doing?</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Why retired teachers, rather than more posts for young ones?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changed in the thinking between 2018 and the 2023 plan?</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From application to a classroom in a distant county, how does it work?</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Who decides which counties and schools receive a teacher?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happens when applicants outnumber posts, or fall short of them?</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What does a silver-age teacher do in the school week?</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is the balance struck between teaching, mentoring young teachers and advising the leadership?</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 the young teachers get from it?</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An allowance on top of the pension, county housing, an agreement renewed each year: how was that arrangement arrived at, and does it hold?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does a county consider when it renews?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long do teachers stay?</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Who applies, and why?</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is hardest: distance from family, health, the gap between the schools they knew and the ones they arrive in?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 those who leave early say?</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Is a silver-age teacher an answer to why teachers leave rural schools, or never go to them, or an answer to something else?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Does their presence change whether young teachers stay?</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How has recruitment gone against the annual plan, and where is the difficulty?</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is progress towards 120,000 measured, and where does it stand?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Has anyone looked at what the plan changed in the receiving schools?</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What should a country with an ageing teaching profession take from this, and what should it avoid?</w:t>
      </w:r>
    </w:p>
    <w:p>
      <w:pPr>
        <w:spacing w:after="60" w:before="200"/>
        <w:ind w:left="504" w:hanging="504"/>
      </w:pPr>
      <w:r>
        <w:rPr>
          <w:rFonts w:ascii="Garamond" w:cs="Garamond" w:eastAsia="Garamond" w:hAnsi="Garamond"/>
          <w:b/>
          <w:bCs/>
          <w:color w:val="000000"/>
          <w:sz w:val="24"/>
          <w:szCs w:val="24"/>
        </w:rPr>
        <w:t xml:space="preserve">9.	</w:t>
      </w:r>
      <w:r>
        <w:rPr>
          <w:rFonts w:ascii="Garamond" w:cs="Garamond" w:eastAsia="Garamond" w:hAnsi="Garamond"/>
          <w:b/>
          <w:bCs/>
          <w:color w:val="000000"/>
          <w:sz w:val="24"/>
          <w:szCs w:val="24"/>
        </w:rPr>
        <w:t xml:space="preserve">Is there someone at the ministry, or in a province that recruits for the plan, we should speak to?</w:t>
      </w:r>
    </w:p>
    <w:p>
      <w:r>
        <w:br w:type="page"/>
      </w:r>
    </w:p>
    <w:p>
      <w:pPr>
        <w:pStyle w:val="Heading1"/>
        <w:spacing w:after="0" w:before="0"/>
      </w:pPr>
      <w:bookmarkStart w:name="sec4" w:id="1"/>
      <w:r>
        <w:rPr>
          <w:rFonts w:ascii="Garamond" w:cs="Garamond" w:eastAsia="Garamond" w:hAnsi="Garamond"/>
          <w:b/>
          <w:bCs/>
          <w:color w:val="000000"/>
          <w:sz w:val="32"/>
          <w:szCs w:val="32"/>
        </w:rPr>
        <w:t xml:space="preserve">Netherlands</w:t>
      </w:r>
      <w:bookmarkEnd w:id="1"/>
    </w:p>
    <w:p>
      <w:pPr>
        <w:spacing w:after="240"/>
      </w:pPr>
      <w:r>
        <w:rPr>
          <w:rFonts w:ascii="Garamond" w:cs="Garamond" w:eastAsia="Garamond" w:hAnsi="Garamond"/>
          <w:i/>
          <w:iCs/>
          <w:color w:val="555555"/>
          <w:sz w:val="22"/>
          <w:szCs w:val="22"/>
        </w:rPr>
        <w:t xml:space="preserve">Grant to schools for re-hiring former teachers, 2017–2022</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the primary-education directorate of the Ministry of Education, Culture and Science, and the agency that handled the applications (DUS-I).</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The regulation took effect on 1 November 2017 and paid a primary-school board up to 2,500 euros for each qualified teacher it hired who had not worked in primary education for at least a year, on a contract of six months or more. The money went to the board, for the guidance and support a returner needs in the first months. The first budget was 1.25 million euros, enough for about 500 returners; a 2019 amendment extended the scheme, applications closed on 1 November 2020 and the regulation expired on 1 January</w:t>
      </w:r>
    </w:p>
    <w:p>
      <w:pPr>
        <w:spacing w:after="60" w:before="200"/>
        <w:ind w:left="504" w:hanging="504"/>
      </w:pPr>
      <w:r>
        <w:rPr>
          <w:rFonts w:ascii="Garamond" w:cs="Garamond" w:eastAsia="Garamond" w:hAnsi="Garamond"/>
          <w:b/>
          <w:bCs/>
          <w:color w:val="000000"/>
          <w:sz w:val="24"/>
          <w:szCs w:val="24"/>
        </w:rPr>
        <w:t xml:space="preserve">2022.	</w:t>
      </w:r>
      <w:r>
        <w:rPr>
          <w:rFonts w:ascii="Garamond" w:cs="Garamond" w:eastAsia="Garamond" w:hAnsi="Garamond"/>
          <w:b w:val="false"/>
          <w:bCs w:val="false"/>
          <w:color w:val="000000"/>
          <w:sz w:val="24"/>
          <w:szCs w:val="24"/>
        </w:rPr>
        <w:t xml:space="preserve">In mid-2019 the ministry reported that more than a hundred returners had used it, against a pool of qualified teachers outside education that it put in the tens of thousands. A Dutch teaching qualification does not expire, so there is no re-licensing step on the way back.</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How did the scheme come about, and why pay the school rather than the teacher?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that debated? What was the alternative?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Who pushed for it?</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What did a board have to do to claim it, and what was the money spent on?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2,500 euros change a hiring decision, or did boards hire first and claim afterwards?</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Our reading is that much less of the money was used than was available. Is that right, and why?</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the scheme known to schools?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the six-month contract or the twelve-month absence rule get in the way?</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The scheme was extended in 2019 and then allowed to lapse in 2022 with nothing of the same kind in its place. How were those decisions taken?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it evaluated?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the work move to the regional partnerships, and does anyone there still target returners?</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Who are the herintreders?</w:t>
      </w:r>
      <w:r>
        <w:rPr>
          <w:rFonts w:ascii="Garamond" w:cs="Garamond" w:eastAsia="Garamond" w:hAnsi="Garamond"/>
          <w:b w:val="false"/>
          <w:bCs w:val="false"/>
          <w:color w:val="000000"/>
          <w:sz w:val="24"/>
          <w:szCs w:val="24"/>
        </w:rPr>
        <w:t xml:space="preserve"> The definition also covers people who qualified and never started.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Why did they leave primary teaching, and what made returning possible?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Does a qualification that never expires make return easier, or does it move the difficulty elsewhere?</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Primary teachers leave over workload, class size and leadership. Does a grant to the school reach any of that?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The number of returners in primary education has halved in a decade while the shortage persisted. How do you read that?</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The debate about the silent reserve now turns on whether the pool is really available, given how many already work elsewhere. Where has the ministry landed, and what follows for policy?</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the teachers who came back through the scheme stay?</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Is there someone at the ministry or at the agency we should speak to?</w:t>
      </w:r>
    </w:p>
    <w:p>
      <w:r>
        <w:br w:type="page"/>
      </w:r>
    </w:p>
    <w:p>
      <w:pPr>
        <w:pStyle w:val="Heading1"/>
        <w:spacing w:after="0" w:before="0"/>
      </w:pPr>
      <w:bookmarkStart w:name="sec5" w:id="1"/>
      <w:r>
        <w:rPr>
          <w:rFonts w:ascii="Garamond" w:cs="Garamond" w:eastAsia="Garamond" w:hAnsi="Garamond"/>
          <w:b/>
          <w:bCs/>
          <w:color w:val="000000"/>
          <w:sz w:val="32"/>
          <w:szCs w:val="32"/>
        </w:rPr>
        <w:t xml:space="preserve">United States</w:t>
      </w:r>
      <w:bookmarkEnd w:id="1"/>
    </w:p>
    <w:p>
      <w:pPr>
        <w:spacing w:after="240"/>
      </w:pPr>
      <w:r>
        <w:rPr>
          <w:rFonts w:ascii="Garamond" w:cs="Garamond" w:eastAsia="Garamond" w:hAnsi="Garamond"/>
          <w:i/>
          <w:iCs/>
          <w:color w:val="555555"/>
          <w:sz w:val="22"/>
          <w:szCs w:val="22"/>
        </w:rPr>
        <w:t xml:space="preserve">State laws on retired teachers returning to work</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in each state, the teachers' retirement system, which administers the return and holds the records, and the department of education or certification board, which controls the licence.</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Almost every state lets a retired teacher return under conditions built from the same four levers: a waiting period, an earnings ceiling, a shortage designation the district must establish, and a limit on the duration of the return. The states in our set have moved these levers differently. Michigan cut the wait to six months and removed the earnings ceiling after it, under a law expiring in October 2028. Georgia opened full-time return only to teachers with thirty years of service, in subjects a region had designated as highest-need; its 2025 audit found a few hundred returns a year and the one-year wait, not the pay rules, as the main deterrent, and the legislature has since widened eligibility and extended the measure to 2034. New Mexico lets a retiree draw pension and full salary with no cap on earnings or hours for a limited number of months, each return approved by the retirement board. Louisiana removed the cut-off that had confined its critical-shortage route to teachers retired before mid-2020. North Carolina ran the most generous version between 1999 and 2009, and published research finds those returners went disproportionately to high-need schools; the policy was allowed to lapse. Virginia acted on the licence rather than the pension. Several of these laws were amended in 2025 and 2026; check the current text before the conversation.</w:t>
      </w:r>
    </w:p>
    <w:p>
      <w:pPr>
        <w:pStyle w:val="Heading2"/>
        <w:spacing w:after="80" w:before="240"/>
      </w:pPr>
      <w:r>
        <w:rPr>
          <w:rFonts w:ascii="Garamond" w:cs="Garamond" w:eastAsia="Garamond" w:hAnsi="Garamond"/>
          <w:b/>
          <w:bCs/>
          <w:color w:val="000000"/>
          <w:sz w:val="26"/>
          <w:szCs w:val="26"/>
        </w:rPr>
        <w:t xml:space="preserve">For any state</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How did this come about, and what problem was it meant to solve?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Who had to be persuaded: legislature, retirement system, districts, unions?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another state the model?</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Of the four levers — waiting period, earnings ceiling, shortage designation, duration — which were argued over, and why did they land where they did?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Is the waiting period a pension question, a federal-tax question or a political one?</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What does a retiree have to do to come back, and who decides?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Where does the paperwork slow people down?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The licence sits with a different body from the pension. For a lapsed certificate, how much of an obstacle is that, and does anyone own it?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Is the district's shortage test a filter or a formality?</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Who comes back, to what posts, in which schools?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 they end up where the shortage is worst?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 retirees say when they decline?</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Is a returning retiree an answer to why teachers leave your schools, or an answer to something else?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 returning retirees take posts that would otherwise go to new teachers, and has anyone looked?</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How many have returned, and how are they counted?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has it cost the retirement system, and how is that judged?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Has the measure been evaluated or audited?</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Several of these laws expire. What will decide whether yours is kept, and what would you want to know first?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would you tell another state to do differently?</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Is there someone at the retirement system or on the certification side we should speak to?</w:t>
      </w:r>
    </w:p>
    <w:p>
      <w:pPr>
        <w:pStyle w:val="Heading2"/>
        <w:spacing w:after="80" w:before="240"/>
      </w:pPr>
      <w:r>
        <w:rPr>
          <w:rFonts w:ascii="Garamond" w:cs="Garamond" w:eastAsia="Garamond" w:hAnsi="Garamond"/>
          <w:b/>
          <w:bCs/>
          <w:color w:val="000000"/>
          <w:sz w:val="26"/>
          <w:szCs w:val="26"/>
        </w:rPr>
        <w:t xml:space="preserve">One follow-up per state</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Michigan.</w:t>
      </w:r>
      <w:r>
        <w:rPr>
          <w:rFonts w:ascii="Garamond" w:cs="Garamond" w:eastAsia="Garamond" w:hAnsi="Garamond"/>
          <w:b w:val="false"/>
          <w:bCs w:val="false"/>
          <w:color w:val="000000"/>
          <w:sz w:val="24"/>
          <w:szCs w:val="24"/>
        </w:rPr>
        <w:t xml:space="preserve"> Is the six-month wait still what holds people back, and how does the requirement of a genuine separation work when it also reaches hiring through an agency?</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Georgia.</w:t>
      </w:r>
      <w:r>
        <w:rPr>
          <w:rFonts w:ascii="Garamond" w:cs="Garamond" w:eastAsia="Garamond" w:hAnsi="Garamond"/>
          <w:b w:val="false"/>
          <w:bCs w:val="false"/>
          <w:color w:val="000000"/>
          <w:sz w:val="24"/>
          <w:szCs w:val="24"/>
        </w:rPr>
        <w:t xml:space="preserve"> The audit named the one-year wait as the main deterrent and the new law appears to have kept it while widening eligibility. How was that decided?</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New Mexico.</w:t>
      </w:r>
      <w:r>
        <w:rPr>
          <w:rFonts w:ascii="Garamond" w:cs="Garamond" w:eastAsia="Garamond" w:hAnsi="Garamond"/>
          <w:b w:val="false"/>
          <w:bCs w:val="false"/>
          <w:color w:val="000000"/>
          <w:sz w:val="24"/>
          <w:szCs w:val="24"/>
        </w:rPr>
        <w:t xml:space="preserve"> What does the retirement board's approval consist of, and what happens when the months allowed run out?</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Louisiana.</w:t>
      </w:r>
      <w:r>
        <w:rPr>
          <w:rFonts w:ascii="Garamond" w:cs="Garamond" w:eastAsia="Garamond" w:hAnsi="Garamond"/>
          <w:b w:val="false"/>
          <w:bCs w:val="false"/>
          <w:color w:val="000000"/>
          <w:sz w:val="24"/>
          <w:szCs w:val="24"/>
        </w:rPr>
        <w:t xml:space="preserve"> Removing the retirement-date cut-off looks small on paper and large in effect. What did it change, and how does a district certify a shortage?</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North Carolina.</w:t>
      </w:r>
      <w:r>
        <w:rPr>
          <w:rFonts w:ascii="Garamond" w:cs="Garamond" w:eastAsia="Garamond" w:hAnsi="Garamond"/>
          <w:b w:val="false"/>
          <w:bCs w:val="false"/>
          <w:color w:val="000000"/>
          <w:sz w:val="24"/>
          <w:szCs w:val="24"/>
        </w:rPr>
        <w:t xml:space="preserve"> Why was the 1999–2009 policy allowed to lapse, and what would it take to revisit it?</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Virginia.</w:t>
      </w:r>
      <w:r>
        <w:rPr>
          <w:rFonts w:ascii="Garamond" w:cs="Garamond" w:eastAsia="Garamond" w:hAnsi="Garamond"/>
          <w:b w:val="false"/>
          <w:bCs w:val="false"/>
          <w:color w:val="000000"/>
          <w:sz w:val="24"/>
          <w:szCs w:val="24"/>
        </w:rPr>
        <w:t xml:space="preserve"> Acting on the licence rather than the pension: what did that change for retirees, and where does it stand now?</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Re-attracting Former Teachers — Interview scripts</dc:title>
  <dc:creator>José Manuel Torres, José Elías Durán Roa</dc:creator>
  <cp:lastModifiedBy>Un-named</cp:lastModifiedBy>
  <cp:revision>1</cp:revision>
  <dcterms:created xsi:type="dcterms:W3CDTF">2026-09-21T09:59:50.857Z</dcterms:created>
  <dcterms:modified xsi:type="dcterms:W3CDTF">2026-09-21T09:59:50.857Z</dcterms:modified>
</cp:coreProperties>
</file>

<file path=docProps/custom.xml><?xml version="1.0" encoding="utf-8"?>
<Properties xmlns="http://schemas.openxmlformats.org/officeDocument/2006/custom-properties" xmlns:vt="http://schemas.openxmlformats.org/officeDocument/2006/docPropsVTypes"/>
</file>