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hyperlink w:anchor="ref582" w:history="1">
          <w:r>
            <w:rPr>
              <w:color w:val="0563C1"/>
              <w:color w:val="0563C1"/>
            </w:rPr>
            <w:t xml:space="preserve">UNESCO, 2024</w:t>
          </w:r>
        </w:hyperlink>
      </w:hyperlink>
      <w:r>
        <w:rPr>
          <w:color w:val="0563C1"/>
        </w:rPr>
        <w:t xml:space="preserve">; </w:t>
      </w:r>
      <w:hyperlink w:anchor="Ref_CarverThomas2019" w:history="1">
        <w:hyperlink w:anchor="ref510" w:history="1">
          <w:r>
            <w:rPr>
              <w:color w:val="0563C1"/>
              <w:color w:val="0563C1"/>
            </w:rPr>
            <w:t xml:space="preserve">Carver-Thomas and Darling-Hammond, 2019</w:t>
          </w:r>
        </w:hyperlink>
      </w:hyperlink>
      <w:r>
        <w:rPr>
          <w:color w:val="0563C1"/>
        </w:rPr>
        <w:t xml:space="preserve">; </w:t>
      </w:r>
      <w:hyperlink w:anchor="Ref_Nguyen2024" w:history="1">
        <w:hyperlink w:anchor="ref548" w:history="1">
          <w:r>
            <w:rPr>
              <w:color w:val="0563C1"/>
              <w:color w:val="0563C1"/>
            </w:rPr>
            <w:t xml:space="preserve">Nguyen, Lam and Bruno, 2024</w:t>
          </w:r>
        </w:hyperlink>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hyperlink w:anchor="ref554" w:history="1">
          <w:r>
            <w:rPr>
              <w:color w:val="0563C1"/>
              <w:color w:val="0563C1"/>
            </w:rPr>
            <w:t xml:space="preserve">OECD, 2025a</w:t>
          </w:r>
        </w:hyperlink>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hyperlink w:anchor="ref559" w:history="1">
          <w:r>
            <w:rPr>
              <w:color w:val="0563C1"/>
              <w:color w:val="0563C1"/>
            </w:rPr>
            <w:t xml:space="preserve">Papay et al., 2020</w:t>
          </w:r>
        </w:hyperlink>
      </w:hyperlink>
      <w:r>
        <w:rPr>
          <w:color w:val="0563C1"/>
        </w:rPr>
        <w:t xml:space="preserve">; </w:t>
      </w:r>
      <w:hyperlink w:anchor="Ref_DeCesare2017" w:history="1">
        <w:hyperlink w:anchor="ref517" w:history="1">
          <w:r>
            <w:rPr>
              <w:color w:val="0563C1"/>
              <w:color w:val="0563C1"/>
            </w:rPr>
            <w:t xml:space="preserve">DeCesare et al., 2017</w:t>
          </w:r>
        </w:hyperlink>
      </w:hyperlink>
      <w:r>
        <w:rPr>
          <w:color w:val="0563C1"/>
        </w:rPr>
        <w:t xml:space="preserve">; </w:t>
      </w:r>
      <w:hyperlink w:anchor="Ref_Nickow2024" w:history="1">
        <w:hyperlink w:anchor="ref552" w:history="1">
          <w:r>
            <w:rPr>
              <w:color w:val="0563C1"/>
              <w:color w:val="0563C1"/>
            </w:rPr>
            <w:t xml:space="preserve">Nickow, Oreopoulos and Quan, 2024</w:t>
          </w:r>
        </w:hyperlink>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w:t>
      </w:r>
      <w:hyperlink w:anchor="ref554" w:history="1">
        <w:r>
          <w:rPr>
            <w:color w:val="0563C1"/>
            <w:color w:val="0563C1"/>
          </w:rPr>
          <w:t xml:space="preserve">OECD, 2025a</w:t>
        </w:r>
      </w:hyperlink>
      <w:r>
        <w:rPr>
          <w:color w:val="0563C1"/>
        </w:rPr>
        <w:t xml:space="preserve">; </w:t>
      </w:r>
      <w:hyperlink w:anchor="ref582" w:history="1">
        <w:r>
          <w:rPr>
            <w:color w:val="0563C1"/>
            <w:color w:val="0563C1"/>
          </w:rPr>
          <w:t xml:space="preserve">UNESCO, 2024</w:t>
        </w:r>
      </w:hyperlink>
      <w:r>
        <w:rPr>
          <w:color w:val="0563C1"/>
        </w:rPr>
        <w:t xml:space="preserve">; </w:t>
      </w:r>
      <w:hyperlink w:anchor="ref542" w:history="1">
        <w:r>
          <w:rPr>
            <w:color w:val="0563C1"/>
            <w:color w:val="0563C1"/>
          </w:rPr>
          <w:t xml:space="preserve">Madigan and Kim, 2021</w:t>
        </w:r>
      </w:hyperlink>
      <w:r>
        <w:rPr>
          <w:color w:val="0563C1"/>
        </w:rPr>
        <w:t xml:space="preserve">; </w:t>
      </w:r>
      <w:hyperlink w:anchor="ref555" w:history="1">
        <w:r>
          <w:rPr>
            <w:color w:val="0563C1"/>
            <w:color w:val="0563C1"/>
          </w:rPr>
          <w:t xml:space="preserve">OECD, 2025b</w:t>
        </w:r>
      </w:hyperlink>
      <w:r>
        <w:rPr>
          <w:color w:val="0563C1"/>
        </w:rPr>
        <w:t xml:space="preserve">)</w:t>
      </w:r>
      <w:r>
        <w:t>. This section therefore reviews what is known about why teachers leave, before the paper turns to the policies that have tried to bring them back.</w:t>
      </w:r>
    </w:p>
    <w:p w14:paraId="3974C181" w14:textId="77777777" w:rsidR="00863E26" w:rsidRDefault="00000000">
      <w:pPr>
        <w:spacing w:after="130" w:line="242" w:lineRule="auto"/>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554C23D3" w14:textId="65D2483D" w:rsidR="00F72F5A" w:rsidRDefault="00000000">
      <w:pPr>
        <w:spacing w:after="130" w:line="242" w:lineRule="auto"/>
        <w:jc w:val="both"/>
      </w:pPr>
      <w:r>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69B8B73" w14:textId="77777777" w:rsidR="00B3332B" w:rsidRDefault="00000000">
      <w:pPr>
        <w:spacing w:after="130" w:line="242" w:lineRule="auto"/>
        <w:jc w:val="both"/>
      </w:pPr>
      <w:r>
        <w:t xml:space="preserve">The average teacher leaving rate across OECD countries was 6.5% in 2023, with considerable differences among the countries with available data (</w:t>
      </w:r>
      <w:hyperlink w:anchor="ref554" w:history="1">
        <w:r>
          <w:rPr>
            <w:color w:val="0563C1"/>
          </w:rPr>
          <w:t xml:space="preserve">OECD, 2025a</w:t>
        </w:r>
      </w:hyperlink>
      <w:r>
        <w:t xml:space="preserve">;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5073ABB" w14:textId="77777777" w:rsidR="00F72F5A" w:rsidRDefault="00000000">
      <w:pPr>
        <w:spacing w:after="130" w:line="242" w:lineRule="auto"/>
        <w:jc w:val="both"/>
      </w:pPr>
      <w:r>
        <w:t xml:space="preserve">The evolution of the leaving rate across time tends to be stable in most of the observed countries. The OECD average leaving rate moved from 6.9% in 2015 to 6.5% in 2023 and most systems present in both years moved by less than a percentage point (</w:t>
      </w:r>
      <w:hyperlink w:anchor="ref554" w:history="1">
        <w:r>
          <w:rPr>
            <w:color w:val="0563C1"/>
          </w:rPr>
          <w:t xml:space="preserve">OECD, 2025a</w:t>
        </w:r>
      </w:hyperlink>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hyperlink w:anchor="ref546" w:history="1">
        <w:r>
          <w:rPr>
            <w:color w:val="0563C1"/>
          </w:rPr>
          <w:t xml:space="preserve">NCES, 2024</w:t>
        </w:r>
      </w:hyperlink>
      <w:r>
        <w:t xml:space="preserve">),  and similar patterns hold in England, New Zealand, Sweden, Israel, Iceland, Norway and Flanders (</w:t>
      </w:r>
      <w:hyperlink w:anchor="ref519" w:history="1">
        <w:r>
          <w:rPr>
            <w:color w:val="0563C1"/>
          </w:rPr>
          <w:t xml:space="preserve">Department for Education, 2024a</w:t>
        </w:r>
      </w:hyperlink>
      <w:r>
        <w:t xml:space="preserve">; </w:t>
      </w:r>
      <w:hyperlink w:anchor="ref523" w:history="1">
        <w:r>
          <w:rPr>
            <w:color w:val="0563C1"/>
          </w:rPr>
          <w:t xml:space="preserve">Education Counts, 2025</w:t>
        </w:r>
      </w:hyperlink>
      <w:r>
        <w:t xml:space="preserve">; </w:t>
      </w:r>
      <w:hyperlink w:anchor="ref501" w:history="1">
        <w:r>
          <w:rPr>
            <w:color w:val="0563C1"/>
          </w:rPr>
          <w:t xml:space="preserve">Adermon and Laun, 2018</w:t>
        </w:r>
      </w:hyperlink>
      <w:r>
        <w:t xml:space="preserve">; </w:t>
      </w:r>
      <w:hyperlink w:anchor="ref512" w:history="1">
        <w:r>
          <w:rPr>
            <w:color w:val="0563C1"/>
          </w:rPr>
          <w:t xml:space="preserve">CBS Israel, 2023</w:t>
        </w:r>
      </w:hyperlink>
      <w:r>
        <w:t xml:space="preserve">; </w:t>
      </w:r>
      <w:hyperlink w:anchor="ref505" w:history="1">
        <w:r>
          <w:rPr>
            <w:color w:val="0563C1"/>
          </w:rPr>
          <w:t xml:space="preserve">Björnsdóttir and Hansen, 2024</w:t>
        </w:r>
      </w:hyperlink>
      <w:r>
        <w:t xml:space="preserve">; </w:t>
      </w:r>
      <w:hyperlink w:anchor="ref577" w:history="1">
        <w:r>
          <w:rPr>
            <w:color w:val="0563C1"/>
          </w:rPr>
          <w:t xml:space="preserve">Statistics Norway, 2025</w:t>
        </w:r>
      </w:hyperlink>
      <w:r>
        <w:t xml:space="preserve">; </w:t>
      </w:r>
      <w:hyperlink w:anchor="ref586" w:history="1">
        <w:r>
          <w:rPr>
            <w:color w:val="0563C1"/>
          </w:rPr>
          <w:t xml:space="preserve">Vansteenkiste, 2025</w:t>
        </w:r>
      </w:hyperlink>
      <w:r>
        <w:t xml:space="preserve">).</w:t>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hyperlink w:anchor="ref554" w:history="1">
        <w:r>
          <w:rPr>
            <w:color w:val="0563C1"/>
            <w:sz w:val="17"/>
            <w:szCs w:val="17"/>
            <w:color w:val="0563C1"/>
          </w:rPr>
          <w:t xml:space="preserve">OECD (2025a)</w:t>
        </w:r>
      </w:hyperlink>
      <w:r>
        <w:rPr>
          <w:sz w:val="17"/>
          <w:szCs w:val="17"/>
        </w:rPr>
        <w:t>, Education at a Glance 2025, Table D8.4.</w:t>
      </w:r>
    </w:p>
    <w:p w14:paraId="392497A5" w14:textId="77777777" w:rsidR="00AC7FFD" w:rsidRDefault="00AC7FFD">
      <w:pPr>
        <w:spacing w:after="130" w:line="242" w:lineRule="auto"/>
        <w:jc w:val="both"/>
      </w:pPr>
    </w:p>
    <w:p>
      <w:pPr>
        <w:spacing w:after="130" w:line="242" w:lineRule="auto"/>
        <w:jc w:val="both"/>
      </w:pPr>
      <w:commentRangeStart w:id="12"/>
      <w:commentRangeStart w:id="23"/>
      <w:r>
        <w:rPr>
          <w:highlight w:val="yellow"/>
        </w:rPr>
        <w:t xml:space="preserve">Regardless of how stable the leaving rate is over time, the teachers who make it up constitute a relevant policy margin. They are already trained, they have much to offer the education system, and they can bring back valuable experience gained in and outside the classroom, which also makes them a credible source for covering the local teacher shortages that most OECD systems face today (</w:t>
      </w:r>
      <w:hyperlink w:anchor="ref558" w:history="1">
        <w:r>
          <w:rPr>
            <w:highlight w:val="yellow"/>
            <w:color w:val="0563C1"/>
          </w:rPr>
          <w:t xml:space="preserve">OECD, 2026</w:t>
        </w:r>
      </w:hyperlink>
      <w:r>
        <w:rPr>
          <w:highlight w:val="yellow"/>
        </w:rPr>
        <w:t xml:space="preserve">). The extent to which this margin can be mobilised depends, however, on the reasons that led these teachers to leave, both because those reasons are the levers through which systems can reduce departures and because they condition the design of any policy that seeks to bring former teachers back. The following section reviews what the literature has established on them.</w:t>
      </w:r>
      <w:commentRangeEnd w:id="23"/>
      <w:commentRangeEnd w:id="12"/>
      <w:r>
        <w:rPr>
          <w:rStyle w:val="CommentReference"/>
          <w:sz w:val="23"/>
          <w:szCs w:val="23"/>
        </w:rPr>
        <w:commentReference w:id="12"/>
      </w:r>
      <w:r>
        <w:rPr>
          <w:rStyle w:val="CommentReference"/>
        </w:rPr>
        <w:commentReference w:id="23"/>
      </w:r>
    </w:p>
    <w:p w14:paraId="085ED38B" w14:textId="77777777" w:rsidR="00F40E91" w:rsidRDefault="00A42790">
      <w:pPr>
        <w:pStyle w:val="Heading2"/>
        <w:spacing w:before="200" w:after="120"/>
      </w:pPr>
      <w:bookmarkStart w:id="13" w:name="_Toc239235955"/>
      <w:r>
        <w:rPr>
          <w:b/>
          <w:bCs/>
          <w:color w:val="04629A"/>
          <w:sz w:val="25"/>
          <w:szCs w:val="25"/>
        </w:rPr>
        <w:t>2.2 Determinants of teachers leaving</w:t>
      </w:r>
      <w:bookmarkEnd w:id="13"/>
    </w:p>
    <w:p w14:paraId="789C9BC2" w14:textId="05AE83D5"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w:t>
      </w:r>
      <w:hyperlink w:anchor="ref547" w:history="1">
        <w:r>
          <w:rPr>
            <w:color w:val="0563C1"/>
          </w:rPr>
          <w:t xml:space="preserve">Nguyen et al., 2020</w:t>
        </w:r>
      </w:hyperlink>
      <w:r>
        <w:t xml:space="preserve">; </w:t>
      </w:r>
      <w:hyperlink w:anchor="ref533" w:history="1">
        <w:r>
          <w:rPr>
            <w:color w:val="0563C1"/>
          </w:rPr>
          <w:t xml:space="preserve">Gundlach, Slemp and Hattie, 2024</w:t>
        </w:r>
      </w:hyperlink>
      <w:r>
        <w:t xml:space="preserve">), this paper classifies the reasons into six reasons stated in Table 1. They are 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color w:val="000000" w:themeColor="text1"/>
        </w:rPr>
      </w:pPr>
    </w:p>
    <w:p w14:paraId="3BEEBC89" w14:textId="77777777" w:rsidR="00B3332B" w:rsidRDefault="00000000">
      <w:pPr>
        <w:pStyle w:val="Heading3"/>
        <w:keepNext/>
        <w:spacing w:before="160" w:after="100"/>
      </w:pPr>
      <w:r>
        <w:rPr>
          <w:b/>
          <w:bCs/>
          <w:color w:val="04629A"/>
          <w:sz w:val="23"/>
          <w:szCs w:val="23"/>
        </w:rPr>
        <w:t>Working conditions</w:t>
      </w:r>
    </w:p>
    <w:p w14:paraId="50C39CAD" w14:textId="76FCE1D6" w:rsidR="00B3332B" w:rsidRDefault="00CB0771">
      <w:pPr>
        <w:spacing w:after="130" w:line="242" w:lineRule="auto"/>
        <w:jc w:val="both"/>
      </w:pPr>
      <w:r>
        <w:t xml:space="preserve">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w:t>
      </w:r>
      <w:hyperlink w:anchor="ref555" w:history="1">
        <w:r>
          <w:rPr>
            <w:color w:val="0563C1"/>
          </w:rPr>
          <w:t xml:space="preserve">OECD, 2025b</w:t>
        </w:r>
      </w:hyperlink>
      <w:r>
        <w:t xml:space="preserve">).</w:t>
      </w:r>
    </w:p>
    <w:p w14:paraId="331950EF" w14:textId="503EC301" w:rsidR="007E420F" w:rsidRDefault="00612BDD">
      <w:pPr>
        <w:spacing w:after="130" w:line="242" w:lineRule="auto"/>
        <w:jc w:val="both"/>
      </w:pPr>
      <w:r>
        <w:t xml:space="preserve">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w:t>
      </w:r>
      <w:hyperlink w:anchor="ref585" w:history="1">
        <w:r>
          <w:rPr>
            <w:color w:val="0563C1"/>
          </w:rPr>
          <w:t xml:space="preserve">Van Casteren et al., 2023</w:t>
        </w:r>
      </w:hyperlink>
      <w:r>
        <w:t xml:space="preserve">). In Sweden, workload and parental expectations also came first, followed by administrative tasks and the lack of control over one's own work (</w:t>
      </w:r>
      <w:hyperlink w:anchor="ref578" w:history="1">
        <w:r>
          <w:rPr>
            <w:color w:val="0563C1"/>
          </w:rPr>
          <w:t xml:space="preserve">Statistics Sweden, 2023</w:t>
        </w:r>
      </w:hyperlink>
      <w:r>
        <w:t xml:space="preserve">), while in Australia the intensification of workload ranked second, behind dissatisfaction with school leadership, which is examined later in this section (</w:t>
      </w:r>
      <w:hyperlink w:anchor="ref507" w:history="1">
        <w:r>
          <w:rPr>
            <w:color w:val="0563C1"/>
          </w:rPr>
          <w:t xml:space="preserve">Brandenburg et al., 2024</w:t>
        </w:r>
      </w:hyperlink>
      <w:r>
        <w:t xml:space="preserve">).</w:t>
      </w:r>
    </w:p>
    <w:p w14:paraId="4347EF6C" w14:textId="5AFDE85B" w:rsidR="00BA211F" w:rsidRDefault="00725113">
      <w:pPr>
        <w:spacing w:after="130" w:line="242" w:lineRule="auto"/>
        <w:jc w:val="both"/>
      </w:pPr>
      <w:r>
        <w:t xml:space="preserve">However, teachers do not work longer hours than comparable professionals, when TALIS 2024 responses are compared with those of similarly qualified workers in the Survey of Adult Skills (PIAAC), teachers report fewer weekly hours in 13 of 26 covered countries and no clear difference in another 11 (</w:t>
      </w:r>
      <w:hyperlink w:anchor="ref555" w:history="1">
        <w:r>
          <w:rPr>
            <w:color w:val="0563C1"/>
          </w:rPr>
          <w:t xml:space="preserve">OECD, 2025b</w:t>
        </w:r>
      </w:hyperlink>
      <w:r>
        <w:t xml:space="preserve">).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hyperlink w:anchor="ref572" w:history="1">
          <w:r>
            <w:rPr>
              <w:color w:val="0563C1"/>
              <w:color w:val="0563C1"/>
            </w:rPr>
            <w:t xml:space="preserve">Sims and Jerrim, 2020</w:t>
          </w:r>
        </w:hyperlink>
      </w:hyperlink>
      <w:r>
        <w:rPr>
          <w:color w:val="0563C1"/>
        </w:rPr>
        <w:t>).</w:t>
      </w:r>
    </w:p>
    <w:p w14:paraId="192C6AB4" w14:textId="40F7EF64" w:rsidR="00452B3B" w:rsidRDefault="00000000">
      <w:pPr>
        <w:spacing w:after="130" w:line="242" w:lineRule="auto"/>
        <w:jc w:val="both"/>
      </w:pPr>
      <w:r>
        <w:t xml:space="preserve">For policies that seek to re-attract former teachers, these findings carry two implications. The first is that the school and the teaching load offered to a returner are part of the policy, since the discipline climate of the school and the load are what drive departures (</w:t>
      </w:r>
      <w:hyperlink w:anchor="ref572" w:history="1">
        <w:r>
          <w:rPr>
            <w:color w:val="0563C1"/>
          </w:rPr>
          <w:t xml:space="preserve">Sims and Jerrim, 2020</w:t>
        </w:r>
      </w:hyperlink>
      <w:r>
        <w:t xml:space="preserve">; </w:t>
      </w:r>
      <w:hyperlink w:anchor="ref585" w:history="1">
        <w:r>
          <w:rPr>
            <w:color w:val="0563C1"/>
          </w:rPr>
          <w:t xml:space="preserve">Van Casteren et al., 2023</w:t>
        </w:r>
      </w:hyperlink>
      <w:r>
        <w:t xml:space="preserve">). Hence re-attraction is an opportunity to make a better match between the returning teacher and the school they arrive to. The second follows from the fact that shortages tend to concentrate in disadvantaged and rural schools, where the classroom climate is worst (</w:t>
      </w:r>
      <w:hyperlink w:anchor="ref570" w:history="1">
        <w:r>
          <w:rPr>
            <w:color w:val="0563C1"/>
          </w:rPr>
          <w:t xml:space="preserve">Simon and Johnson, 2015</w:t>
        </w:r>
      </w:hyperlink>
      <w:r>
        <w:t xml:space="preserve">; </w:t>
      </w:r>
      <w:hyperlink w:anchor="ref582" w:history="1">
        <w:r>
          <w:rPr>
            <w:color w:val="0563C1"/>
          </w:rPr>
          <w:t xml:space="preserve">UNESCO, 2024</w:t>
        </w:r>
      </w:hyperlink>
      <w:r>
        <w:t xml:space="preserve">): a former teacher sent back to one of these schools on the strength of an incentive alone would meet precisely the conditions that drive departures. </w:t>
      </w:r>
    </w:p>
    <w:p>
      <w:pPr>
        <w:spacing w:after="130" w:line="242" w:lineRule="auto"/>
        <w:jc w:val="both"/>
      </w:pPr>
      <w:commentRangeStart w:id="18"/>
      <w:commentRangeStart w:id="24"/>
      <w:commentRangeStart w:id="19"/>
      <w:commentRangeStart w:id="20"/>
      <w:commentRangeStart w:id="21"/>
      <w:commentRangeStart w:id="22"/>
      <w:r>
        <w:rPr>
          <w:highlight w:val="yellow"/>
        </w:rP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w:t>
      </w:r>
      <w:hyperlink w:anchor="ref506" w:history="1">
        <w:r>
          <w:rPr>
            <w:highlight w:val="yellow"/>
            <w:color w:val="0563C1"/>
          </w:rPr>
          <w:t xml:space="preserve">Boyd et al., 2011</w:t>
        </w:r>
      </w:hyperlink>
      <w:r>
        <w:rPr>
          <w:highlight w:val="yellow"/>
        </w:rPr>
        <w:t xml:space="preserve">; </w:t>
      </w:r>
      <w:hyperlink w:anchor="ref540" w:history="1">
        <w:r>
          <w:rPr>
            <w:highlight w:val="yellow"/>
            <w:color w:val="0563C1"/>
          </w:rPr>
          <w:t xml:space="preserve">Ladd, 2011</w:t>
        </w:r>
      </w:hyperlink>
      <w:r>
        <w:rPr>
          <w:highlight w:val="yellow"/>
        </w:rPr>
        <w:t xml:space="preserve">; </w:t>
      </w:r>
      <w:hyperlink w:anchor="ref570" w:history="1">
        <w:r>
          <w:rPr>
            <w:highlight w:val="yellow"/>
            <w:color w:val="0563C1"/>
          </w:rPr>
          <w:t xml:space="preserve">Simon and Johnson, 2015</w:t>
        </w:r>
      </w:hyperlink>
      <w:r>
        <w:rPr>
          <w:highlight w:val="yellow"/>
        </w:rPr>
        <w:t xml:space="preserve">). Nonetheless, establishing its causal effect is difficult, since teachers and principals self-select into schools and the association partly reflects that sorting rather than the effect of leadership itself.</w:t>
      </w:r>
    </w:p>
    <w:commentRangeEnd w:id="24"/>
    <w:commentRangeEnd w:id="18"/>
    <w:p w14:paraId="6A87BDEC" w14:textId="445F0845" w:rsidR="00452B3B" w:rsidRDefault="00000000">
      <w:pPr>
        <w:spacing w:after="130" w:line="242" w:lineRule="auto"/>
        <w:jc w:val="both"/>
      </w:pPr>
      <w:r>
        <w:rPr>
          <w:rStyle w:val="CommentReference"/>
          <w:sz w:val="23"/>
          <w:szCs w:val="23"/>
        </w:rPr>
        <w:commentReference w:id="18"/>
      </w:r>
      <w:r>
        <w:rPr>
          <w:rStyle w:val="CommentReference"/>
        </w:rPr>
        <w:commentReference w:id="24"/>
      </w:r>
      <w:commentRangeEnd w:id="19"/>
      <w:r>
        <w:rPr>
          <w:rStyle w:val="CommentReference"/>
          <w:sz w:val="23"/>
          <w:szCs w:val="23"/>
        </w:rPr>
        <w:commentReference w:id="19"/>
      </w:r>
      <w:commentRangeEnd w:id="20"/>
      <w:r>
        <w:rPr>
          <w:rStyle w:val="CommentReference"/>
          <w:sz w:val="23"/>
          <w:szCs w:val="23"/>
        </w:rPr>
        <w:commentReference w:id="20"/>
      </w:r>
      <w:commentRangeEnd w:id="21"/>
      <w:r>
        <w:rPr>
          <w:rStyle w:val="CommentReference"/>
          <w:sz w:val="23"/>
          <w:szCs w:val="23"/>
        </w:rPr>
        <w:commentReference w:id="21"/>
      </w:r>
      <w:commentRangeEnd w:id="22"/>
      <w:r>
        <w:rPr>
          <w:rStyle w:val="CommentReference"/>
          <w:sz w:val="23"/>
          <w:szCs w:val="23"/>
        </w:rPr>
        <w:commentReference w:id="22"/>
      </w:r>
      <w:r>
        <w:t xml:space="preserve">The studies that overcome this problem, by following the same schools over time or by linking teachers' answers to administrative records of actual departures, confirm that leadership is central. Where teachers perceive their school to be well led, turnover is substantially lower, even after accounting for the other working conditions and for the characteristics of the students, and when the leadership of a school improves, its turnover falls (</w:t>
      </w:r>
      <w:hyperlink w:anchor="ref506" w:history="1">
        <w:r>
          <w:rPr>
            <w:color w:val="0563C1"/>
          </w:rPr>
          <w:t xml:space="preserve">Boyd et al., 2011</w:t>
        </w:r>
      </w:hyperlink>
      <w:r>
        <w:t xml:space="preserve">; </w:t>
      </w:r>
      <w:hyperlink w:anchor="ref540" w:history="1">
        <w:r>
          <w:rPr>
            <w:color w:val="0563C1"/>
          </w:rPr>
          <w:t xml:space="preserve">Ladd, 2011</w:t>
        </w:r>
      </w:hyperlink>
      <w:r>
        <w:t xml:space="preserve">; </w:t>
      </w:r>
      <w:hyperlink w:anchor="ref539" w:history="1">
        <w:r>
          <w:rPr>
            <w:color w:val="0563C1"/>
          </w:rPr>
          <w:t xml:space="preserve">Kraft, Marinell and Shen-Wei Yee, 2016</w:t>
        </w:r>
      </w:hyperlink>
      <w:r>
        <w:t xml:space="preserve">). The effect is largest precisely in disadvantaged schools, where an effective principal makes the greatest difference to whether teachers stay (</w:t>
      </w:r>
      <w:hyperlink w:anchor="ref530" w:history="1">
        <w:r>
          <w:rPr>
            <w:color w:val="0563C1"/>
          </w:rPr>
          <w:t xml:space="preserve">Grissom, 2011</w:t>
        </w:r>
      </w:hyperlink>
      <w:r>
        <w:t xml:space="preserve">).</w:t>
      </w:r>
    </w:p>
    <w:p w14:paraId="6AFAC850" w14:textId="5F2D0206" w:rsidR="007E420F" w:rsidRDefault="00D503E3">
      <w:pPr>
        <w:spacing w:after="130" w:line="242" w:lineRule="auto"/>
        <w:jc w:val="both"/>
      </w:pPr>
      <w:r>
        <w:t xml:space="preserve">Additionally, mentorship is another relevant organizational aspect, as it accelerates the pedagogical development of novice educators and mitigates the professional isolation common in early-career years. Across the OECD, however, only 26% of novice teachers had an assigned mentor in 2024, although four in five worked in schools that offer a mentoring programme (</w:t>
      </w:r>
      <w:hyperlink w:anchor="ref555" w:history="1">
        <w:r>
          <w:rPr>
            <w:color w:val="0563C1"/>
          </w:rPr>
          <w:t xml:space="preserve">OECD, 2025b</w:t>
        </w:r>
      </w:hyperlink>
      <w:r>
        <w:t xml:space="preserve">). Novice teachers who receive induction support are less likely to leave the profession (</w:t>
      </w:r>
      <w:hyperlink w:anchor="ref547" w:history="1">
        <w:r>
          <w:rPr>
            <w:color w:val="0563C1"/>
          </w:rPr>
          <w:t xml:space="preserve">Nguyen et al., 2020</w:t>
        </w:r>
      </w:hyperlink>
      <w:r>
        <w:t xml:space="preserve">),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t>
      </w:r>
      <w:hyperlink w:anchor="ref587" w:history="1">
        <w:r>
          <w:rPr>
            <w:color w:val="0563C1"/>
          </w:rPr>
          <w:t xml:space="preserve">Walker et al., 2024</w:t>
        </w:r>
      </w:hyperlink>
      <w:r>
        <w:t xml:space="preserve">). More broadly, collegial support and collaborative environments are consistently associated with lower intentions to leave (</w:t>
      </w:r>
      <w:hyperlink w:anchor="ref536" w:history="1">
        <w:r>
          <w:rPr>
            <w:color w:val="0563C1"/>
          </w:rPr>
          <w:t xml:space="preserve">Johnson, Kraft and Papay, 2012</w:t>
        </w:r>
      </w:hyperlink>
      <w:r>
        <w:t xml:space="preserve">; </w:t>
      </w:r>
      <w:hyperlink w:anchor="ref570" w:history="1">
        <w:r>
          <w:rPr>
            <w:color w:val="0563C1"/>
          </w:rPr>
          <w:t xml:space="preserve">Simon and Johnson, 2015</w:t>
        </w:r>
      </w:hyperlink>
      <w:r>
        <w:t xml:space="preserve">).</w:t>
      </w:r>
    </w:p>
    <w:p w14:paraId="6D0D4F52" w14:textId="5BC7EEE2" w:rsidR="007E420F" w:rsidRDefault="00000000">
      <w:pPr>
        <w:spacing w:after="130" w:line="242" w:lineRule="auto"/>
        <w:jc w:val="both"/>
      </w:pPr>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w:t>
      </w:r>
      <w:hyperlink w:anchor="ref559" w:history="1">
        <w:r>
          <w:rPr>
            <w:color w:val="0563C1"/>
          </w:rPr>
          <w:t xml:space="preserve">Papay et al., 2020</w:t>
        </w:r>
      </w:hyperlink>
      <w:r>
        <w:t xml:space="preserve">; </w:t>
      </w:r>
      <w:hyperlink w:anchor="ref517" w:history="1">
        <w:r>
          <w:rPr>
            <w:color w:val="0563C1"/>
          </w:rPr>
          <w:t xml:space="preserve">DeCesare et al., 2017</w:t>
        </w:r>
      </w:hyperlink>
      <w:r>
        <w:t xml:space="preserve">).</w:t>
      </w:r>
    </w:p>
    <w:p w14:paraId="3D29A35B" w14:textId="77777777" w:rsidR="00B3332B" w:rsidRDefault="00000000">
      <w:pPr>
        <w:pStyle w:val="Heading3"/>
        <w:keepNext/>
        <w:spacing w:before="160" w:after="100"/>
      </w:pPr>
      <w:r>
        <w:rPr>
          <w:b/>
          <w:bCs/>
          <w:color w:val="04629A"/>
          <w:sz w:val="23"/>
          <w:szCs w:val="23"/>
        </w:rP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w:t>
      </w:r>
      <w:hyperlink w:anchor="ref556" w:history="1">
        <w:r>
          <w:rPr>
            <w:color w:val="0563C1"/>
          </w:rPr>
          <w:t xml:space="preserve">OECD, 2025d</w:t>
        </w:r>
      </w:hyperlink>
      <w:r>
        <w:t xml:space="preserve">).</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hyperlink w:anchor="ref556" w:history="1">
        <w:r>
          <w:rPr>
            <w:color w:val="0563C1"/>
            <w:sz w:val="17"/>
            <w:szCs w:val="17"/>
            <w:color w:val="0563C1"/>
          </w:rPr>
          <w:t xml:space="preserve">OECD (2025d)</w:t>
        </w:r>
      </w:hyperlink>
      <w:r>
        <w:rPr>
          <w:sz w:val="17"/>
          <w:szCs w:val="17"/>
        </w:rPr>
        <w:t>, Education at a Glance 2025, Table D3.2.</w:t>
      </w:r>
    </w:p>
    <w:p w14:paraId="786B5E35" w14:textId="35E46113" w:rsidR="007E420F" w:rsidRDefault="00000000">
      <w:pPr>
        <w:spacing w:after="130" w:line="242" w:lineRule="auto"/>
        <w:jc w:val="both"/>
      </w:pPr>
      <w:r>
        <w:t xml:space="preserve">The causal evidence on the effect of teacher payments confirms that financial incentives are effective to retain teachers, and payments cut departures by 9% to 23% in Norway, England and North Carolina (</w:t>
      </w:r>
      <w:hyperlink w:anchor="ref525" w:history="1">
        <w:r>
          <w:rPr>
            <w:color w:val="0563C1"/>
          </w:rPr>
          <w:t xml:space="preserve">Falch, 2011</w:t>
        </w:r>
      </w:hyperlink>
      <w:r>
        <w:t xml:space="preserve">; </w:t>
      </w:r>
      <w:hyperlink w:anchor="ref571" w:history="1">
        <w:r>
          <w:rPr>
            <w:color w:val="0563C1"/>
          </w:rPr>
          <w:t xml:space="preserve">Sims and Benhenda, 2022</w:t>
        </w:r>
      </w:hyperlink>
      <w:r>
        <w:t xml:space="preserve">; </w:t>
      </w:r>
      <w:hyperlink w:anchor="ref514" w:history="1">
        <w:r>
          <w:rPr>
            <w:color w:val="0563C1"/>
          </w:rPr>
          <w:t xml:space="preserve">Clotfelter et al., 2008</w:t>
        </w:r>
      </w:hyperlink>
      <w:r>
        <w:t xml:space="preserve">). This evidence rests on a small number of studies exploiting policy discontinuities, and lead to three main conclusions. Financial incentives are effective when the payment is large and teachers are aware of their eligibility (</w:t>
      </w:r>
      <w:hyperlink w:anchor="ref525" w:history="1">
        <w:r>
          <w:rPr>
            <w:color w:val="0563C1"/>
          </w:rPr>
          <w:t xml:space="preserve">Falch, 2011</w:t>
        </w:r>
      </w:hyperlink>
      <w:r>
        <w:t xml:space="preserve">; </w:t>
      </w:r>
      <w:hyperlink w:anchor="ref514" w:history="1">
        <w:r>
          <w:rPr>
            <w:color w:val="0563C1"/>
          </w:rPr>
          <w:t xml:space="preserve">Clotfelter et al., 2008</w:t>
        </w:r>
      </w:hyperlink>
      <w:r>
        <w:t xml:space="preserve">); their effect is confined to the teachers they target and is negligible for the rest (</w:t>
      </w:r>
      <w:hyperlink w:anchor="ref576" w:history="1">
        <w:r>
          <w:rPr>
            <w:color w:val="0563C1"/>
          </w:rPr>
          <w:t xml:space="preserve">Springer, Swain and Rodriguez, 2016</w:t>
        </w:r>
      </w:hyperlink>
      <w:r>
        <w:t xml:space="preserve">); and one-off bonuses produce larger short-run effects than permanent increases, which indicates that the retention gain does not persist beyond the payment period (</w:t>
      </w:r>
      <w:hyperlink w:anchor="ref526" w:history="1">
        <w:r>
          <w:rPr>
            <w:color w:val="0563C1"/>
          </w:rPr>
          <w:t xml:space="preserve">Feng and Sass, 2018</w:t>
        </w:r>
      </w:hyperlink>
      <w:r>
        <w:t xml:space="preserve">; </w:t>
      </w:r>
      <w:hyperlink w:anchor="ref569" w:history="1">
        <w:r>
          <w:rPr>
            <w:color w:val="0563C1"/>
          </w:rPr>
          <w:t xml:space="preserve">See et al., 2020</w:t>
        </w:r>
      </w:hyperlink>
      <w:r>
        <w:t xml:space="preserve">).</w:t>
      </w:r>
    </w:p>
    <w:p w14:paraId="2CE902A5" w14:textId="70B9C183" w:rsidR="007E420F" w:rsidRDefault="00000000">
      <w:pPr>
        <w:spacing w:after="130" w:line="242" w:lineRule="auto"/>
        <w:jc w:val="both"/>
      </w:pPr>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 (</w:t>
      </w:r>
      <w:hyperlink w:anchor="ref504" w:history="1">
        <w:r>
          <w:rPr>
            <w:color w:val="0563C1"/>
          </w:rPr>
          <w:t xml:space="preserve">Baraton, Beffy and Fougère, 2011</w:t>
        </w:r>
      </w:hyperlink>
      <w:r>
        <w:t xml:space="preserve">; </w:t>
      </w:r>
      <w:hyperlink w:anchor="ref550" w:history="1">
        <w:r>
          <w:rPr>
            <w:color w:val="0563C1"/>
          </w:rPr>
          <w:t xml:space="preserve">Ni and Podgursky, 2016</w:t>
        </w:r>
      </w:hyperlink>
      <w:r>
        <w:t xml:space="preserve">).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51703EE2" w14:textId="77777777" w:rsidR="00F72F5A" w:rsidRDefault="00000000">
      <w:pPr>
        <w:spacing w:after="130" w:line="242" w:lineRule="auto"/>
        <w:jc w:val="both"/>
      </w:pPr>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w:t>
      </w:r>
      <w:hyperlink w:anchor="ref515" w:history="1">
        <w:r>
          <w:rPr>
            <w:color w:val="0563C1"/>
          </w:rPr>
          <w:t xml:space="preserve">Costrell and Podgursky, 2009</w:t>
        </w:r>
      </w:hyperlink>
      <w:r>
        <w:t xml:space="preserve">).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w:t>
      </w:r>
      <w:hyperlink w:anchor="ref557" w:history="1">
        <w:r>
          <w:rPr>
            <w:color w:val="0563C1"/>
          </w:rPr>
          <w:t xml:space="preserve">OECD, 2025e</w:t>
        </w:r>
      </w:hyperlink>
      <w:r>
        <w:t xml:space="preserve">). The available estimates of how much teachers value that deferred income present mixed results, with estimates running from about 20 cents per dollar of present value to near parity (</w:t>
      </w:r>
      <w:hyperlink w:anchor="ref527" w:history="1">
        <w:r>
          <w:rPr>
            <w:color w:val="0563C1"/>
          </w:rPr>
          <w:t xml:space="preserve">Fitzpatrick, 2015</w:t>
        </w:r>
      </w:hyperlink>
      <w:r>
        <w:t xml:space="preserve">; </w:t>
      </w:r>
      <w:hyperlink w:anchor="ref551" w:history="1">
        <w:r>
          <w:rPr>
            <w:color w:val="0563C1"/>
          </w:rPr>
          <w:t xml:space="preserve">Ni, Podgursky and Wang, 2022</w:t>
        </w:r>
      </w:hyperlink>
      <w:r>
        <w:t xml:space="preserve">), which suggests that the retention effect of pension rules depends as much on how well teachers understand them as on their actual generosity.</w:t>
      </w:r>
    </w:p>
    <w:p w14:paraId="535F943A" w14:textId="799D96A1" w:rsidR="007E420F" w:rsidRDefault="00000000">
      <w:pPr>
        <w:spacing w:after="130" w:line="242" w:lineRule="auto"/>
        <w:jc w:val="both"/>
      </w:pPr>
      <w:r>
        <w:t>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spacing w:before="160" w:after="100"/>
      </w:pPr>
      <w:r>
        <w:rPr>
          <w:b/>
          <w:bCs/>
          <w:color w:val="04629A"/>
          <w:sz w:val="23"/>
          <w:szCs w:val="23"/>
        </w:rP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 xml:space="preserve">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w:t>
      </w:r>
      <w:hyperlink w:anchor="ref562" w:history="1">
        <w:r>
          <w:rPr>
            <w:color w:val="0563C1"/>
          </w:rPr>
          <w:t xml:space="preserve">Räsänen et al., 2020</w:t>
        </w:r>
      </w:hyperlink>
      <w:r>
        <w:t xml:space="preserve">). In England teachers who intend to leave give more weight to the feeling that their views are not considered by policymakers than to wages (</w:t>
      </w:r>
      <w:hyperlink w:anchor="ref520" w:history="1">
        <w:r>
          <w:rPr>
            <w:color w:val="0563C1"/>
          </w:rPr>
          <w:t xml:space="preserve">Department for Education, 2024b</w:t>
        </w:r>
      </w:hyperlink>
      <w:r>
        <w:t xml:space="preserve">). Among actual leavers, the pattern remains consistent. In the United States, most switchers rate their new job above teaching in autonomy, influence and professional prestige, although not always in salary (</w:t>
      </w:r>
      <w:hyperlink w:anchor="ref545" w:history="1">
        <w:r>
          <w:rPr>
            <w:color w:val="0563C1"/>
          </w:rPr>
          <w:t xml:space="preserve">NCES, 2014</w:t>
        </w:r>
      </w:hyperlink>
      <w:r>
        <w:t xml:space="preserve">), and in the leaver surveys of the Netherlands and Sweden the lack of professional challenge and the limited control over one's own work rank among the leading motives, behind working conditions only (</w:t>
      </w:r>
      <w:hyperlink w:anchor="ref585" w:history="1">
        <w:r>
          <w:rPr>
            <w:color w:val="0563C1"/>
          </w:rPr>
          <w:t xml:space="preserve">Van Casteren et al., 2023</w:t>
        </w:r>
      </w:hyperlink>
      <w:r>
        <w:t xml:space="preserve">; </w:t>
      </w:r>
      <w:hyperlink w:anchor="ref578" w:history="1">
        <w:r>
          <w:rPr>
            <w:color w:val="0563C1"/>
          </w:rPr>
          <w:t xml:space="preserve">Statistics Sweden, 2023</w:t>
        </w:r>
      </w:hyperlink>
      <w:r>
        <w:t xml:space="preserve">).</w:t>
      </w:r>
    </w:p>
    <w:p w14:paraId="1115047A" w14:textId="70690735" w:rsidR="007E420F" w:rsidRDefault="00000000">
      <w:pPr>
        <w:spacing w:after="130" w:line="242" w:lineRule="auto"/>
        <w:jc w:val="both"/>
      </w:pPr>
      <w:r>
        <w:t xml:space="preserve">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w:t>
      </w:r>
      <w:hyperlink w:anchor="ref553" w:history="1">
        <w:r>
          <w:rPr>
            <w:color w:val="0563C1"/>
          </w:rPr>
          <w:t xml:space="preserve">OECD, 2020</w:t>
        </w:r>
      </w:hyperlink>
      <w:r>
        <w:t xml:space="preserve">; </w:t>
      </w:r>
      <w:hyperlink w:anchor="ref555" w:history="1">
        <w:r>
          <w:rPr>
            <w:color w:val="0563C1"/>
          </w:rPr>
          <w:t xml:space="preserve">OECD, 2025b</w:t>
        </w:r>
      </w:hyperlink>
      <w:r>
        <w:t xml:space="preserve">).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spacing w:before="160" w:after="100"/>
      </w:pPr>
      <w:r>
        <w:rPr>
          <w:b/>
          <w:bCs/>
          <w:color w:val="04629A"/>
          <w:sz w:val="23"/>
          <w:szCs w:val="23"/>
        </w:rP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w:t>
      </w:r>
      <w:hyperlink w:anchor="ref547" w:history="1">
        <w:r>
          <w:rPr>
            <w:color w:val="0563C1"/>
          </w:rPr>
          <w:t xml:space="preserve">Nguyen et al., 2020</w:t>
        </w:r>
      </w:hyperlink>
      <w:r>
        <w:t xml:space="preserve">).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0880CAA2" w14:textId="77777777" w:rsidR="00F72F5A" w:rsidRDefault="00000000">
      <w:pPr>
        <w:spacing w:after="130" w:line="200" w:lineRule="auto"/>
        <w:jc w:val="both"/>
      </w:pPr>
      <w:r>
        <w:rPr>
          <w:sz w:val="17"/>
          <w:szCs w:val="17"/>
        </w:rPr>
        <w:t xml:space="preserve">Note: </w:t>
      </w:r>
      <w:r>
        <w:rPr>
          <w:sz w:val="15"/>
          <w:szCs w:val="15"/>
        </w:rPr>
        <w:t>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p>
    <w:p w14:paraId="0F1B50B4" w14:textId="7EEF19C5" w:rsidR="001C2F77" w:rsidRDefault="001C2F77" w:rsidP="001C2F77">
      <w:pPr>
        <w:spacing w:after="130" w:line="242" w:lineRule="auto"/>
        <w:jc w:val="both"/>
      </w:pPr>
      <w:r>
        <w:t xml:space="preserve">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w:t>
      </w:r>
      <w:hyperlink w:anchor="ref532" w:history="1">
        <w:r>
          <w:rPr>
            <w:color w:val="0563C1"/>
          </w:rPr>
          <w:t xml:space="preserve">Guarino, Santibañez and Daley, 2006</w:t>
        </w:r>
      </w:hyperlink>
      <w:r>
        <w:t xml:space="preserve">). The late peak is driven by leavers, whose probability of withdrawing from the labour force rises sharply after the age of 55 in response to the retirement incentives just examined (</w:t>
      </w:r>
      <w:hyperlink w:anchor="ref515" w:history="1">
        <w:r>
          <w:rPr>
            <w:color w:val="0563C1"/>
          </w:rPr>
          <w:t xml:space="preserve">Costrell and Podgursky, 2009</w:t>
        </w:r>
      </w:hyperlink>
      <w:r>
        <w:t xml:space="preserve">).</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w:t>
      </w:r>
      <w:hyperlink w:anchor="ref555" w:history="1">
        <w:r>
          <w:rPr>
            <w:color w:val="0563C1"/>
          </w:rPr>
          <w:t xml:space="preserve">OECD, 2025b</w:t>
        </w:r>
      </w:hyperlink>
      <w:r>
        <w:t xml:space="preserve">).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w:t>
      </w:r>
      <w:hyperlink w:anchor="ref518" w:history="1">
        <w:r>
          <w:rPr>
            <w:color w:val="0563C1"/>
          </w:rPr>
          <w:t xml:space="preserve">Department for Education, 2023</w:t>
        </w:r>
      </w:hyperlink>
      <w:r>
        <w:t xml:space="preserve">). Similarly in the United States and Sweden the same event has long driven female exits (</w:t>
      </w:r>
      <w:hyperlink w:anchor="ref580" w:history="1">
        <w:r>
          <w:rPr>
            <w:color w:val="0563C1"/>
          </w:rPr>
          <w:t xml:space="preserve">Stinebrickner, 2002</w:t>
        </w:r>
      </w:hyperlink>
      <w:r>
        <w:t xml:space="preserve">). </w:t>
      </w:r>
    </w:p>
    <w:p w14:paraId="77A48BB5" w14:textId="39F80603" w:rsidR="007E420F" w:rsidRDefault="009440C7">
      <w:pPr>
        <w:spacing w:after="130" w:line="242" w:lineRule="auto"/>
        <w:jc w:val="both"/>
      </w:pPr>
      <w:r>
        <w:t xml:space="preserve">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w:t>
      </w:r>
      <w:hyperlink w:anchor="ref546" w:history="1">
        <w:r>
          <w:rPr>
            <w:color w:val="0563C1"/>
          </w:rPr>
          <w:t xml:space="preserve">NCES, 2024</w:t>
        </w:r>
      </w:hyperlink>
      <w:r>
        <w:t xml:space="preserve">), and the difficulty of combining work and family is named by 15% of Swedish leavers (</w:t>
      </w:r>
      <w:hyperlink w:anchor="ref578" w:history="1">
        <w:r>
          <w:rPr>
            <w:color w:val="0563C1"/>
          </w:rPr>
          <w:t xml:space="preserve">Statistics Sweden, 2023</w:t>
        </w:r>
      </w:hyperlink>
      <w:r>
        <w:t xml:space="preserve">).</w:t>
      </w:r>
    </w:p>
    <w:p w14:paraId="7C14C454" w14:textId="560E295C" w:rsidR="00F72F5A" w:rsidRDefault="00000000">
      <w:pPr>
        <w:spacing w:after="130" w:line="242" w:lineRule="auto"/>
        <w:jc w:val="both"/>
      </w:pPr>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w:t>
      </w:r>
      <w:hyperlink w:anchor="ref531" w:history="1">
        <w:r>
          <w:rPr>
            <w:color w:val="0563C1"/>
          </w:rPr>
          <w:t xml:space="preserve">Grissom and Reininger, 2012</w:t>
        </w:r>
      </w:hyperlink>
      <w:r>
        <w:t xml:space="preserve">;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5C2134AC" w14:textId="77777777" w:rsidR="00B3332B" w:rsidRDefault="00000000">
      <w:pPr>
        <w:pStyle w:val="Heading3"/>
        <w:keepNext/>
        <w:spacing w:before="160" w:after="100"/>
      </w:pPr>
      <w:r>
        <w:rPr>
          <w:b/>
          <w:bCs/>
          <w:color w:val="04629A"/>
          <w:sz w:val="23"/>
          <w:szCs w:val="23"/>
        </w:rP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hyperlink w:anchor="ref553" w:history="1">
        <w:r>
          <w:rPr>
            <w:color w:val="0563C1"/>
          </w:rPr>
          <w:t xml:space="preserve">OECD, 2020</w:t>
        </w:r>
      </w:hyperlink>
      <w:r>
        <w:t xml:space="preserve">). </w:t>
      </w:r>
    </w:p>
    <w:p w14:paraId="11A013CD" w14:textId="12E00740" w:rsidR="007E420F" w:rsidRDefault="00352A8B">
      <w:pPr>
        <w:spacing w:after="130" w:line="242" w:lineRule="auto"/>
        <w:jc w:val="both"/>
      </w:pPr>
      <w:r>
        <w:t xml:space="preserve">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w:t>
      </w:r>
      <w:hyperlink w:anchor="ref524" w:history="1">
        <w:r>
          <w:rPr>
            <w:color w:val="0563C1"/>
          </w:rPr>
          <w:t xml:space="preserve">European Commission/EACEA/Eurydice, 2021</w:t>
        </w:r>
      </w:hyperlink>
      <w:r>
        <w:t xml:space="preserve">), or of a minimum amount of teaching, such as 20 days a year in Australia or two years of classroom practice in New Zealand (Victorian Institute of Teaching, 2025; </w:t>
      </w:r>
      <w:hyperlink w:anchor="ref581" w:history="1">
        <w:r>
          <w:rPr>
            <w:color w:val="0563C1"/>
          </w:rPr>
          <w:t xml:space="preserve">Teaching Council of Aotearoa New Zealand, 2016</w:t>
        </w:r>
      </w:hyperlink>
      <w:r>
        <w:t xml:space="preserve">).</w:t>
      </w:r>
    </w:p>
    <w:p w14:paraId="45245AAB" w14:textId="77777777" w:rsidR="007E420F" w:rsidRDefault="00000000">
      <w:pPr>
        <w:spacing w:after="130" w:line="242" w:lineRule="auto"/>
        <w:jc w:val="both"/>
      </w:pPr>
      <w:r>
        <w: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w:t>
      </w:r>
      <w:hyperlink w:anchor="ref553" w:history="1">
        <w:r>
          <w:rPr>
            <w:color w:val="0563C1"/>
          </w:rPr>
          <w:t xml:space="preserve">OECD, 2020</w:t>
        </w:r>
      </w:hyperlink>
      <w:r>
        <w:t xml:space="preserve">). The importance of accountability and regulation motives is nonetheless minor compared to other determinants of leaving, since even if test-based accountability does elevate stress and turnover intentions (</w:t>
      </w:r>
      <w:hyperlink w:anchor="ref566" w:history="1">
        <w:r>
          <w:rPr>
            <w:color w:val="0563C1"/>
          </w:rPr>
          <w:t xml:space="preserve">Ryan et al., 2017</w:t>
        </w:r>
      </w:hyperlink>
      <w:r>
        <w:t xml:space="preserve">), it ranks below affective commitment, burnout and job satisfaction (</w:t>
      </w:r>
      <w:hyperlink w:anchor="ref533" w:history="1">
        <w:r>
          <w:rPr>
            <w:color w:val="0563C1"/>
          </w:rPr>
          <w:t xml:space="preserve">Gundlach, Slemp and Hattie, 2024</w:t>
        </w:r>
      </w:hyperlink>
      <w:r>
        <w:t xml:space="preserve">).</w:t>
      </w:r>
    </w:p>
    <w:p w14:paraId="1EB718A2" w14:textId="77777777" w:rsidR="007E420F" w:rsidRDefault="00000000">
      <w:pPr>
        <w:spacing w:after="130" w:line="242" w:lineRule="auto"/>
        <w:jc w:val="both"/>
      </w:pPr>
      <w:r>
        <w:t xml:space="preserve">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w:t>
      </w:r>
      <w:hyperlink w:anchor="ref563" w:history="1">
        <w:r>
          <w:rPr>
            <w:color w:val="0563C1"/>
          </w:rPr>
          <w:t xml:space="preserve">Redding and Smith, 2016</w:t>
        </w:r>
      </w:hyperlink>
      <w:r>
        <w:t xml:space="preserve">),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43BCBCC8" w14:textId="1B25AA23" w:rsidR="00F72F5A" w:rsidRDefault="00000000">
      <w:pPr>
        <w:spacing w:after="130" w:line="242" w:lineRule="auto"/>
        <w:jc w:val="both"/>
      </w:pPr>
      <w:r>
        <w:t xml:space="preserve">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w:t>
      </w:r>
      <w:hyperlink w:anchor="ref547" w:history="1">
        <w:r>
          <w:rPr>
            <w:color w:val="0563C1"/>
          </w:rPr>
          <w:t xml:space="preserve">Nguyen et al., 2020</w:t>
        </w:r>
      </w:hyperlink>
      <w:r>
        <w:t xml:space="preserve">; </w:t>
      </w:r>
      <w:hyperlink w:anchor="ref533" w:history="1">
        <w:r>
          <w:rPr>
            <w:color w:val="0563C1"/>
          </w:rPr>
          <w:t xml:space="preserve">Gundlach, Slemp and Hattie, 2024</w:t>
        </w:r>
      </w:hyperlink>
      <w:r>
        <w:t xml:space="preserve">).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6D0D6C45" w:rsidR="00B3332B" w:rsidRDefault="00000000">
      <w:pPr>
        <w:spacing w:after="130" w:line="242" w:lineRule="auto"/>
        <w:jc w:val="both"/>
      </w:pPr>
      <w:r>
        <w:t xml:space="preserve">This distinction matters for policies that aim to re-attract former teachers. Bringing a teacher back without changing the conditions under which they left risks reproducing the same decision later on.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24" w:name="_Toc239235958"/>
      <w:r>
        <w:rPr>
          <w:b/>
          <w:bCs/>
          <w:color w:val="04629A"/>
          <w:sz w:val="30"/>
          <w:szCs w:val="30"/>
        </w:rPr>
        <w:lastRenderedPageBreak/>
        <w:t>3. The policies</w:t>
      </w:r>
      <w:bookmarkEnd w:id="24"/>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25" w:name="_Toc239235959"/>
      <w:r>
        <w:rPr>
          <w:b/>
          <w:bCs/>
          <w:color w:val="04629A"/>
          <w:sz w:val="30"/>
          <w:szCs w:val="30"/>
        </w:rPr>
        <w:lastRenderedPageBreak/>
        <w:t>4. Conclusions</w:t>
      </w:r>
      <w:bookmarkEnd w:id="25"/>
    </w:p>
    <w:p w14:paraId="111665AD" w14:textId="77777777" w:rsidR="00F40E91" w:rsidRDefault="00A42790">
      <w:pPr>
        <w:pStyle w:val="Heading2"/>
        <w:spacing w:before="200" w:after="120"/>
      </w:pPr>
      <w:bookmarkStart w:id="26" w:name="_Toc239235960"/>
      <w:r>
        <w:rPr>
          <w:b/>
          <w:bCs/>
          <w:color w:val="04629A"/>
          <w:sz w:val="25"/>
          <w:szCs w:val="25"/>
        </w:rPr>
        <w:t>References</w:t>
      </w:r>
      <w:bookmarkEnd w:id="26"/>
    </w:p>
    <w:p w14:paraId="234748B5" w14:textId="77777777" w:rsidR="00F40E91" w:rsidRDefault="00A42790">
      <w:pPr>
        <w:spacing w:after="70"/>
        <w:ind w:left="280" w:hanging="280"/>
      </w:pPr>
      <w:bookmarkStart w:id="501" w:name="ref501"/>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bookmarkEnd w:id="501"/>
    </w:p>
    <w:p w14:paraId="00BD1DB3" w14:textId="77777777" w:rsidR="00F40E91" w:rsidRDefault="00A42790">
      <w:pPr>
        <w:spacing w:after="70"/>
        <w:ind w:left="280" w:hanging="280"/>
      </w:pPr>
      <w:bookmarkStart w:id="502" w:name="ref502"/>
      <w:r>
        <w:rPr>
          <w:sz w:val="20"/>
          <w:szCs w:val="20"/>
        </w:rPr>
        <w:t>Adnot, M., T. Dee, V. Katz and J. Wyckoff (2017), "Teacher turnover, teacher quality, and student achievement in DCPS", *Educational Evaluation and Policy Analysis*, Vol. 39/1, pp. 54-76, https://doi.org/10.3102/0162373716663646.</w:t>
      </w:r>
      <w:bookmarkEnd w:id="502"/>
    </w:p>
    <w:p w14:paraId="2E3BA2E8" w14:textId="77777777" w:rsidR="00F40E91" w:rsidRDefault="00A42790">
      <w:pPr>
        <w:spacing w:after="70"/>
        <w:ind w:left="280" w:hanging="280"/>
      </w:pPr>
      <w:bookmarkStart w:id="503" w:name="ref503"/>
      <w:r>
        <w:rPr>
          <w:sz w:val="20"/>
          <w:szCs w:val="20"/>
        </w:rPr>
        <w:t>Aldeman, C. and S. Yi (2025), "Are teachers abandoning teaching? Data show teacher turnover remains low", *Education Next*, 18 December 2025, https://www.educationnext.org/are-teachers-abandoning-teaching-data-show-teacher-turnover-remains-low/.</w:t>
      </w:r>
      <w:bookmarkEnd w:id="503"/>
    </w:p>
    <w:p w14:paraId="40E564A4" w14:textId="77777777" w:rsidR="00F40E91" w:rsidRPr="00F15A52" w:rsidRDefault="00A42790">
      <w:pPr>
        <w:spacing w:after="70"/>
        <w:ind w:left="280" w:hanging="280"/>
        <w:rPr>
          <w:lang w:val="fr-FR"/>
        </w:rPr>
      </w:pPr>
      <w:bookmarkStart w:id="504" w:name="ref504"/>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bookmarkEnd w:id="504"/>
    </w:p>
    <w:p w14:paraId="3B52B08F" w14:textId="77777777" w:rsidR="00F40E91" w:rsidRDefault="00A42790">
      <w:pPr>
        <w:spacing w:after="70"/>
        <w:ind w:left="280" w:hanging="280"/>
      </w:pPr>
      <w:bookmarkStart w:id="505" w:name="ref505"/>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bookmarkEnd w:id="505"/>
    </w:p>
    <w:p w14:paraId="6E4C34A4" w14:textId="77777777" w:rsidR="00F40E91" w:rsidRDefault="00A42790">
      <w:pPr>
        <w:spacing w:after="70"/>
        <w:ind w:left="280" w:hanging="280"/>
      </w:pPr>
      <w:bookmarkStart w:id="506" w:name="ref506"/>
      <w:r>
        <w:rPr>
          <w:sz w:val="20"/>
          <w:szCs w:val="20"/>
        </w:rPr>
        <w:t>Boyd, D. et al. (2011), "The influence of school administrators on teacher retention decisions", *American Educational Research Journal*, Vol. 48/2, pp. 303-333, https://doi.org/10.3102/0002831210380788.</w:t>
      </w:r>
      <w:bookmarkEnd w:id="506"/>
    </w:p>
    <w:p w14:paraId="7C8C577C" w14:textId="77777777" w:rsidR="00F40E91" w:rsidRDefault="00A42790">
      <w:pPr>
        <w:spacing w:after="70"/>
        <w:ind w:left="280" w:hanging="280"/>
      </w:pPr>
      <w:bookmarkStart w:id="507" w:name="ref507"/>
      <w:r>
        <w:rPr>
          <w:sz w:val="20"/>
          <w:szCs w:val="20"/>
        </w:rPr>
        <w:t>Brandenburg, R. et al. (2024), "'I left the teaching profession... and this is what I am doing now': A national study of teacher attrition", *The Australian Educational Researcher*, Vol. 51, pp. 2381-2400, https://doi.org/10.1007/s13384-024-00697-1.</w:t>
      </w:r>
      <w:bookmarkEnd w:id="507"/>
    </w:p>
    <w:p w14:paraId="2F051D12" w14:textId="77777777" w:rsidR="00F40E91" w:rsidRDefault="00A42790">
      <w:pPr>
        <w:spacing w:after="70"/>
        <w:ind w:left="280" w:hanging="280"/>
      </w:pPr>
      <w:bookmarkStart w:id="508" w:name="ref508"/>
      <w:r>
        <w:rPr>
          <w:sz w:val="20"/>
          <w:szCs w:val="20"/>
        </w:rPr>
        <w:t>Brummet, Q., E. K. Penner, N. Pharris-Ciurej and S. R. Porter (2024), "The earnings and labor market trajectories of teachers who leave the profession", *Educational Evaluation and Policy Analysis*, Vol. 47/2, pp. 503-531, https://doi.org/10.3102/01623737241227906.</w:t>
      </w:r>
      <w:bookmarkEnd w:id="508"/>
    </w:p>
    <w:p w14:paraId="7238FA1A" w14:textId="77777777" w:rsidR="00F40E91" w:rsidRDefault="00A42790">
      <w:pPr>
        <w:spacing w:after="70"/>
        <w:ind w:left="280" w:hanging="280"/>
      </w:pPr>
      <w:bookmarkStart w:id="509" w:name="ref509"/>
      <w:r>
        <w:rPr>
          <w:sz w:val="20"/>
          <w:szCs w:val="20"/>
        </w:rPr>
        <w:t>Buckley, J. and S. Griselda (2025), *Who Stays, Who Goes? A New Look at Teacher Attrition Using Administrative Data*, e61 Institute Research Note, Sydney, https://e61.in/who-stays-who-goes-a-new-look-at-teacher-attrition-using-administrative-data/.</w:t>
      </w:r>
      <w:bookmarkEnd w:id="509"/>
    </w:p>
    <w:p w14:paraId="0EDFAAFD" w14:textId="77777777" w:rsidR="00F40E91" w:rsidRDefault="00A42790">
      <w:pPr>
        <w:spacing w:after="70"/>
        <w:ind w:left="280" w:hanging="280"/>
      </w:pPr>
      <w:bookmarkStart w:id="510" w:name="ref510"/>
      <w:r>
        <w:rPr>
          <w:sz w:val="20"/>
          <w:szCs w:val="20"/>
        </w:rPr>
        <w:t>Carver-Thomas, D. and L. Darling-Hammond (2019), "The trouble with teacher turnover: How teacher attrition affects students and schools", *Education Policy Analysis Archives*, Vol. 27/36, https://doi.org/10.14507/epaa.27.3699.</w:t>
      </w:r>
      <w:bookmarkEnd w:id="510"/>
    </w:p>
    <w:p w14:paraId="35AF62FC" w14:textId="77777777" w:rsidR="00F40E91" w:rsidRDefault="00A42790">
      <w:pPr>
        <w:spacing w:after="70"/>
        <w:ind w:left="280" w:hanging="280"/>
      </w:pPr>
      <w:bookmarkStart w:id="511" w:name="ref511"/>
      <w:r>
        <w:rPr>
          <w:sz w:val="20"/>
          <w:szCs w:val="20"/>
        </w:rPr>
        <w:t>CBS (2023), *Werken in het onderwijs: Deeltijd en voltijd*, Centraal Bureau voor de Statistiek, The Hague, https://www.cbs.nl/.</w:t>
      </w:r>
      <w:bookmarkEnd w:id="511"/>
    </w:p>
    <w:p w14:paraId="2475246E" w14:textId="77777777" w:rsidR="00F40E91" w:rsidRDefault="00A42790">
      <w:pPr>
        <w:spacing w:after="70"/>
        <w:ind w:left="280" w:hanging="280"/>
      </w:pPr>
      <w:bookmarkStart w:id="512" w:name="ref512"/>
      <w:r>
        <w:rPr>
          <w:sz w:val="20"/>
          <w:szCs w:val="20"/>
        </w:rPr>
        <w:t>CBS Israel (2023), *Teaching Staff Leaving the Education System*, Central Bureau of Statistics, Jerusalem, https://www.cbs.gov.il/. [Full bibliographic details to be completed before publication.]</w:t>
      </w:r>
      <w:bookmarkEnd w:id="512"/>
    </w:p>
    <w:p w14:paraId="3D03635B" w14:textId="77777777" w:rsidR="00F40E91" w:rsidRDefault="00A42790">
      <w:pPr>
        <w:spacing w:after="70"/>
        <w:ind w:left="280" w:hanging="280"/>
      </w:pPr>
      <w:bookmarkStart w:id="513" w:name="ref513"/>
      <w:r>
        <w:rPr>
          <w:sz w:val="20"/>
          <w:szCs w:val="20"/>
        </w:rPr>
        <w:t>Chingos, M. M. and M. R. West (2012), "Do more effective teachers earn more outside the classroom?", *Education Finance and Policy*, Vol. 7/1, pp. 8-43, https://doi.org/10.1162/EDFP_a_00052.</w:t>
      </w:r>
      <w:bookmarkEnd w:id="513"/>
    </w:p>
    <w:p w14:paraId="27EA653C" w14:textId="77777777" w:rsidR="00F40E91" w:rsidRDefault="00A42790">
      <w:pPr>
        <w:spacing w:after="70"/>
        <w:ind w:left="280" w:hanging="280"/>
      </w:pPr>
      <w:bookmarkStart w:id="514" w:name="ref514"/>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bookmarkEnd w:id="514"/>
    </w:p>
    <w:p w14:paraId="663A832A" w14:textId="77777777" w:rsidR="00F40E91" w:rsidRDefault="00A42790">
      <w:pPr>
        <w:spacing w:after="70"/>
        <w:ind w:left="280" w:hanging="280"/>
      </w:pPr>
      <w:bookmarkStart w:id="515" w:name="ref515"/>
      <w:r>
        <w:rPr>
          <w:sz w:val="20"/>
          <w:szCs w:val="20"/>
        </w:rPr>
        <w:t>Costrell, R. M. and M. Podgursky (2009), "Peaks, cliffs, and valleys: The peculiar incentives in teacher retirement systems and their consequences for school staffing", *Education Finance and Policy*, Vol. 4/2, pp. 175-211, https://doi.org/10.1162/edfp.2009.4.2.175.</w:t>
      </w:r>
      <w:bookmarkEnd w:id="515"/>
    </w:p>
    <w:p w14:paraId="6DC6D053" w14:textId="77777777" w:rsidR="00F40E91" w:rsidRDefault="00A42790">
      <w:pPr>
        <w:spacing w:after="70"/>
        <w:ind w:left="280" w:hanging="280"/>
      </w:pPr>
      <w:bookmarkStart w:id="516" w:name="ref516"/>
      <w:r>
        <w:rPr>
          <w:sz w:val="20"/>
          <w:szCs w:val="20"/>
        </w:rPr>
        <w:t>Cuervo, H. and E. Vera-Toscano (2025), "Teacher attrition in Australia: Evidence of labour market and wage outcomes from longitudinal data", *Australian Journal of Education*, https://doi.org/10.1177/00049441251341603.</w:t>
      </w:r>
      <w:bookmarkEnd w:id="516"/>
    </w:p>
    <w:p w14:paraId="7F32F9D5" w14:textId="77777777" w:rsidR="00F40E91" w:rsidRDefault="00A42790">
      <w:pPr>
        <w:spacing w:after="70"/>
        <w:ind w:left="280" w:hanging="280"/>
      </w:pPr>
      <w:bookmarkStart w:id="517" w:name="ref517"/>
      <w:r>
        <w:rPr>
          <w:sz w:val="20"/>
          <w:szCs w:val="20"/>
        </w:rPr>
        <w:t>DeCesare, D., A. McClelland and B. Randel (2017), *Impacts of the Retired Mentors for New Teachers Program*, REL 2017-225, Regional Educational Laboratory Central, Institute of Education Sciences, U.S. Department of Education, Washington, DC, https://ies.ed.gov/ncee/edlabs.</w:t>
      </w:r>
      <w:bookmarkEnd w:id="517"/>
    </w:p>
    <w:p w14:paraId="61A75FFB" w14:textId="77777777" w:rsidR="00F40E91" w:rsidRDefault="00A42790">
      <w:pPr>
        <w:spacing w:after="70"/>
        <w:ind w:left="280" w:hanging="280"/>
      </w:pPr>
      <w:bookmarkStart w:id="518" w:name="ref518"/>
      <w:r>
        <w:rPr>
          <w:sz w:val="20"/>
          <w:szCs w:val="20"/>
        </w:rPr>
        <w:t>Department for Education (2023), *School Workforce in England: Ad Hoc Statistics on Maternity Leave and Returns*, Department for Education, London. [Release to be verified before publication.]</w:t>
      </w:r>
      <w:bookmarkEnd w:id="518"/>
    </w:p>
    <w:p w14:paraId="6D1A06E8" w14:textId="77777777" w:rsidR="00F40E91" w:rsidRDefault="00A42790">
      <w:pPr>
        <w:spacing w:after="70"/>
        <w:ind w:left="280" w:hanging="280"/>
      </w:pPr>
      <w:bookmarkStart w:id="519" w:name="ref519"/>
      <w:r>
        <w:rPr>
          <w:sz w:val="20"/>
          <w:szCs w:val="20"/>
        </w:rPr>
        <w:t>Department for Education (2024a), *School Workforce in England: Reporting Year 2023*, National Statistics, London, https://explore-education-statistics.service.gov.uk/find-statistics/school-workforce-in-england.</w:t>
      </w:r>
      <w:bookmarkEnd w:id="519"/>
    </w:p>
    <w:p w14:paraId="1A87F39C" w14:textId="77777777" w:rsidR="00F40E91" w:rsidRDefault="00A42790">
      <w:pPr>
        <w:spacing w:after="70"/>
        <w:ind w:left="280" w:hanging="280"/>
      </w:pPr>
      <w:bookmarkStart w:id="520" w:name="ref520"/>
      <w:r>
        <w:rPr>
          <w:sz w:val="20"/>
          <w:szCs w:val="20"/>
        </w:rPr>
        <w:lastRenderedPageBreak/>
        <w:t>Department for Education (2024b), *Working Lives of Teachers and Leaders: Wave 3 and Wave 4 Reports*, Department for Education, London, https://www.gov.uk/government/publications/working-lives-of-teachers-and-leaders.</w:t>
      </w:r>
      <w:bookmarkEnd w:id="520"/>
    </w:p>
    <w:p w14:paraId="6C996EED" w14:textId="77777777" w:rsidR="00F40E91" w:rsidRDefault="00A42790">
      <w:pPr>
        <w:spacing w:after="70"/>
        <w:ind w:left="280" w:hanging="280"/>
      </w:pPr>
      <w:bookmarkStart w:id="521" w:name="ref521"/>
      <w:r>
        <w:rPr>
          <w:sz w:val="20"/>
          <w:szCs w:val="20"/>
        </w:rPr>
        <w:t>Destatis (2024), *Schuljahr 2023/24: 43,1% der Lehrkräfte arbeiteten in Teilzeit*, Statistisches Bundesamt, Wiesbaden, https://www.destatis.de/.</w:t>
      </w:r>
      <w:bookmarkEnd w:id="521"/>
    </w:p>
    <w:p w14:paraId="55417055" w14:textId="77777777" w:rsidR="00F40E91" w:rsidRDefault="00A42790">
      <w:pPr>
        <w:spacing w:after="70"/>
        <w:ind w:left="280" w:hanging="280"/>
      </w:pPr>
      <w:bookmarkStart w:id="522" w:name="ref522"/>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bookmarkEnd w:id="522"/>
    </w:p>
    <w:p w14:paraId="4A7F5EFF" w14:textId="77777777" w:rsidR="00F40E91" w:rsidRDefault="00A42790">
      <w:pPr>
        <w:spacing w:after="70"/>
        <w:ind w:left="280" w:hanging="280"/>
      </w:pPr>
      <w:bookmarkStart w:id="523" w:name="ref523"/>
      <w:r>
        <w:rPr>
          <w:sz w:val="20"/>
          <w:szCs w:val="20"/>
        </w:rPr>
        <w:t>Education Counts (2025), *Teacher Turnover*, New Zealand Ministry of Education, Wellington, https://www.educationcounts.govt.nz/statistics/teacher-turnover.</w:t>
      </w:r>
      <w:bookmarkEnd w:id="523"/>
    </w:p>
    <w:p w14:paraId="168156D2" w14:textId="77777777" w:rsidR="00B3332B" w:rsidRDefault="00000000">
      <w:pPr>
        <w:spacing w:after="70"/>
        <w:ind w:left="280" w:hanging="280"/>
      </w:pPr>
      <w:bookmarkStart w:id="524" w:name="ref524"/>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bookmarkEnd w:id="524"/>
    </w:p>
    <w:p w14:paraId="136C289E" w14:textId="77777777" w:rsidR="00F40E91" w:rsidRDefault="00A42790">
      <w:pPr>
        <w:spacing w:after="70"/>
        <w:ind w:left="280" w:hanging="280"/>
      </w:pPr>
      <w:bookmarkStart w:id="525" w:name="ref525"/>
      <w:r>
        <w:rPr>
          <w:sz w:val="20"/>
          <w:szCs w:val="20"/>
        </w:rPr>
        <w:t>Falch, T. (2011), "Teacher mobility responses to wage changes: Evidence from a quasi-natural experiment", *American Economic Review*, Vol. 101/3, pp. 460-465, https://doi.org/10.1257/aer.101.3.460.</w:t>
      </w:r>
      <w:bookmarkEnd w:id="525"/>
    </w:p>
    <w:p w14:paraId="7AEC7048" w14:textId="77777777" w:rsidR="00B3332B" w:rsidRDefault="00000000">
      <w:pPr>
        <w:spacing w:after="70"/>
        <w:ind w:left="280" w:hanging="280"/>
      </w:pPr>
      <w:bookmarkStart w:id="526" w:name="ref526"/>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bookmarkEnd w:id="526"/>
    </w:p>
    <w:p w14:paraId="375EEFEB" w14:textId="77777777" w:rsidR="00F40E91" w:rsidRDefault="00A42790">
      <w:pPr>
        <w:spacing w:after="70"/>
        <w:ind w:left="280" w:hanging="280"/>
      </w:pPr>
      <w:bookmarkStart w:id="527" w:name="ref527"/>
      <w:r>
        <w:rPr>
          <w:sz w:val="20"/>
          <w:szCs w:val="20"/>
        </w:rPr>
        <w:t>Fitzpatrick, M. D. (2015), "How much are public school teachers willing to pay for their retirement benefits?", *American Economic Journal: Economic Policy*, Vol. 7/4, pp. 165-188, https://doi.org/10.1257/pol.20140087.</w:t>
      </w:r>
      <w:bookmarkEnd w:id="527"/>
    </w:p>
    <w:p w14:paraId="5026DEE4" w14:textId="77777777" w:rsidR="00F40E91" w:rsidRPr="00F15A52" w:rsidRDefault="00A42790">
      <w:pPr>
        <w:spacing w:after="70"/>
        <w:ind w:left="280" w:hanging="280"/>
        <w:rPr>
          <w:lang w:val="es-CL"/>
        </w:rPr>
      </w:pPr>
      <w:bookmarkStart w:id="528" w:name="ref528"/>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bookmarkEnd w:id="528"/>
    </w:p>
    <w:p w14:paraId="7E41A678" w14:textId="77777777" w:rsidR="00F40E91" w:rsidRPr="00F15A52" w:rsidRDefault="00A42790">
      <w:pPr>
        <w:spacing w:after="70"/>
        <w:ind w:left="280" w:hanging="280"/>
        <w:rPr>
          <w:lang w:val="es-CL"/>
        </w:rPr>
      </w:pPr>
      <w:bookmarkStart w:id="529" w:name="ref529"/>
      <w:r>
        <w:rPr>
          <w:sz w:val="20"/>
          <w:szCs w:val="20"/>
          <w:lang w:val="es-CL"/>
        </w:rPr>
        <w:t>Government of Spain (2025), *Real Decreto-ley 9/2025, de 29 de julio, por el que se amplía el permiso por nacimiento y cuidado del menor*, Boletín Oficial del Estado, Madrid.</w:t>
      </w:r>
      <w:bookmarkEnd w:id="529"/>
    </w:p>
    <w:p w14:paraId="5B9C6A9F" w14:textId="77777777" w:rsidR="00B3332B" w:rsidRDefault="00000000">
      <w:pPr>
        <w:spacing w:after="70"/>
        <w:ind w:left="280" w:hanging="280"/>
      </w:pPr>
      <w:bookmarkStart w:id="530" w:name="ref530"/>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bookmarkEnd w:id="530"/>
    </w:p>
    <w:p w14:paraId="1AB34854" w14:textId="77777777" w:rsidR="00B3332B" w:rsidRDefault="00000000">
      <w:pPr>
        <w:spacing w:after="70"/>
        <w:ind w:left="280" w:hanging="280"/>
      </w:pPr>
      <w:bookmarkStart w:id="531" w:name="ref531"/>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bookmarkEnd w:id="531"/>
    </w:p>
    <w:p w14:paraId="379C3B09" w14:textId="77777777" w:rsidR="00F40E91" w:rsidRDefault="00A42790">
      <w:pPr>
        <w:spacing w:after="70"/>
        <w:ind w:left="280" w:hanging="280"/>
      </w:pPr>
      <w:bookmarkStart w:id="532" w:name="ref532"/>
      <w:r>
        <w:rPr>
          <w:sz w:val="20"/>
          <w:szCs w:val="20"/>
        </w:rPr>
        <w:t>Guarino, C. M., L. Santibañez and G. A. Daley (2006), "Teacher recruitment and retention: A review of the recent empirical literature", *Review of Educational Research*, Vol. 76/2, pp. 173-208, https://doi.org/10.3102/00346543076002173.</w:t>
      </w:r>
      <w:bookmarkEnd w:id="532"/>
    </w:p>
    <w:p w14:paraId="7F91A268" w14:textId="77777777" w:rsidR="00F40E91" w:rsidRDefault="00A42790">
      <w:pPr>
        <w:spacing w:after="70"/>
        <w:ind w:left="280" w:hanging="280"/>
      </w:pPr>
      <w:bookmarkStart w:id="533" w:name="ref533"/>
      <w:r>
        <w:rPr>
          <w:sz w:val="20"/>
          <w:szCs w:val="20"/>
        </w:rPr>
        <w:t>Gundlach, H. A. D., G. R. Slemp and J. Hattie (2024), "A meta-analysis of the antecedents of teacher turnover and retention", *Educational Research Review*, Vol. 44, 100606, https://doi.org/10.1016/j.edurev.2024.100606.</w:t>
      </w:r>
      <w:bookmarkEnd w:id="533"/>
    </w:p>
    <w:p w14:paraId="11105D54" w14:textId="77777777" w:rsidR="00F40E91" w:rsidRDefault="00A42790">
      <w:pPr>
        <w:spacing w:after="70"/>
        <w:ind w:left="280" w:hanging="280"/>
      </w:pPr>
      <w:bookmarkStart w:id="534" w:name="ref534"/>
      <w:r>
        <w:rPr>
          <w:sz w:val="20"/>
          <w:szCs w:val="20"/>
        </w:rPr>
        <w:t>Harris, D. N. and S. J. Adams (2007), "Understanding the level and causes of teacher turnover: A comparison with other professions", *Economics of Education Review*, Vol. 26/3, pp. 325-337, https://doi.org/10.1016/j.econedurev.2005.09.007.</w:t>
      </w:r>
      <w:bookmarkEnd w:id="534"/>
    </w:p>
    <w:p w14:paraId="3BD92892" w14:textId="77777777" w:rsidR="00F40E91" w:rsidRDefault="00A42790">
      <w:pPr>
        <w:spacing w:after="70"/>
        <w:ind w:left="280" w:hanging="280"/>
      </w:pPr>
      <w:bookmarkStart w:id="535" w:name="ref535"/>
      <w:r>
        <w:rPr>
          <w:sz w:val="20"/>
          <w:szCs w:val="20"/>
        </w:rPr>
        <w:t>Hulme, M. et al. (2026), "Teacher turnover in Scotland: Reluctant leavers, downscaling, and the limits of voluntary exit", *Oxford Review of Education*, https://doi.org/10.1080/03054985.2026.2709882.</w:t>
      </w:r>
      <w:bookmarkEnd w:id="535"/>
    </w:p>
    <w:p w14:paraId="6AEA8DF0" w14:textId="77777777" w:rsidR="00B3332B" w:rsidRDefault="00000000">
      <w:pPr>
        <w:spacing w:after="70"/>
        <w:ind w:left="280" w:hanging="280"/>
      </w:pPr>
      <w:bookmarkStart w:id="536" w:name="ref536"/>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bookmarkEnd w:id="536"/>
    </w:p>
    <w:p w14:paraId="14F646B4" w14:textId="77777777" w:rsidR="00F40E91" w:rsidRDefault="00A42790">
      <w:pPr>
        <w:spacing w:after="70"/>
        <w:ind w:left="280" w:hanging="280"/>
      </w:pPr>
      <w:bookmarkStart w:id="537" w:name="ref537"/>
      <w:r>
        <w:rPr>
          <w:sz w:val="20"/>
          <w:szCs w:val="20"/>
        </w:rPr>
        <w:t>KEDI (2023), *Survey Evidence on Teacher Attrition and the Infringement of Teachers' Rights*, Korean Educational Development Institute, Jincheon. [Full bibliographic details to be completed before publication.]</w:t>
      </w:r>
      <w:bookmarkEnd w:id="537"/>
    </w:p>
    <w:p w14:paraId="5D7544F5" w14:textId="77777777" w:rsidR="00F40E91" w:rsidRDefault="00A42790">
      <w:pPr>
        <w:spacing w:after="70"/>
        <w:ind w:left="280" w:hanging="280"/>
      </w:pPr>
      <w:bookmarkStart w:id="538" w:name="ref538"/>
      <w:r>
        <w:rPr>
          <w:sz w:val="20"/>
          <w:szCs w:val="20"/>
        </w:rPr>
        <w:t>Koedel, C. and P. B. Xiang (2017), "Pension enhancements and the retention of public employees", *ILR Review*, Vol. 70/2, pp. 519-551, https://doi.org/10.1177/0019793916650452.</w:t>
      </w:r>
      <w:bookmarkEnd w:id="538"/>
    </w:p>
    <w:p w14:paraId="76E34C55" w14:textId="77777777" w:rsidR="00F40E91" w:rsidRDefault="00A42790">
      <w:pPr>
        <w:spacing w:after="70"/>
        <w:ind w:left="280" w:hanging="280"/>
      </w:pPr>
      <w:bookmarkStart w:id="539" w:name="ref539"/>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bookmarkEnd w:id="539"/>
    </w:p>
    <w:p w14:paraId="43541EB5" w14:textId="77777777" w:rsidR="00B3332B" w:rsidRDefault="00000000">
      <w:pPr>
        <w:spacing w:after="70"/>
        <w:ind w:left="280" w:hanging="280"/>
      </w:pPr>
      <w:bookmarkStart w:id="540" w:name="ref540"/>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bookmarkEnd w:id="540"/>
    </w:p>
    <w:p w14:paraId="08F45736" w14:textId="77777777" w:rsidR="00F40E91" w:rsidRDefault="00A42790">
      <w:pPr>
        <w:spacing w:after="70"/>
        <w:ind w:left="280" w:hanging="280"/>
      </w:pPr>
      <w:bookmarkStart w:id="541" w:name="ref541"/>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bookmarkEnd w:id="541"/>
    </w:p>
    <w:p w14:paraId="20C26FB0" w14:textId="77777777" w:rsidR="00F40E91" w:rsidRDefault="00A42790">
      <w:pPr>
        <w:spacing w:after="70"/>
        <w:ind w:left="280" w:hanging="280"/>
      </w:pPr>
      <w:bookmarkStart w:id="542" w:name="ref542"/>
      <w:r>
        <w:rPr>
          <w:sz w:val="20"/>
          <w:szCs w:val="20"/>
        </w:rPr>
        <w:lastRenderedPageBreak/>
        <w:t>Madigan, D. J. and L. E. Kim (2021), "Towards an understanding of teacher attrition: A meta-analysis of burnout, job satisfaction, and teachers' intentions to quit", *Teaching and Teacher Education*, Vol. 105, 103425, https://doi.org/10.1016/j.tate.2021.103425.</w:t>
      </w:r>
      <w:bookmarkEnd w:id="542"/>
    </w:p>
    <w:p w14:paraId="5AF35FB9" w14:textId="77777777" w:rsidR="00F40E91" w:rsidRDefault="00A42790">
      <w:pPr>
        <w:spacing w:after="70"/>
        <w:ind w:left="280" w:hanging="280"/>
      </w:pPr>
      <w:bookmarkStart w:id="543" w:name="ref543"/>
      <w:r>
        <w:rPr>
          <w:sz w:val="20"/>
          <w:szCs w:val="20"/>
        </w:rPr>
        <w:t>Montizaan, R., F. Cörvers and A. de Grip (2010), "The effects of pension rights and retirement age on training participation: Evidence from a natural experiment", *Labour Economics*, Vol. 17/1, pp. 240-247, https://doi.org/10.1016/j.labeco.2009.09.002.</w:t>
      </w:r>
      <w:bookmarkEnd w:id="543"/>
    </w:p>
    <w:p w14:paraId="45AC1406" w14:textId="77777777" w:rsidR="00F40E91" w:rsidRDefault="00A42790">
      <w:pPr>
        <w:spacing w:after="70"/>
        <w:ind w:left="280" w:hanging="280"/>
      </w:pPr>
      <w:bookmarkStart w:id="544" w:name="ref544"/>
      <w:r>
        <w:rPr>
          <w:sz w:val="20"/>
          <w:szCs w:val="20"/>
        </w:rPr>
        <w:t>National Council on Teacher Quality (2026), *Paid Parental Leave for Teachers: State and District Policies*, NCTQ, Washington, DC, https://www.nctq.org/research-insights/how-many-school-districts-offer-paid-parental-leave/.</w:t>
      </w:r>
      <w:bookmarkEnd w:id="544"/>
    </w:p>
    <w:p w14:paraId="0D2ADC99" w14:textId="77777777" w:rsidR="00B3332B" w:rsidRDefault="00000000">
      <w:pPr>
        <w:spacing w:after="70"/>
        <w:ind w:left="280" w:hanging="280"/>
      </w:pPr>
      <w:bookmarkStart w:id="545" w:name="ref545"/>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bookmarkEnd w:id="545"/>
    </w:p>
    <w:p w14:paraId="7588FF85" w14:textId="77777777" w:rsidR="00F40E91" w:rsidRDefault="00A42790">
      <w:pPr>
        <w:spacing w:after="70"/>
        <w:ind w:left="280" w:hanging="280"/>
      </w:pPr>
      <w:bookmarkStart w:id="546" w:name="ref546"/>
      <w:r>
        <w:rPr>
          <w:sz w:val="20"/>
          <w:szCs w:val="20"/>
        </w:rPr>
        <w:t>NCES (2024), *Teacher Attrition and Mobility: Results from the 2021-22 Teacher Follow-up Survey*, National Center for Education Statistics, Washington, DC, https://nces.ed.gov/pubsearch/pubsinfo.asp?pubid=2024039.</w:t>
      </w:r>
      <w:bookmarkEnd w:id="546"/>
    </w:p>
    <w:p w14:paraId="23BF8D40" w14:textId="77777777" w:rsidR="00F40E91" w:rsidRDefault="00A42790">
      <w:pPr>
        <w:spacing w:after="70"/>
        <w:ind w:left="280" w:hanging="280"/>
      </w:pPr>
      <w:bookmarkStart w:id="547" w:name="ref547"/>
      <w:r>
        <w:rPr>
          <w:sz w:val="20"/>
          <w:szCs w:val="20"/>
        </w:rPr>
        <w:t>Nguyen, T. D., L. D. Pham, M. Crouch and M. G. Springer (2020), "The correlates of teacher turnover: An updated and expanded meta-analysis of the literature", *Educational Research Review*, Vol. 31, 100355, https://doi.org/10.1016/j.edurev.2020.100355.</w:t>
      </w:r>
      <w:bookmarkEnd w:id="547"/>
    </w:p>
    <w:p w14:paraId="069A9483" w14:textId="77777777" w:rsidR="00F40E91" w:rsidRDefault="00A42790">
      <w:pPr>
        <w:spacing w:after="70"/>
        <w:ind w:left="280" w:hanging="280"/>
      </w:pPr>
      <w:bookmarkStart w:id="548" w:name="ref548"/>
      <w:r>
        <w:rPr>
          <w:sz w:val="20"/>
          <w:szCs w:val="20"/>
        </w:rPr>
        <w:t>Nguyen, T. D., C. D. Lam and P. Bruno (2024), "What do we know about the extent of teacher shortages nationwide? A systematic examination of reports of U.S. teacher shortages", *AERA Open*, Vol. 10, https://doi.org/10.1177/23328584241276512.</w:t>
      </w:r>
      <w:bookmarkEnd w:id="548"/>
    </w:p>
    <w:p w14:paraId="73402B45" w14:textId="77777777" w:rsidR="00F40E91" w:rsidRDefault="00A42790">
      <w:pPr>
        <w:spacing w:after="70"/>
        <w:ind w:left="280" w:hanging="280"/>
      </w:pPr>
      <w:bookmarkStart w:id="549" w:name="ref549"/>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bookmarkEnd w:id="549"/>
    </w:p>
    <w:p w14:paraId="7FC8F36B" w14:textId="77777777" w:rsidR="00F40E91" w:rsidRDefault="00A42790">
      <w:pPr>
        <w:spacing w:after="70"/>
        <w:ind w:left="280" w:hanging="280"/>
      </w:pPr>
      <w:bookmarkStart w:id="550" w:name="ref550"/>
      <w:r>
        <w:rPr>
          <w:sz w:val="20"/>
          <w:szCs w:val="20"/>
        </w:rPr>
        <w:t>Ni, S. and M. Podgursky (2016), "How teachers respond to pension system incentives: New estimates and policy applications", *Journal of Labor Economics*, Vol. 34/4, pp. 1075-1104, https://doi.org/10.1086/686263.</w:t>
      </w:r>
      <w:bookmarkEnd w:id="550"/>
    </w:p>
    <w:p w14:paraId="5B2F4BBA" w14:textId="77777777" w:rsidR="00F40E91" w:rsidRDefault="00A42790">
      <w:pPr>
        <w:spacing w:after="70"/>
        <w:ind w:left="280" w:hanging="280"/>
      </w:pPr>
      <w:bookmarkStart w:id="551" w:name="ref551"/>
      <w:r>
        <w:rPr>
          <w:sz w:val="20"/>
          <w:szCs w:val="20"/>
        </w:rPr>
        <w:t>Ni, S., M. Podgursky and F. Wang (2022), "How much are public school teachers willing to pay for their retirement benefits? Comment", *American Economic Journal: Economic Policy*, Vol. 14/3, pp. 478-493, https://doi.org/10.1257/pol.20200763.</w:t>
      </w:r>
      <w:bookmarkEnd w:id="551"/>
    </w:p>
    <w:p w14:paraId="40790226" w14:textId="77777777" w:rsidR="00F40E91" w:rsidRDefault="00A42790">
      <w:pPr>
        <w:spacing w:after="70"/>
        <w:ind w:left="280" w:hanging="280"/>
      </w:pPr>
      <w:bookmarkStart w:id="552" w:name="ref552"/>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bookmarkEnd w:id="552"/>
    </w:p>
    <w:p w14:paraId="56A49B5D" w14:textId="77777777" w:rsidR="007E420F" w:rsidRDefault="00000000">
      <w:pPr>
        <w:spacing w:after="70"/>
        <w:ind w:left="280" w:hanging="280"/>
      </w:pPr>
      <w:bookmarkStart w:id="553" w:name="ref553"/>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bookmarkEnd w:id="553"/>
    </w:p>
    <w:p w14:paraId="274DE21A" w14:textId="77777777" w:rsidR="00F40E91" w:rsidRDefault="00A42790">
      <w:pPr>
        <w:spacing w:after="70"/>
        <w:ind w:left="280" w:hanging="280"/>
      </w:pPr>
      <w:bookmarkStart w:id="554" w:name="ref554"/>
      <w:r>
        <w:rPr>
          <w:sz w:val="20"/>
          <w:szCs w:val="20"/>
        </w:rPr>
        <w:t>OECD (2025a), "What is the profile of the teaching workforce and how has it evolved?", in *Education at a Glance 2025: OECD Indicators*, Indicator D8, Table D8.4, OECD Publishing, Paris, https://doi.org/10.1787/f7b0b326-en.</w:t>
      </w:r>
      <w:bookmarkEnd w:id="554"/>
    </w:p>
    <w:p w14:paraId="71E7D815" w14:textId="77777777" w:rsidR="00F40E91" w:rsidRDefault="00A42790">
      <w:pPr>
        <w:spacing w:after="70"/>
        <w:ind w:left="280" w:hanging="280"/>
      </w:pPr>
      <w:bookmarkStart w:id="555" w:name="ref555"/>
      <w:r>
        <w:rPr>
          <w:sz w:val="20"/>
          <w:szCs w:val="20"/>
        </w:rPr>
        <w:t>OECD (2025b), *Results from TALIS 2024*, OECD Publishing, Paris, https://doi.org/10.1787/90df6235-en.</w:t>
      </w:r>
      <w:bookmarkEnd w:id="555"/>
    </w:p>
    <w:p w14:paraId="16596E18" w14:textId="77777777" w:rsidR="00F40E91" w:rsidRDefault="00A42790">
      <w:pPr>
        <w:spacing w:after="70"/>
        <w:ind w:left="280" w:hanging="280"/>
      </w:pPr>
      <w:bookmarkStart w:id="556" w:name="ref556"/>
      <w:r>
        <w:rPr>
          <w:sz w:val="20"/>
          <w:szCs w:val="20"/>
        </w:rPr>
        <w:t>OECD (2025d), "How much are teachers and school heads paid?", in *Education at a Glance 2025: OECD Indicators*, Indicator D3, Table D3.2, OECD Publishing, Paris, https://doi.org/10.1787/1c0d9c79-en.</w:t>
      </w:r>
      <w:bookmarkEnd w:id="556"/>
    </w:p>
    <w:p w14:paraId="7FE13E85" w14:textId="77777777" w:rsidR="00F40E91" w:rsidRDefault="00A42790">
      <w:pPr>
        <w:spacing w:after="70"/>
        <w:ind w:left="280" w:hanging="280"/>
      </w:pPr>
      <w:bookmarkStart w:id="557" w:name="ref557"/>
      <w:r>
        <w:rPr>
          <w:sz w:val="20"/>
          <w:szCs w:val="20"/>
        </w:rPr>
        <w:t>OECD (2025e), *Pensions at a Glance 2025: OECD and G20 Indicators*, OECD Publishing, Paris.</w:t>
      </w:r>
      <w:bookmarkEnd w:id="557"/>
    </w:p>
    <w:p w14:paraId="0875AC7D" w14:textId="77777777" w:rsidR="00F72F5A" w:rsidRDefault="00000000">
      <w:pPr>
        <w:spacing w:after="70"/>
        <w:ind w:left="280" w:hanging="280"/>
      </w:pPr>
      <w:bookmarkStart w:id="558" w:name="ref558"/>
      <w:r>
        <w:rPr>
          <w:sz w:val="20"/>
          <w:szCs w:val="20"/>
        </w:rPr>
        <w:t xml:space="preserve">OECD (2026), </w:t>
      </w:r>
      <w:r>
        <w:rPr>
          <w:i/>
          <w:iCs/>
          <w:sz w:val="20"/>
          <w:szCs w:val="20"/>
        </w:rPr>
        <w:t>Education at a Glance 2026: OECD Indicators</w:t>
      </w:r>
      <w:r>
        <w:rPr>
          <w:sz w:val="20"/>
          <w:szCs w:val="20"/>
        </w:rPr>
        <w:t>, OECD Publishing, Paris, https://doi.org/10.1787/b4968bbc-en.</w:t>
      </w:r>
      <w:bookmarkEnd w:id="558"/>
    </w:p>
    <w:p w14:paraId="7F28702B" w14:textId="77777777" w:rsidR="00F40E91" w:rsidRDefault="00A42790">
      <w:pPr>
        <w:spacing w:after="70"/>
        <w:ind w:left="280" w:hanging="280"/>
      </w:pPr>
      <w:bookmarkStart w:id="559" w:name="ref559"/>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bookmarkEnd w:id="559"/>
    </w:p>
    <w:p w14:paraId="16E81C97" w14:textId="77777777" w:rsidR="00F40E91" w:rsidRDefault="00A42790">
      <w:pPr>
        <w:spacing w:after="70"/>
        <w:ind w:left="280" w:hanging="280"/>
      </w:pPr>
      <w:bookmarkStart w:id="560" w:name="ref560"/>
      <w:r>
        <w:rPr>
          <w:sz w:val="20"/>
          <w:szCs w:val="20"/>
        </w:rPr>
        <w:t>Podgursky, M., R. Monroe and D. Watson (2004), "The academic quality of public school teachers: An analysis of entry and exit behavior", *Economics of Education Review*, Vol. 23/5, pp. 507-518, https://doi.org/10.1016/j.econedurev.2004.01.005.</w:t>
      </w:r>
      <w:bookmarkEnd w:id="560"/>
    </w:p>
    <w:p w14:paraId="619D8832" w14:textId="77777777" w:rsidR="00F40E91" w:rsidRDefault="00A42790">
      <w:pPr>
        <w:spacing w:after="70"/>
        <w:ind w:left="280" w:hanging="280"/>
      </w:pPr>
      <w:bookmarkStart w:id="561" w:name="ref561"/>
      <w:r>
        <w:rPr>
          <w:sz w:val="20"/>
          <w:szCs w:val="20"/>
        </w:rPr>
        <w:t>Quinby, L. and G. Wettstein (2021), "Do deferred benefit cuts for current employees increase separation?", *Labour Economics*, Vol. 73, 102081, https://doi.org/10.1016/j.labeco.2021.102081.</w:t>
      </w:r>
      <w:bookmarkEnd w:id="561"/>
    </w:p>
    <w:p w14:paraId="737EE0F8" w14:textId="77777777" w:rsidR="00F40E91" w:rsidRDefault="00A42790">
      <w:pPr>
        <w:spacing w:after="70"/>
        <w:ind w:left="280" w:hanging="280"/>
      </w:pPr>
      <w:bookmarkStart w:id="562" w:name="ref562"/>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bookmarkEnd w:id="562"/>
    </w:p>
    <w:p w14:paraId="405DA110" w14:textId="77777777" w:rsidR="00B3332B" w:rsidRDefault="00000000">
      <w:pPr>
        <w:spacing w:after="70"/>
        <w:ind w:left="280" w:hanging="280"/>
      </w:pPr>
      <w:bookmarkStart w:id="563" w:name="ref563"/>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bookmarkEnd w:id="563"/>
    </w:p>
    <w:p w14:paraId="65897F21" w14:textId="77777777" w:rsidR="00F40E91" w:rsidRDefault="00A42790">
      <w:pPr>
        <w:spacing w:after="70"/>
        <w:ind w:left="280" w:hanging="280"/>
      </w:pPr>
      <w:bookmarkStart w:id="564" w:name="ref564"/>
      <w:r>
        <w:rPr>
          <w:sz w:val="20"/>
          <w:szCs w:val="20"/>
        </w:rPr>
        <w:lastRenderedPageBreak/>
        <w:t>Republic of Korea (2023), *Special Act on the Improvement of Teachers' Status and the Protection of Their Educational Activities*, as amended by Act No. 19735 of 27 September 2023, Korea Legislation Research Institute, Seoul, https://elaw.klri.re.kr/eng_mobile/viewer.do?hseq=69754.</w:t>
      </w:r>
      <w:bookmarkEnd w:id="564"/>
    </w:p>
    <w:p w14:paraId="66DF0AB3" w14:textId="77777777" w:rsidR="00F40E91" w:rsidRDefault="00A42790">
      <w:pPr>
        <w:spacing w:after="70"/>
        <w:ind w:left="280" w:hanging="280"/>
      </w:pPr>
      <w:bookmarkStart w:id="565" w:name="ref565"/>
      <w:r>
        <w:rPr>
          <w:sz w:val="20"/>
          <w:szCs w:val="20"/>
        </w:rPr>
        <w:t>ROCKWOOL Fonden (2025), *Folkeskolelærere, der forlader deres job, går ned i løn og søger mod job med færre sygemeldinger*, ROCKWOOL Fondens Forskningsenhed, Copenhagen, https://rockwoolfonden.dk/. [Full working-paper reference to be confirmed.]</w:t>
      </w:r>
      <w:bookmarkEnd w:id="565"/>
    </w:p>
    <w:p w14:paraId="62F8C797" w14:textId="77777777" w:rsidR="00B3332B" w:rsidRDefault="00000000">
      <w:pPr>
        <w:spacing w:after="70"/>
        <w:ind w:left="280" w:hanging="280"/>
      </w:pPr>
      <w:bookmarkStart w:id="566" w:name="ref566"/>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bookmarkEnd w:id="566"/>
    </w:p>
    <w:p w14:paraId="15AA5C95" w14:textId="77777777" w:rsidR="00F40E91" w:rsidRDefault="00A42790">
      <w:pPr>
        <w:spacing w:after="70"/>
        <w:ind w:left="280" w:hanging="280"/>
      </w:pPr>
      <w:bookmarkStart w:id="567" w:name="ref567"/>
      <w:r>
        <w:rPr>
          <w:sz w:val="20"/>
          <w:szCs w:val="20"/>
        </w:rPr>
        <w:t>Samuelson, P. A. (1938), "A note on the pure theory of consumer's behaviour", *Economica*, Vol. 5/17, pp. 61-71, https://doi.org/10.2307/2548836.</w:t>
      </w:r>
      <w:bookmarkEnd w:id="567"/>
    </w:p>
    <w:p w14:paraId="43AE74A7" w14:textId="77777777" w:rsidR="00F40E91" w:rsidRDefault="00A42790">
      <w:pPr>
        <w:spacing w:after="70"/>
        <w:ind w:left="280" w:hanging="280"/>
      </w:pPr>
      <w:bookmarkStart w:id="568" w:name="ref568"/>
      <w:r>
        <w:rPr>
          <w:sz w:val="20"/>
          <w:szCs w:val="20"/>
        </w:rPr>
        <w:t>Scafidi, B., D. L. Sjoquist and T. R. Stinebrickner (2006), "Do teachers really leave for higher paying jobs in alternative occupations?", *The B.E. Journal of Economic Analysis and Policy*, Vol. 6/1, https://doi.org/10.2202/1538-0645.1604.</w:t>
      </w:r>
      <w:bookmarkEnd w:id="568"/>
    </w:p>
    <w:p w14:paraId="16BE112C" w14:textId="77777777" w:rsidR="00F40E91" w:rsidRDefault="00A42790">
      <w:pPr>
        <w:spacing w:after="70"/>
        <w:ind w:left="280" w:hanging="280"/>
      </w:pPr>
      <w:bookmarkStart w:id="569" w:name="ref569"/>
      <w:r>
        <w:rPr>
          <w:sz w:val="20"/>
          <w:szCs w:val="20"/>
        </w:rPr>
        <w:t>See, B. H., R. Morris, S. Gorard and N. El Soufi (2020), "Teacher recruitment and retention: A critical review of international evidence of most promising interventions", *Education Sciences*, Vol. 10/10, 262, https://doi.org/10.3390/educsci10100262.</w:t>
      </w:r>
      <w:bookmarkEnd w:id="569"/>
    </w:p>
    <w:p w14:paraId="7D0DD174" w14:textId="77777777" w:rsidR="00B3332B" w:rsidRDefault="00000000">
      <w:pPr>
        <w:spacing w:after="70"/>
        <w:ind w:left="280" w:hanging="280"/>
      </w:pPr>
      <w:bookmarkStart w:id="570" w:name="ref570"/>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bookmarkEnd w:id="570"/>
    </w:p>
    <w:p w14:paraId="2DD3F878" w14:textId="77777777" w:rsidR="00F40E91" w:rsidRDefault="00A42790">
      <w:pPr>
        <w:spacing w:after="70"/>
        <w:ind w:left="280" w:hanging="280"/>
      </w:pPr>
      <w:bookmarkStart w:id="571" w:name="ref571"/>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bookmarkEnd w:id="571"/>
    </w:p>
    <w:p w14:paraId="37EFD468" w14:textId="77777777" w:rsidR="00F40E91" w:rsidRDefault="00A42790">
      <w:pPr>
        <w:spacing w:after="70"/>
        <w:ind w:left="280" w:hanging="280"/>
      </w:pPr>
      <w:bookmarkStart w:id="572" w:name="ref572"/>
      <w:r>
        <w:rPr>
          <w:sz w:val="20"/>
          <w:szCs w:val="20"/>
        </w:rPr>
        <w:t>Sims, S. and J. Jerrim (2020), *TALIS 2018: Teacher Working Conditions, Turnover and Attrition*, Statistical Working Paper, Department for Education, London, https://www.gov.uk/government/publications/talis-2018-teacher-working-conditions-turnover-and-attrition.</w:t>
      </w:r>
      <w:bookmarkEnd w:id="572"/>
    </w:p>
    <w:p w14:paraId="06B47832" w14:textId="77777777" w:rsidR="00F40E91" w:rsidRDefault="00A42790">
      <w:pPr>
        <w:spacing w:after="70"/>
        <w:ind w:left="280" w:hanging="280"/>
      </w:pPr>
      <w:bookmarkStart w:id="573" w:name="ref573"/>
      <w:r>
        <w:rPr>
          <w:sz w:val="20"/>
          <w:szCs w:val="20"/>
        </w:rPr>
        <w:t>Sims, S., B. Lowes-Belk and A. Routledge (2026), "Teacher preferences for pay and working conditions: A systematic review of discrete-choice experiments", *Economics of Education Review*. [Full bibliographic details to be completed before publication.]</w:t>
      </w:r>
      <w:bookmarkEnd w:id="573"/>
    </w:p>
    <w:p w14:paraId="5473C48B" w14:textId="77777777" w:rsidR="00F40E91" w:rsidRPr="007E35B5" w:rsidRDefault="00A42790">
      <w:pPr>
        <w:spacing w:after="70"/>
        <w:ind w:left="280" w:hanging="280"/>
        <w:rPr>
          <w:lang w:val="fr-FR"/>
        </w:rPr>
      </w:pPr>
      <w:bookmarkStart w:id="574" w:name="ref574"/>
      <w:r>
        <w:rPr>
          <w:sz w:val="20"/>
          <w:szCs w:val="20"/>
        </w:rPr>
        <w:t xml:space="preserve">Somers, M. et al. (2024a), *Loont het om leraren financieel te prikkelen? </w:t>
      </w:r>
      <w:r>
        <w:rPr>
          <w:sz w:val="20"/>
          <w:szCs w:val="20"/>
          <w:lang w:val="fr-FR"/>
        </w:rPr>
        <w:t>De voltijdbonus onderzocht*, ROA, Maastricht University, Maastricht, https://roa.maastrichtuniversity.nl/.</w:t>
      </w:r>
      <w:bookmarkEnd w:id="574"/>
    </w:p>
    <w:p w14:paraId="7847F30A" w14:textId="77777777" w:rsidR="00F40E91" w:rsidRDefault="00A42790">
      <w:pPr>
        <w:spacing w:after="70"/>
        <w:ind w:left="280" w:hanging="280"/>
      </w:pPr>
      <w:bookmarkStart w:id="575" w:name="ref575"/>
      <w:r>
        <w:rPr>
          <w:sz w:val="20"/>
          <w:szCs w:val="20"/>
          <w:lang w:val="fr-FR"/>
        </w:rPr>
        <w:t xml:space="preserve">Somers, M. et al. </w:t>
      </w:r>
      <w:r>
        <w:rPr>
          <w:sz w:val="20"/>
          <w:szCs w:val="20"/>
        </w:rPr>
        <w:t>(2024b), *De stille reserve aan leraren buiten het onderwijs*, ROA, Maastricht University, Maastricht, https://roa.maastrichtuniversity.nl/.</w:t>
      </w:r>
      <w:bookmarkEnd w:id="575"/>
    </w:p>
    <w:p w14:paraId="16295B09" w14:textId="77777777" w:rsidR="00B3332B" w:rsidRDefault="00000000">
      <w:pPr>
        <w:spacing w:after="70"/>
        <w:ind w:left="280" w:hanging="280"/>
      </w:pPr>
      <w:bookmarkStart w:id="576" w:name="ref576"/>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bookmarkEnd w:id="576"/>
    </w:p>
    <w:p w14:paraId="7B43D212" w14:textId="77777777" w:rsidR="00F40E91" w:rsidRDefault="00A42790">
      <w:pPr>
        <w:spacing w:after="70"/>
        <w:ind w:left="280" w:hanging="280"/>
      </w:pPr>
      <w:bookmarkStart w:id="577" w:name="ref577"/>
      <w:r>
        <w:rPr>
          <w:sz w:val="20"/>
          <w:szCs w:val="20"/>
        </w:rPr>
        <w:t>Statistics Norway (2025), articles on the labour-market attachment of trained teachers, Statistisk sentralbyrå, Oslo, https://www.ssb.no/. [Full bibliographic details to be completed before publication.]</w:t>
      </w:r>
      <w:bookmarkEnd w:id="577"/>
    </w:p>
    <w:p w14:paraId="73DEFE16" w14:textId="77777777" w:rsidR="00F40E91" w:rsidRDefault="00A42790">
      <w:pPr>
        <w:spacing w:after="70"/>
        <w:ind w:left="280" w:hanging="280"/>
      </w:pPr>
      <w:bookmarkStart w:id="578" w:name="ref578"/>
      <w:r>
        <w:rPr>
          <w:sz w:val="20"/>
          <w:szCs w:val="20"/>
        </w:rPr>
        <w:t>Statistics Sweden (2023), *Lärare utanför yrket 2022/2023*, Statistiska centralbyrån, Stockholm, https://www.scb.se/.</w:t>
      </w:r>
      <w:bookmarkEnd w:id="578"/>
    </w:p>
    <w:p w14:paraId="4CC69471" w14:textId="77777777" w:rsidR="00F40E91" w:rsidRDefault="00A42790">
      <w:pPr>
        <w:spacing w:after="70"/>
        <w:ind w:left="280" w:hanging="280"/>
      </w:pPr>
      <w:bookmarkStart w:id="579" w:name="ref579"/>
      <w:r>
        <w:rPr>
          <w:sz w:val="20"/>
          <w:szCs w:val="20"/>
        </w:rPr>
        <w:t>Stinebrickner, T. R. (2001), "A dynamic model of teacher labor supply", *Journal of Labor Economics*, Vol. 19/1, pp. 196-230, https://doi.org/10.1086/209985.</w:t>
      </w:r>
      <w:bookmarkEnd w:id="579"/>
    </w:p>
    <w:p w14:paraId="79399607" w14:textId="77777777" w:rsidR="00F40E91" w:rsidRDefault="00A42790">
      <w:pPr>
        <w:spacing w:after="70"/>
        <w:ind w:left="280" w:hanging="280"/>
      </w:pPr>
      <w:bookmarkStart w:id="580" w:name="ref580"/>
      <w:r>
        <w:rPr>
          <w:sz w:val="20"/>
          <w:szCs w:val="20"/>
        </w:rPr>
        <w:t>Stinebrickner, T. R. (2002), "An analysis of occupational change and departure from the labor force: Evidence of the reasons that teachers leave", *Journal of Human Resources*, Vol. 37/1, pp. 192-216, https://doi.org/10.2307/3069608.</w:t>
      </w:r>
      <w:bookmarkEnd w:id="580"/>
    </w:p>
    <w:p w14:paraId="748E0489" w14:textId="77777777" w:rsidR="00452B3B" w:rsidRDefault="00000000">
      <w:pPr>
        <w:spacing w:after="70"/>
        <w:ind w:left="280" w:hanging="280"/>
      </w:pPr>
      <w:bookmarkStart w:id="581" w:name="ref581"/>
      <w:r>
        <w:rPr>
          <w:sz w:val="20"/>
          <w:szCs w:val="20"/>
        </w:rPr>
        <w:t xml:space="preserve">Teaching Council of Aotearoa New Zealand (2016), </w:t>
      </w:r>
      <w:r>
        <w:rPr>
          <w:i/>
          <w:iCs/>
          <w:sz w:val="20"/>
          <w:szCs w:val="20"/>
        </w:rPr>
        <w:t>Requirements for renewing a practising certificate</w:t>
      </w:r>
      <w:r>
        <w:rPr>
          <w:sz w:val="20"/>
          <w:szCs w:val="20"/>
        </w:rPr>
        <w:t>, Teaching Council, Wellington. [Full bibliographic details to be completed before publication.]</w:t>
      </w:r>
      <w:bookmarkEnd w:id="581"/>
    </w:p>
    <w:p w14:paraId="313D88B9" w14:textId="77777777" w:rsidR="00F40E91" w:rsidRDefault="00A42790">
      <w:pPr>
        <w:spacing w:after="70"/>
        <w:ind w:left="280" w:hanging="280"/>
      </w:pPr>
      <w:bookmarkStart w:id="582" w:name="ref582"/>
      <w:r>
        <w:rPr>
          <w:sz w:val="20"/>
          <w:szCs w:val="20"/>
        </w:rPr>
        <w:t>UNESCO (2024), *Global Report on Teachers: Addressing Teacher Shortages and Transforming the Profession*, UNESCO and the International Task Force on Teachers for Education 2030, Paris, https://doi.org/10.54675/FIGU8035.</w:t>
      </w:r>
      <w:bookmarkEnd w:id="582"/>
    </w:p>
    <w:p w14:paraId="20B2F68D" w14:textId="77777777" w:rsidR="00F40E91" w:rsidRDefault="00A42790">
      <w:pPr>
        <w:spacing w:after="70"/>
        <w:ind w:left="280" w:hanging="280"/>
      </w:pPr>
      <w:bookmarkStart w:id="583" w:name="ref583"/>
      <w:r>
        <w:rPr>
          <w:sz w:val="20"/>
          <w:szCs w:val="20"/>
        </w:rPr>
        <w:t>United Kingdom (1996), *Employment Rights Act 1996*, Part 8A (Flexible Working), sections 80F-80G, as amended, London, https://www.legislation.gov.uk/ukpga/1996/18/part/8A.</w:t>
      </w:r>
      <w:bookmarkEnd w:id="583"/>
    </w:p>
    <w:p w14:paraId="0CA954CB" w14:textId="77777777" w:rsidR="00F40E91" w:rsidRDefault="00A42790">
      <w:pPr>
        <w:spacing w:after="70"/>
        <w:ind w:left="280" w:hanging="280"/>
      </w:pPr>
      <w:bookmarkStart w:id="584" w:name="ref584"/>
      <w:r>
        <w:rPr>
          <w:sz w:val="20"/>
          <w:szCs w:val="20"/>
        </w:rPr>
        <w:t>United States (2013), *Family and Medical Leave Act Regulations*, 29 CFR Part 825, Subpart F, Washington, DC, https://www.ecfr.gov/current/title-29/subtitle-B/chapter-V/subchapter-C/part-825/subpart-F.</w:t>
      </w:r>
      <w:bookmarkEnd w:id="584"/>
    </w:p>
    <w:p w14:paraId="5726B3DB" w14:textId="77777777" w:rsidR="00F40E91" w:rsidRPr="00F15A52" w:rsidRDefault="00A42790">
      <w:pPr>
        <w:spacing w:after="70"/>
        <w:ind w:left="280" w:hanging="280"/>
        <w:rPr>
          <w:lang w:val="es-CL"/>
        </w:rPr>
      </w:pPr>
      <w:bookmarkStart w:id="585" w:name="ref585"/>
      <w:r>
        <w:rPr>
          <w:sz w:val="20"/>
          <w:szCs w:val="20"/>
          <w:lang w:val="es-CL"/>
        </w:rPr>
        <w:t>Van Casteren, W. et al. (2023), *Vertrekredenen leraren en docenten in het po, vo en mbo*, ResearchNed, Nijmegen, https://www.voion.nl/publicaties/vertrekredenen-leraren-en-docenten-in-het-po-vo-en-mbo/.</w:t>
      </w:r>
      <w:bookmarkEnd w:id="585"/>
    </w:p>
    <w:p w14:paraId="02CEB6AC" w14:textId="77777777" w:rsidR="00F40E91" w:rsidRDefault="00A42790">
      <w:pPr>
        <w:spacing w:after="70"/>
        <w:ind w:left="280" w:hanging="280"/>
      </w:pPr>
      <w:bookmarkStart w:id="586" w:name="ref586"/>
      <w:r>
        <w:rPr>
          <w:sz w:val="20"/>
          <w:szCs w:val="20"/>
        </w:rPr>
        <w:t>Vansteenkiste, S. (2025), *De in- en uitstroom in het lerarenberoep vanuit vergelijkend perspectief*, Steunpunt Onderwijsonderzoek, Leuven.</w:t>
      </w:r>
      <w:bookmarkEnd w:id="586"/>
    </w:p>
    <w:p w14:paraId="4F429D5B" w14:textId="77777777" w:rsidR="00F40E91" w:rsidRDefault="00A42790">
      <w:pPr>
        <w:spacing w:after="70"/>
        <w:ind w:left="280" w:hanging="280"/>
      </w:pPr>
      <w:bookmarkStart w:id="587" w:name="ref587"/>
      <w:r>
        <w:rPr>
          <w:sz w:val="20"/>
          <w:szCs w:val="20"/>
        </w:rPr>
        <w:lastRenderedPageBreak/>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bookmarkEnd w:id="587"/>
    </w:p>
    <w:p w14:paraId="499B80BB" w14:textId="77777777" w:rsidR="00F40E91" w:rsidRDefault="00A42790">
      <w:pPr>
        <w:spacing w:after="70"/>
        <w:ind w:left="280" w:hanging="280"/>
      </w:pPr>
      <w:bookmarkStart w:id="588" w:name="ref588"/>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bookmarkEnd w:id="588"/>
    </w:p>
    <w:p w14:paraId="6DA65A27" w14:textId="77777777" w:rsidR="00F40E91" w:rsidRDefault="00A42790">
      <w:pPr>
        <w:spacing w:after="70"/>
        <w:ind w:left="280" w:hanging="280"/>
      </w:pPr>
      <w:bookmarkStart w:id="589" w:name="ref589"/>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bookmarkEnd w:id="589"/>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RÁN ROA José Elías, EDU/IMEP" w:date="2026-10-07T11:49:00Z" w:initials="JD">
    <w:p w14:paraId="6B6D99C9" w14:textId="77777777" w:rsidR="007E35B5" w:rsidRDefault="007E35B5" w:rsidP="007E35B5">
      <w:pPr>
        <w:pStyle w:val="CommentText"/>
      </w:pPr>
      <w:r>
        <w:rPr>
          <w:rStyle w:val="CommentReference"/>
        </w:rPr>
        <w:annotationRef/>
      </w:r>
      <w:r>
        <w:rPr>
          <w:lang w:val="en-GB"/>
        </w:rPr>
        <w:t>Preguntas no… simplemente resaltar que es un policy margin… necesario en el contexto actual. Son profesores que YA están capacitados, que tienen mucho para ofrecer al sistema educatvivo, que pueden traer de vuelta experiencias valiosas. Y luego las dos conclusiones</w:t>
      </w:r>
    </w:p>
  </w:comment>
  <w:comment w:id="18"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19" w:author="Claude" w:date="2026-10-07T09:40:00Z" w:initials="C">
    <w:p w14:paraId="281FAF59" w14:textId="77777777" w:rsidR="00452B3B" w:rsidRDefault="00000000">
      <w:r>
        <w:rPr>
          <w:rStyle w:val="CommentReference"/>
        </w:rPr>
        <w:annotationRef/>
      </w:r>
      <w:r>
        <w:rPr>
          <w:color w:val="000000"/>
          <w:sz w:val="20"/>
          <w:szCs w:val="20"/>
        </w:rPr>
        <w:t>Both paragraphs rewritten with less detail. The first states the ideas and why causal evidence is scarce; the second frames the evidence as what the studies that overcome the problem show (lower turnover where teachers perceive good leadership, falling turnover when leadership improves, largest effect in disadvantaged schools), with the references but without the list of places and figures.</w:t>
      </w:r>
    </w:p>
  </w:comment>
  <w:comment w:id="20" w:author="Claude" w:date="2026-10-07T07:47:00Z" w:initials="C">
    <w:p w14:paraId="4559FC5F" w14:textId="77777777" w:rsidR="00F72F5A" w:rsidRDefault="00000000">
      <w:r>
        <w:rPr>
          <w:rStyle w:val="CommentReference"/>
        </w:rPr>
        <w:annotationRef/>
      </w:r>
      <w:r>
        <w:rPr>
          <w:color w:val="000000"/>
          <w:sz w:val="20"/>
          <w:szCs w:val="20"/>
        </w:rPr>
        <w:t>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21" w:author="DURÁN ROA José Elías, EDU/IMEP" w:date="2026-10-07T11:33:00Z" w:initials="JD">
    <w:p w14:paraId="4AC1DDF7" w14:textId="77777777" w:rsidR="00EC473B" w:rsidRDefault="00EC473B" w:rsidP="00EC473B">
      <w:pPr>
        <w:pStyle w:val="CommentText"/>
      </w:pPr>
      <w:r>
        <w:rPr>
          <w:rStyle w:val="CommentReference"/>
        </w:rPr>
        <w:annotationRef/>
      </w:r>
      <w:r>
        <w:rPr>
          <w:lang w:val="en-GB"/>
        </w:rPr>
        <w:t>No, sigue sin convencerme… este y el siguiente párrafo. No des tanto detalle… los ejemplos dales un frame relevante! No simplemente un bombardeo de lugares, estudios y cifras!</w:t>
      </w:r>
    </w:p>
  </w:comment>
  <w:comment w:id="22" w:author="DURÁN ROA José Elías, EDU/IMEP" w:date="2026-10-07T11:48:00Z" w:initials="JD">
    <w:p w14:paraId="0CCD26EC" w14:textId="77777777" w:rsidR="007E35B5" w:rsidRDefault="007E35B5" w:rsidP="007E35B5">
      <w:pPr>
        <w:pStyle w:val="CommentText"/>
      </w:pPr>
      <w:r>
        <w:rPr>
          <w:rStyle w:val="CommentReference"/>
        </w:rPr>
        <w:annotationRef/>
      </w:r>
      <w:r>
        <w:rPr>
          <w:lang w:val="en-GB"/>
        </w:rPr>
        <w:t>Sigue sin convenrme quita lo de que pueden ser harsh porque se van… se tecino quizas habla de self-selection pero no generes backlash</w:t>
      </w:r>
    </w:p>
  </w:comment>
  <w:comment w:id="23" w:author="Claude" w:date="2026-10-07T09:57:21Z" w:initials="C">
    <w:p w14:paraId="27C816CD" w14:textId="77777777">
      <w:r>
        <w:rPr>
          <w:rStyle w:val="CommentReference"/>
        </w:rPr>
        <w:annotationRef/>
      </w:r>
      <w:r>
        <w:rPr>
          <w:color w:val="000000"/>
          <w:sz w:val="20"/>
          <w:szCs w:val="20"/>
        </w:rPr>
        <w:t xml:space="preserve">Rewritten without the question: the paragraph now states that re-attraction is a policy margin the current context makes necessary, gives the shortage facts, presents former teachers as already trained, with much to offer and valuable experience to bring back, and closes with the two conclusions. Highlighted in yellow.</w:t>
      </w:r>
    </w:p>
  </w:comment>
  <w:comment w:id="24" w:author="Claude" w:date="2026-10-07T09:57:21Z" w:initials="C">
    <w:p w14:paraId="576F90EE" w14:textId="77777777">
      <w:r>
        <w:rPr>
          <w:rStyle w:val="CommentReference"/>
        </w:rPr>
        <w:annotationRef/>
      </w:r>
      <w:r>
        <w:rPr>
          <w:color w:val="000000"/>
          <w:sz w:val="20"/>
          <w:szCs w:val="20"/>
        </w:rPr>
        <w:t xml:space="preserve">Done: the sentence on harsher judgements is gone. The scarcity of causal evidence is now explained technically, through self-reported measures and unobserved differences between those who stay and those who leave (self-selection), without implying anything about the teachers. Highlighted in yellow.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D99C9" w15:done="0"/>
  <w15:commentEx w15:paraId="386D3113" w15:done="0"/>
  <w15:commentEx w15:paraId="281FAF59" w15:paraIdParent="386D3113" w15:done="0"/>
  <w15:commentEx w15:paraId="4559FC5F" w15:paraIdParent="386D3113" w15:done="0"/>
  <w15:commentEx w15:paraId="4AC1DDF7" w15:paraIdParent="386D3113" w15:done="0"/>
  <w15:commentEx w15:paraId="0CCD26EC" w15:paraIdParent="386D3113" w15:done="0"/>
  <w15:commentEx w15:paraId="27C816CD" w15:paraIdParent="6B6D99C9" w15:done="0"/>
  <w15:commentEx w15:paraId="576F90EE" w15:paraIdParent="386D31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5C1481" w16cex:dateUtc="2026-10-07T09:49:00Z"/>
  <w16cex:commentExtensible w16cex:durableId="7CF2C603" w16cex:dateUtc="2026-10-06T14:21:00Z"/>
  <w16cex:commentExtensible w16cex:durableId="2FADC2F9" w16cex:dateUtc="2026-10-07T09:40:00Z"/>
  <w16cex:commentExtensible w16cex:durableId="4EA9E12F" w16cex:dateUtc="2026-10-07T07:47:00Z"/>
  <w16cex:commentExtensible w16cex:durableId="4666DED9" w16cex:dateUtc="2026-10-07T09:33:00Z"/>
  <w16cex:commentExtensible w16cex:durableId="2DDB2343" w16cex:dateUtc="2026-10-07T09:48:00Z"/>
  <w16cex:commentExtensible w16cex:durableId="3D2628F3" w16cex:dateUtc="2026-10-07T09:57:21Z"/>
  <w16cex:commentExtensible w16cex:durableId="374A528C" w16cex:dateUtc="2026-10-07T09:57:2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D99C9" w16cid:durableId="115C1481"/>
  <w16cid:commentId w16cid:paraId="386D3113" w16cid:durableId="7CF2C603"/>
  <w16cid:commentId w16cid:paraId="281FAF59" w16cid:durableId="2FADC2F9"/>
  <w16cid:commentId w16cid:paraId="4559FC5F" w16cid:durableId="4EA9E12F"/>
  <w16cid:commentId w16cid:paraId="4AC1DDF7" w16cid:durableId="4666DED9"/>
  <w16cid:commentId w16cid:paraId="0CCD26EC" w16cid:durableId="2DDB2343"/>
  <w16cid:commentId w16cid:paraId="27C816CD" w16cid:durableId="3D2628F3"/>
  <w16cid:commentId w16cid:paraId="576F90EE" w16cid:durableId="374A5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91F25" w14:textId="77777777" w:rsidR="00982243" w:rsidRDefault="00982243">
      <w:r>
        <w:separator/>
      </w:r>
    </w:p>
  </w:endnote>
  <w:endnote w:type="continuationSeparator" w:id="0">
    <w:p w14:paraId="075D0B85" w14:textId="77777777" w:rsidR="00982243" w:rsidRDefault="00982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E51B1" w14:textId="77777777" w:rsidR="00982243" w:rsidRDefault="00982243">
      <w:r>
        <w:separator/>
      </w:r>
    </w:p>
  </w:footnote>
  <w:footnote w:type="continuationSeparator" w:id="0">
    <w:p w14:paraId="4EBE2D1B" w14:textId="77777777" w:rsidR="00982243" w:rsidRDefault="00982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323E0"/>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52B3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35B5"/>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3E26"/>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2243"/>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3592B"/>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3C3"/>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473B"/>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2F5A"/>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20</Pages>
  <Words>8162</Words>
  <Characters>49137</Characters>
  <Application>Microsoft Office Word</Application>
  <DocSecurity>0</DocSecurity>
  <Lines>673</Lines>
  <Paragraphs>238</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8</cp:revision>
  <dcterms:created xsi:type="dcterms:W3CDTF">2026-10-05T12:05:00Z</dcterms:created>
  <dcterms:modified xsi:type="dcterms:W3CDTF">2026-10-07T09:49:00Z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