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Garamond" w:cs="Garamond" w:eastAsia="Garamond" w:hAnsi="Garamond"/>
          <w:b/>
          <w:bCs/>
          <w:color w:val="000000"/>
          <w:sz w:val="40"/>
          <w:szCs w:val="40"/>
        </w:rPr>
        <w:t xml:space="preserve">Re-attracting Former Teachers</w:t>
      </w:r>
    </w:p>
    <w:p>
      <w:pPr>
        <w:spacing w:after="480"/>
      </w:pPr>
      <w:r>
        <w:rPr>
          <w:rFonts w:ascii="Garamond" w:cs="Garamond" w:eastAsia="Garamond" w:hAnsi="Garamond"/>
          <w:color w:val="555555"/>
          <w:sz w:val="28"/>
          <w:szCs w:val="28"/>
        </w:rPr>
        <w:t xml:space="preserve">Interview scripts</w:t>
      </w:r>
    </w:p>
    <w:p>
      <w:pPr>
        <w:spacing w:after="0" w:before="100"/>
      </w:pPr>
      <w:hyperlink w:history="1" w:anchor="sec0">
        <w:r>
          <w:rPr>
            <w:rFonts w:ascii="Garamond" w:cs="Garamond" w:eastAsia="Garamond" w:hAnsi="Garamond"/>
            <w:b/>
            <w:bCs/>
            <w:color w:val="000000"/>
            <w:sz w:val="24"/>
            <w:szCs w:val="24"/>
            <w:u w:val="single"/>
          </w:rPr>
          <w:t xml:space="preserve">Introduction</w:t>
        </w:r>
      </w:hyperlink>
    </w:p>
    <w:p>
      <w:pPr>
        <w:spacing w:after="0" w:before="100"/>
      </w:pPr>
      <w:hyperlink w:history="1" w:anchor="sec1">
        <w:r>
          <w:rPr>
            <w:rFonts w:ascii="Garamond" w:cs="Garamond" w:eastAsia="Garamond" w:hAnsi="Garamond"/>
            <w:b/>
            <w:bCs/>
            <w:color w:val="000000"/>
            <w:sz w:val="24"/>
            <w:szCs w:val="24"/>
            <w:u w:val="single"/>
          </w:rPr>
          <w:t xml:space="preserve">New South Wales</w:t>
        </w:r>
      </w:hyperlink>
    </w:p>
    <w:p>
      <w:pPr>
        <w:spacing w:after="60"/>
      </w:pPr>
      <w:r>
        <w:rPr>
          <w:rFonts w:ascii="Garamond" w:cs="Garamond" w:eastAsia="Garamond" w:hAnsi="Garamond"/>
          <w:color w:val="555555"/>
          <w:sz w:val="20"/>
          <w:szCs w:val="20"/>
        </w:rPr>
        <w:t xml:space="preserve">Teachers Re-Engage, since 2023</w:t>
      </w:r>
    </w:p>
    <w:p>
      <w:pPr>
        <w:spacing w:after="0" w:before="100"/>
      </w:pPr>
      <w:hyperlink w:history="1" w:anchor="sec2">
        <w:r>
          <w:rPr>
            <w:rFonts w:ascii="Garamond" w:cs="Garamond" w:eastAsia="Garamond" w:hAnsi="Garamond"/>
            <w:b/>
            <w:bCs/>
            <w:color w:val="000000"/>
            <w:sz w:val="24"/>
            <w:szCs w:val="24"/>
            <w:u w:val="single"/>
          </w:rPr>
          <w:t xml:space="preserve">Victoria</w:t>
        </w:r>
      </w:hyperlink>
    </w:p>
    <w:p>
      <w:pPr>
        <w:spacing w:after="60"/>
      </w:pPr>
      <w:r>
        <w:rPr>
          <w:rFonts w:ascii="Garamond" w:cs="Garamond" w:eastAsia="Garamond" w:hAnsi="Garamond"/>
          <w:color w:val="555555"/>
          <w:sz w:val="20"/>
          <w:szCs w:val="20"/>
        </w:rPr>
        <w:t xml:space="preserve">Teacher Re-Engagement Initiative, since 2022</w:t>
      </w:r>
    </w:p>
    <w:p>
      <w:pPr>
        <w:spacing w:after="0" w:before="100"/>
      </w:pPr>
      <w:hyperlink w:history="1" w:anchor="sec3">
        <w:r>
          <w:rPr>
            <w:rFonts w:ascii="Garamond" w:cs="Garamond" w:eastAsia="Garamond" w:hAnsi="Garamond"/>
            <w:b/>
            <w:bCs/>
            <w:color w:val="000000"/>
            <w:sz w:val="24"/>
            <w:szCs w:val="24"/>
            <w:u w:val="single"/>
          </w:rPr>
          <w:t xml:space="preserve">Quebec</w:t>
        </w:r>
      </w:hyperlink>
    </w:p>
    <w:p>
      <w:pPr>
        <w:spacing w:after="60"/>
      </w:pPr>
      <w:r>
        <w:rPr>
          <w:rFonts w:ascii="Garamond" w:cs="Garamond" w:eastAsia="Garamond" w:hAnsi="Garamond"/>
          <w:color w:val="555555"/>
          <w:sz w:val="20"/>
          <w:szCs w:val="20"/>
        </w:rPr>
        <w:t xml:space="preserve">Measure 15178, pay for returning retired teachers, since 2020</w:t>
      </w:r>
    </w:p>
    <w:p>
      <w:pPr>
        <w:spacing w:after="0" w:before="100"/>
      </w:pPr>
      <w:hyperlink w:history="1" w:anchor="sec4">
        <w:r>
          <w:rPr>
            <w:rFonts w:ascii="Garamond" w:cs="Garamond" w:eastAsia="Garamond" w:hAnsi="Garamond"/>
            <w:b/>
            <w:bCs/>
            <w:color w:val="000000"/>
            <w:sz w:val="24"/>
            <w:szCs w:val="24"/>
            <w:u w:val="single"/>
          </w:rPr>
          <w:t xml:space="preserve">China</w:t>
        </w:r>
      </w:hyperlink>
    </w:p>
    <w:p>
      <w:pPr>
        <w:spacing w:after="60"/>
      </w:pPr>
      <w:r>
        <w:rPr>
          <w:rFonts w:ascii="Garamond" w:cs="Garamond" w:eastAsia="Garamond" w:hAnsi="Garamond"/>
          <w:color w:val="555555"/>
          <w:sz w:val="20"/>
          <w:szCs w:val="20"/>
        </w:rPr>
        <w:t xml:space="preserve">Silver-Age Lecturing Plan, since 2018</w:t>
      </w:r>
    </w:p>
    <w:p>
      <w:pPr>
        <w:spacing w:after="0" w:before="100"/>
      </w:pPr>
      <w:hyperlink w:history="1" w:anchor="sec5">
        <w:r>
          <w:rPr>
            <w:rFonts w:ascii="Garamond" w:cs="Garamond" w:eastAsia="Garamond" w:hAnsi="Garamond"/>
            <w:b/>
            <w:bCs/>
            <w:color w:val="000000"/>
            <w:sz w:val="24"/>
            <w:szCs w:val="24"/>
            <w:u w:val="single"/>
          </w:rPr>
          <w:t xml:space="preserve">Netherlands</w:t>
        </w:r>
      </w:hyperlink>
    </w:p>
    <w:p>
      <w:pPr>
        <w:spacing w:after="60"/>
      </w:pPr>
      <w:r>
        <w:rPr>
          <w:rFonts w:ascii="Garamond" w:cs="Garamond" w:eastAsia="Garamond" w:hAnsi="Garamond"/>
          <w:color w:val="555555"/>
          <w:sz w:val="20"/>
          <w:szCs w:val="20"/>
        </w:rPr>
        <w:t xml:space="preserve">Grant to schools for re-hiring former teachers, 2017–2022</w:t>
      </w:r>
    </w:p>
    <w:p>
      <w:pPr>
        <w:spacing w:after="0" w:before="100"/>
      </w:pPr>
      <w:hyperlink w:history="1" w:anchor="sec6">
        <w:r>
          <w:rPr>
            <w:rFonts w:ascii="Garamond" w:cs="Garamond" w:eastAsia="Garamond" w:hAnsi="Garamond"/>
            <w:b/>
            <w:bCs/>
            <w:color w:val="000000"/>
            <w:sz w:val="24"/>
            <w:szCs w:val="24"/>
            <w:u w:val="single"/>
          </w:rPr>
          <w:t xml:space="preserve">United States</w:t>
        </w:r>
      </w:hyperlink>
    </w:p>
    <w:p>
      <w:pPr>
        <w:spacing w:after="60"/>
      </w:pPr>
      <w:r>
        <w:rPr>
          <w:rFonts w:ascii="Garamond" w:cs="Garamond" w:eastAsia="Garamond" w:hAnsi="Garamond"/>
          <w:color w:val="555555"/>
          <w:sz w:val="20"/>
          <w:szCs w:val="20"/>
        </w:rPr>
        <w:t xml:space="preserve">State laws on retired teachers returning to work</w:t>
      </w:r>
    </w:p>
    <w:p>
      <w:r>
        <w:br w:type="page"/>
      </w:r>
    </w:p>
    <w:p>
      <w:pPr>
        <w:pStyle w:val="Heading1"/>
        <w:spacing w:after="200" w:before="0"/>
      </w:pPr>
      <w:bookmarkStart w:name="sec0" w:id="1"/>
      <w:r>
        <w:rPr>
          <w:rFonts w:ascii="Garamond" w:cs="Garamond" w:eastAsia="Garamond" w:hAnsi="Garamond"/>
          <w:b/>
          <w:bCs/>
          <w:color w:val="000000"/>
          <w:sz w:val="32"/>
          <w:szCs w:val="32"/>
        </w:rPr>
        <w:t xml:space="preserve">Introduction</w:t>
      </w:r>
      <w:bookmarkEnd w:id="1"/>
    </w:p>
    <w:p>
      <w:pPr>
        <w:spacing w:after="100" w:before="100"/>
      </w:pPr>
      <w:r>
        <w:rPr>
          <w:rFonts w:ascii="Garamond" w:cs="Garamond" w:eastAsia="Garamond" w:hAnsi="Garamond"/>
          <w:b w:val="false"/>
          <w:bCs w:val="false"/>
          <w:color w:val="000000"/>
          <w:sz w:val="24"/>
          <w:szCs w:val="24"/>
        </w:rPr>
        <w:t xml:space="preserve">We are working on a chapter about former teachers for an OECD project on the diversity of routes into the teaching profession. We are gathering the policies and the experiences that countries have used to bring former teachers back to the classroom — teachers who retired, teachers who moved into another sector, and teachers who left work altogether.</w:t>
      </w:r>
    </w:p>
    <w:p>
      <w:pPr>
        <w:spacing w:after="100" w:before="100"/>
      </w:pPr>
      <w:r>
        <w:rPr>
          <w:rFonts w:ascii="Garamond" w:cs="Garamond" w:eastAsia="Garamond" w:hAnsi="Garamond"/>
          <w:b w:val="false"/>
          <w:bCs w:val="false"/>
          <w:color w:val="000000"/>
          <w:sz w:val="24"/>
          <w:szCs w:val="24"/>
        </w:rPr>
        <w:t xml:space="preserve">What we are after is not the design on paper, which we can read, but what actually happened: what worked, what did not, and what the people who ran these policies would tell a country thinking of doing the same.</w:t>
      </w:r>
    </w:p>
    <w:p>
      <w:pPr>
        <w:spacing w:after="100" w:before="100"/>
      </w:pPr>
      <w:r>
        <w:rPr>
          <w:rFonts w:ascii="Garamond" w:cs="Garamond" w:eastAsia="Garamond" w:hAnsi="Garamond"/>
          <w:b w:val="false"/>
          <w:bCs w:val="false"/>
          <w:color w:val="000000"/>
          <w:sz w:val="24"/>
          <w:szCs w:val="24"/>
        </w:rPr>
        <w:t xml:space="preserve">The third part of our work is about the teachers themselves. We are characterising why teachers leave, and we want to see whether the policies that try to bring them back speak to those reasons or to something else.</w:t>
      </w:r>
    </w:p>
    <w:p>
      <w:pPr>
        <w:spacing w:after="100" w:before="100"/>
      </w:pPr>
      <w:r>
        <w:rPr>
          <w:rFonts w:ascii="Garamond" w:cs="Garamond" w:eastAsia="Garamond" w:hAnsi="Garamond"/>
          <w:b w:val="false"/>
          <w:bCs w:val="false"/>
          <w:color w:val="000000"/>
          <w:sz w:val="24"/>
          <w:szCs w:val="24"/>
        </w:rPr>
        <w:t xml:space="preserve">This conversation is to understand your experience. There are no right answers, and anything you cannot discuss, we simply leave aside.</w:t>
      </w:r>
    </w:p>
    <w:p>
      <w:r>
        <w:br w:type="page"/>
      </w:r>
    </w:p>
    <w:p>
      <w:pPr>
        <w:pStyle w:val="Heading1"/>
        <w:spacing w:after="0" w:before="0"/>
      </w:pPr>
      <w:bookmarkStart w:name="sec1" w:id="1"/>
      <w:r>
        <w:rPr>
          <w:rFonts w:ascii="Garamond" w:cs="Garamond" w:eastAsia="Garamond" w:hAnsi="Garamond"/>
          <w:b/>
          <w:bCs/>
          <w:color w:val="000000"/>
          <w:sz w:val="32"/>
          <w:szCs w:val="32"/>
        </w:rPr>
        <w:t xml:space="preserve">New South Wales</w:t>
      </w:r>
      <w:bookmarkEnd w:id="1"/>
    </w:p>
    <w:p>
      <w:pPr>
        <w:spacing w:after="240"/>
      </w:pPr>
      <w:r>
        <w:rPr>
          <w:rFonts w:ascii="Garamond" w:cs="Garamond" w:eastAsia="Garamond" w:hAnsi="Garamond"/>
          <w:i/>
          <w:iCs/>
          <w:color w:val="555555"/>
          <w:sz w:val="22"/>
          <w:szCs w:val="22"/>
        </w:rPr>
        <w:t xml:space="preserve">Teachers Re-Engage, since 2023</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the School Workforce directorate of the NSW Department of Education, which runs attraction, engagement and retention and places teachers in public schools.</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From November 2023 the Department went through its own records of teachers who had left in the previous five years and approached more than 1,500 of them; by May 2024, 260 had expressed interest and 145 had been linked with schools, about six in ten of them out of retirement. Returners are helped with accreditation, approval to teach and the working-with-children check, and register on the casual booking platform the schools use; a streamlined re-accreditation route for retired teachers appeared at the standards authority in the same month the calls began. The press described the outreach as cold-calling; the Department itself has never said what the channel was. Nothing programme-specific has been published since May 2024.</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idea come about?</w:t>
      </w:r>
      <w:r>
        <w:rPr>
          <w:rFonts w:ascii="Garamond" w:cs="Garamond" w:eastAsia="Garamond" w:hAnsi="Garamond"/>
          <w:b w:val="false"/>
          <w:bCs w:val="false"/>
          <w:color w:val="000000"/>
          <w:sz w:val="24"/>
          <w:szCs w:val="24"/>
        </w:rPr>
        <w:t xml:space="preserve"> We are interested in the moment someone said: rather than advertise, let us go back to the teachers who have already left.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convinced, inside the Department or outside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 model you were looking at, here or elsewhere?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Going back to your own records to find former teachers is something very few systems do. How did you build that list, and how were people approached?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you have to settle before contacting people who no longer worked for you?</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a phone call, a letter, an e-mail — and what was actually said?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list everyone who had left, or a selection?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did people say back?</w:t>
      </w:r>
      <w:r>
        <w:rPr>
          <w:rFonts w:ascii="Garamond" w:cs="Garamond" w:eastAsia="Garamond" w:hAnsi="Garamond"/>
          <w:b w:val="false"/>
          <w:bCs w:val="false"/>
          <w:color w:val="000000"/>
          <w:sz w:val="24"/>
          <w:szCs w:val="24"/>
        </w:rPr>
        <w:t xml:space="preserve"> We are as interested in those who said no as in those who said yes.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reasons for saying no cluster around anything?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anyone say no at first and come round later?</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Once someone was interested, what happened next, and where did people get stuck?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accreditation route for retired teachers changed the same month. Was that designed alongside this, or did it happen to coincide?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process really changed for these teachers, or was it the same process with someone walking them through it?</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back, and into what?</w:t>
      </w:r>
      <w:r>
        <w:rPr>
          <w:rFonts w:ascii="Garamond" w:cs="Garamond" w:eastAsia="Garamond" w:hAnsi="Garamond"/>
          <w:b w:val="false"/>
          <w:bCs w:val="false"/>
          <w:color w:val="000000"/>
          <w:sz w:val="24"/>
          <w:szCs w:val="24"/>
        </w:rPr>
        <w:t xml:space="preserve"> We can see that about six in ten were retirees; we would like to hear about the rest, and about the work they took.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Casual, temporary, permanent — did the kind of work they wanted match what schools needed?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they go where the shortage was, or where they lived?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The Department has said the pay rise and the cut in administrative work helped. From where you sat, how much was the outreach and how much was that everything else had changed?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When you think about why teachers leave this system, are the ones who came back the same people, or a different group?</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returners say about why they had left, and about what had changed for them?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 kind of leaver this approach does not reach?</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happened to them afterwards, and what would you say the initiative taught you?</w:t>
      </w:r>
      <w:r>
        <w:rPr>
          <w:rFonts w:ascii="Garamond" w:cs="Garamond" w:eastAsia="Garamond" w:hAnsi="Garamond"/>
          <w:b w:val="false"/>
          <w:bCs w:val="false"/>
          <w:color w:val="000000"/>
          <w:sz w:val="24"/>
          <w:szCs w:val="24"/>
        </w:rPr>
        <w:t xml:space="preserve"> We have never seen figures past May 2024.</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Were any of the 145 still teaching a year later? Did any move to permanent posts?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 formally or informally, and was it worth the effort?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it stand now, and what would you do differently?</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a colleague, in the Department or at the standards authority, who was close to this and could speak to the experience and the results?</w:t>
      </w:r>
      <w:r>
        <w:rPr>
          <w:rFonts w:ascii="Garamond" w:cs="Garamond" w:eastAsia="Garamond" w:hAnsi="Garamond"/>
          <w:b w:val="false"/>
          <w:bCs w:val="false"/>
          <w:color w:val="000000"/>
          <w:sz w:val="24"/>
          <w:szCs w:val="24"/>
        </w:rPr>
        <w:t xml:space="preserve"> We would be very grateful for an introduction.</w:t>
      </w:r>
    </w:p>
    <w:p>
      <w:r>
        <w:br w:type="page"/>
      </w:r>
    </w:p>
    <w:p>
      <w:pPr>
        <w:pStyle w:val="Heading1"/>
        <w:spacing w:after="0" w:before="0"/>
      </w:pPr>
      <w:bookmarkStart w:name="sec2" w:id="1"/>
      <w:r>
        <w:rPr>
          <w:rFonts w:ascii="Garamond" w:cs="Garamond" w:eastAsia="Garamond" w:hAnsi="Garamond"/>
          <w:b/>
          <w:bCs/>
          <w:color w:val="000000"/>
          <w:sz w:val="32"/>
          <w:szCs w:val="32"/>
        </w:rPr>
        <w:t xml:space="preserve">Victoria</w:t>
      </w:r>
      <w:bookmarkEnd w:id="1"/>
    </w:p>
    <w:p>
      <w:pPr>
        <w:spacing w:after="240"/>
      </w:pPr>
      <w:r>
        <w:rPr>
          <w:rFonts w:ascii="Garamond" w:cs="Garamond" w:eastAsia="Garamond" w:hAnsi="Garamond"/>
          <w:i/>
          <w:iCs/>
          <w:color w:val="555555"/>
          <w:sz w:val="22"/>
          <w:szCs w:val="22"/>
        </w:rPr>
        <w:t xml:space="preserve">Teacher Re-Engagement Initiative, since 2022</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the re-engagement team in the Department of Education, in the area responsible for attracting teachers to government schools.</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The initiative began in late 2022 as a call for expressions of interest, which more than 1,100 teachers answered, and the money followed: the 2023/24 State Budget put 12 million dollars into paid placements of up to forty days in government schools, with placements to be completed by June 2025. A teacher who has been away from a fixed-term or ongoing role for a year or more registers, the team calls them, coaching is offered on applications and the current curriculum, and a placement is arranged with a serving teacher alongside; those returning from a career break or retirement receive an honorarium of up to 12,000 dollars. Teachers returning from more than two years of parental absence are on a different footing: a temporary resumption of duty on their own salary. As far as we can tell from the current departmental pages, the placement is now described as school-funded, at 330 dollars a day. No figure has been published on placements made or on how many went on to a post.</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How did the idea come about?</w:t>
      </w:r>
      <w:r>
        <w:rPr>
          <w:rFonts w:ascii="Garamond" w:cs="Garamond" w:eastAsia="Garamond" w:hAnsi="Garamond"/>
          <w:b w:val="false"/>
          <w:bCs w:val="false"/>
          <w:color w:val="000000"/>
          <w:sz w:val="24"/>
          <w:szCs w:val="24"/>
        </w:rPr>
        <w:t xml:space="preserve"> We understand the expressions of interest came first and the budget afterwards, which is the reverse of the usual order.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was the thinking in paying someone to try the classroom before they decide, rather than asking them to decide first?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else was on the table at the time?</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Could you walk us through what happens from the moment a teacher registers to the moment they walk into a school?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call from the team actually cover?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teachers and schools matched, and what happens to someone who cannot be placed?</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school take on when it hosts a returner, and what does it get out of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the serving teacher alongside them actually do, and how is that found inside the timetable?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forty days a fixed shape, or does it become something different for each person?</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We noticed the placement is now described as funded by the school rather than centrally. Is that right, and if so, how did it come about?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changed in schools' willingness to host once they were paying?</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came forward?</w:t>
      </w:r>
      <w:r>
        <w:rPr>
          <w:rFonts w:ascii="Garamond" w:cs="Garamond" w:eastAsia="Garamond" w:hAnsi="Garamond"/>
          <w:b w:val="false"/>
          <w:bCs w:val="false"/>
          <w:color w:val="000000"/>
          <w:sz w:val="24"/>
          <w:szCs w:val="24"/>
        </w:rPr>
        <w:t xml:space="preserve"> Was it the people you expected?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Of the things on offer — the paid days, the coaching, the mentor, the way back into a school — which one do people actually come for?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Teachers returning from parental leave are treated differently from retirees and career-break returners. How did that come about, and does it work?</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When you think about why teachers leave Victorian schools, are the ones who came back the same people, or a different group?</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did they tell you about why they had left, and what worried them most about coming back?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paid re-entry reach the teacher who left because of the job itself?</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What happened after the placements?</w:t>
      </w:r>
      <w:r>
        <w:rPr>
          <w:rFonts w:ascii="Garamond" w:cs="Garamond" w:eastAsia="Garamond" w:hAnsi="Garamond"/>
          <w:b w:val="false"/>
          <w:bCs w:val="false"/>
          <w:color w:val="000000"/>
          <w:sz w:val="24"/>
          <w:szCs w:val="24"/>
        </w:rPr>
        <w:t xml:space="preserve"> We have not seen a figure anywhere.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took a post, who did not, and what became of those who decided the classroom was not for them after all?</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any of it been evaluated, and what did the cost look like against what it produced?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Where does the initiative stand now, and what would you change if you were designing it again?</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a colleague who has run this closely and could speak to the experience and the results?</w:t>
      </w:r>
      <w:r>
        <w:rPr>
          <w:rFonts w:ascii="Garamond" w:cs="Garamond" w:eastAsia="Garamond" w:hAnsi="Garamond"/>
          <w:b w:val="false"/>
          <w:bCs w:val="false"/>
          <w:color w:val="000000"/>
          <w:sz w:val="24"/>
          <w:szCs w:val="24"/>
        </w:rPr>
        <w:t xml:space="preserve"> We would be very grateful for an introduction.</w:t>
      </w:r>
    </w:p>
    <w:p>
      <w:r>
        <w:br w:type="page"/>
      </w:r>
    </w:p>
    <w:p>
      <w:pPr>
        <w:pStyle w:val="Heading1"/>
        <w:spacing w:after="0" w:before="0"/>
      </w:pPr>
      <w:bookmarkStart w:name="sec3" w:id="1"/>
      <w:r>
        <w:rPr>
          <w:rFonts w:ascii="Garamond" w:cs="Garamond" w:eastAsia="Garamond" w:hAnsi="Garamond"/>
          <w:b/>
          <w:bCs/>
          <w:color w:val="000000"/>
          <w:sz w:val="32"/>
          <w:szCs w:val="32"/>
        </w:rPr>
        <w:t xml:space="preserve">Quebec</w:t>
      </w:r>
      <w:bookmarkEnd w:id="1"/>
    </w:p>
    <w:p>
      <w:pPr>
        <w:spacing w:after="240"/>
      </w:pPr>
      <w:r>
        <w:rPr>
          <w:rFonts w:ascii="Garamond" w:cs="Garamond" w:eastAsia="Garamond" w:hAnsi="Garamond"/>
          <w:i/>
          <w:iCs/>
          <w:color w:val="555555"/>
          <w:sz w:val="22"/>
          <w:szCs w:val="22"/>
        </w:rPr>
        <w:t xml:space="preserve">Measure 15178, pay for returning retired teachers, since 2020</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the direction of the Ministère de l'Éducation responsible for teaching staff and for the operating budget rules of the centres de services scolaires.</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The measure was announced on 21 September 2020 as a pandemic response and sits in the Règles budgétaires de fonctionnement of the school service centres, where it now appears as measure 15178 in several volets. A retired teacher doing supply work is paid from the first day at the salary step and experience held at retirement, where the ordinary rules grant that step only after twenty days, and the pension continues because the retiree may elect not to rejoin the pension plan. It was at first limited to teachers who had retired since July 2015; a ministerial act effective in late January 2022 removed that condition and the measure was announced as permanent the same month. It rests on an agreement outside the collective agreement, between the employers' negotiating committee and the teaching unions, renewed on a school-year cycle. The minister has written personally to retired teachers twice, in June 2023 and August 2025. The ministry's figure for 2024-25 is more than 5,000 retirees back in schools; the press has since reported that some school service centres place retirees last on the supply list because they cost more.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Could you tell us how this came about in 2020?</w:t>
      </w:r>
      <w:r>
        <w:rPr>
          <w:rFonts w:ascii="Garamond" w:cs="Garamond" w:eastAsia="Garamond" w:hAnsi="Garamond"/>
          <w:b w:val="false"/>
          <w:bCs w:val="false"/>
          <w:color w:val="000000"/>
          <w:sz w:val="24"/>
          <w:szCs w:val="24"/>
        </w:rPr>
        <w:t xml:space="preserve"> We are interested in why a pay rule was chosen, rather than a programme, a campaign or a change to the pension rules.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agree before it could exist, and what was the hardest part of that conversation?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 reason it went into the budget rules rather than into the collective agreement?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The measure is permanent on the budget side, but the agreement that carries it is renewed each year with the unions. How does that work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gets renegotiated, and what has changed from one year to the next?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will decide whether it is renewed again?</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the measure look like from the school service centre's side?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do they draw on it, and what do they have to show?</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We have read that some centres call retirees last because they cost more. Is that something you recognise, and is the premium borne centrally or by the school?</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and to do what?</w:t>
      </w:r>
      <w:r>
        <w:rPr>
          <w:rFonts w:ascii="Garamond" w:cs="Garamond" w:eastAsia="Garamond" w:hAnsi="Garamond"/>
          <w:b w:val="false"/>
          <w:bCs w:val="false"/>
          <w:color w:val="000000"/>
          <w:sz w:val="24"/>
          <w:szCs w:val="24"/>
        </w:rPr>
        <w:t xml:space="preserve"> We would like to hear what kind of retired teacher takes this up, how long after retiring, and whether they do supply days, contracts or something else.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Which do retirees actually take up — occasional supply, or the contract with its own incentive?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choice not to rejoin the pension plan explained to them, or something they have to find out?</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The minister has written to retired teachers twice. What came of those letters, and what do they tell you about what moves this group?</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say no?</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When you think about why teachers leave Quebec's schools, are the retirees who come back covering for the same problem, or a different one?</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changed how schools cover absences, and has it changed anything about the number of classrooms without a qualified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it reach the teacher who left mid-career, or only the one who retired?</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take-up developed since 2020, and how do you follow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 5,000 count anyone paid for a single day, or people with a meaningful volume of work?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ministry assessed the measure, and what would you say it has and has not solved?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a colleague who has followed this closely and could speak to the experience and the results?</w:t>
      </w:r>
      <w:r>
        <w:rPr>
          <w:rFonts w:ascii="Garamond" w:cs="Garamond" w:eastAsia="Garamond" w:hAnsi="Garamond"/>
          <w:b w:val="false"/>
          <w:bCs w:val="false"/>
          <w:color w:val="000000"/>
          <w:sz w:val="24"/>
          <w:szCs w:val="24"/>
        </w:rPr>
        <w:t xml:space="preserve"> An introduction would be very welcome.</w:t>
      </w:r>
    </w:p>
    <w:p>
      <w:pPr>
        <w:spacing w:after="100" w:before="100"/>
      </w:pPr>
      <w:r>
        <w:rPr>
          <w:rFonts w:ascii="Garamond" w:cs="Garamond" w:eastAsia="Garamond" w:hAnsi="Garamond"/>
          <w:b/>
          <w:bCs/>
          <w:color w:val="000000"/>
          <w:sz w:val="24"/>
          <w:szCs w:val="24"/>
        </w:rPr>
        <w:t xml:space="preserve">Note for the interviewer.</w:t>
      </w:r>
      <w:r>
        <w:rPr>
          <w:rFonts w:ascii="Garamond" w:cs="Garamond" w:eastAsia="Garamond" w:hAnsi="Garamond"/>
          <w:b w:val="false"/>
          <w:bCs w:val="false"/>
          <w:color w:val="000000"/>
          <w:sz w:val="24"/>
          <w:szCs w:val="24"/>
        </w:rPr>
        <w:t xml:space="preserve"> Two things the public record does not settle and that we could ask in passing: the number and official citation of the ministerial act of January 2022, and whether the measure carried the number 15178 from the start. Both matter for citing the policy correctly.</w:t>
      </w:r>
    </w:p>
    <w:p>
      <w:r>
        <w:br w:type="page"/>
      </w:r>
    </w:p>
    <w:p>
      <w:pPr>
        <w:pStyle w:val="Heading1"/>
        <w:spacing w:after="0" w:before="0"/>
      </w:pPr>
      <w:bookmarkStart w:name="sec4" w:id="1"/>
      <w:r>
        <w:rPr>
          <w:rFonts w:ascii="Garamond" w:cs="Garamond" w:eastAsia="Garamond" w:hAnsi="Garamond"/>
          <w:b/>
          <w:bCs/>
          <w:color w:val="000000"/>
          <w:sz w:val="32"/>
          <w:szCs w:val="32"/>
        </w:rPr>
        <w:t xml:space="preserve">China</w:t>
      </w:r>
      <w:bookmarkEnd w:id="1"/>
    </w:p>
    <w:p>
      <w:pPr>
        <w:spacing w:after="240"/>
      </w:pPr>
      <w:r>
        <w:rPr>
          <w:rFonts w:ascii="Garamond" w:cs="Garamond" w:eastAsia="Garamond" w:hAnsi="Garamond"/>
          <w:i/>
          <w:iCs/>
          <w:color w:val="555555"/>
          <w:sz w:val="22"/>
          <w:szCs w:val="22"/>
        </w:rPr>
        <w:t xml:space="preserve">Silver-Age Lecturing Plan, since 2018</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the Teacher Work Department of the Ministry of Education, which issues the plan with the Ministry of Finance, and, if possible, a provincial education department that recruits for it.</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runs province by province against named posts; the county education bureau signs an agreement with the teacher, renewed each year, for at least one school year, and the teacher supplies a recent health certificate. The pension is untouched and the work is funded at 20,000 yuan per person per year, shared between central and local budgets, covering an allowance, travel and accident insurance; the county provides housing. In 2023 ten government departments extended the model to higher, vocational and private education, with a target of around 120,000 silver-age teachers within roughly three years. The annual plan has been 7,000 teachers for compulsory education in both 2024 and 2025, and the annual notices ask provinces to raise their completion rate.</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Could you tell us how the plan started in 2018, and what it was meant to do that other measures for rural schools were not doing?</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Why retired teachers, rather than more posts for young ones?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In 2023 it grew into something much larger. What changed in the thinking?</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Could you describe how a retired teacher goes from hearing about the plan to standing in a classroom in a county far from home?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decides which counties and schools receive a teacher, and how is that demand established?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are applicants chosen when there are more, or fewer, than the posts?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silver-age teacher actually do in the school week?</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Teaching, working with the young teachers, advising the school leadership — how does that balance settle in practice?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 young teachers in those schools get from having them there?</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The plan pays an allowance on top of the pension, the county provides housing, and the agreement is renewed each year. How was that arrangement arrived at, and does it work for the teachers and for the counties?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does a county look at when it decides to renew?</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How long do teachers tend to stay?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applies?</w:t>
      </w:r>
      <w:r>
        <w:rPr>
          <w:rFonts w:ascii="Garamond" w:cs="Garamond" w:eastAsia="Garamond" w:hAnsi="Garamond"/>
          <w:b w:val="false"/>
          <w:bCs w:val="false"/>
          <w:color w:val="000000"/>
          <w:sz w:val="24"/>
          <w:szCs w:val="24"/>
        </w:rPr>
        <w:t xml:space="preserve"> We would like to understand what moves a retired principal or senior teacher to spend a year in a rural county.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they find hardest — distance from family, health, the difference between the schools they knew and the ones they arrive in?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those who leave early say?</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When you think about why teachers leave rural schools, or never go to them, is the silver-age teacher an answer to that, or a different kind of answer?</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a retired teacher in the school change anything about whether the young ones stay?</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How has recruitment gone against the annual plan, and where does the difficulty lie?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2023 plan sets a figure of around 120,000. How is progress measured, and where does it stand?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anyone looked at what the plan has changed in the receiving schools?</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What would you say a country with an ageing teaching profession should take from this, and what should it avoid?</w:t>
      </w:r>
    </w:p>
    <w:p>
      <w:pPr>
        <w:spacing w:after="60" w:before="200"/>
        <w:ind w:left="504" w:hanging="504"/>
      </w:pPr>
      <w:r>
        <w:rPr>
          <w:rFonts w:ascii="Garamond" w:cs="Garamond" w:eastAsia="Garamond" w:hAnsi="Garamond"/>
          <w:b/>
          <w:bCs/>
          <w:color w:val="000000"/>
          <w:sz w:val="24"/>
          <w:szCs w:val="24"/>
        </w:rPr>
        <w:t xml:space="preserve">9.	</w:t>
      </w:r>
      <w:r>
        <w:rPr>
          <w:rFonts w:ascii="Garamond" w:cs="Garamond" w:eastAsia="Garamond" w:hAnsi="Garamond"/>
          <w:b/>
          <w:bCs/>
          <w:color w:val="000000"/>
          <w:sz w:val="24"/>
          <w:szCs w:val="24"/>
        </w:rPr>
        <w:t xml:space="preserve">Is there a colleague at the ministry, or at a provincial education department that has recruited for the plan, who could speak to the experience and the results?</w:t>
      </w:r>
      <w:r>
        <w:rPr>
          <w:rFonts w:ascii="Garamond" w:cs="Garamond" w:eastAsia="Garamond" w:hAnsi="Garamond"/>
          <w:b w:val="false"/>
          <w:bCs w:val="false"/>
          <w:color w:val="000000"/>
          <w:sz w:val="24"/>
          <w:szCs w:val="24"/>
        </w:rPr>
        <w:t xml:space="preserve"> We would be very grateful for an introduction.</w:t>
      </w:r>
    </w:p>
    <w:p>
      <w:r>
        <w:br w:type="page"/>
      </w:r>
    </w:p>
    <w:p>
      <w:pPr>
        <w:pStyle w:val="Heading1"/>
        <w:spacing w:after="0" w:before="0"/>
      </w:pPr>
      <w:bookmarkStart w:name="sec5" w:id="1"/>
      <w:r>
        <w:rPr>
          <w:rFonts w:ascii="Garamond" w:cs="Garamond" w:eastAsia="Garamond" w:hAnsi="Garamond"/>
          <w:b/>
          <w:bCs/>
          <w:color w:val="000000"/>
          <w:sz w:val="32"/>
          <w:szCs w:val="32"/>
        </w:rPr>
        <w:t xml:space="preserve">Netherlands</w:t>
      </w:r>
      <w:bookmarkEnd w:id="1"/>
    </w:p>
    <w:p>
      <w:pPr>
        <w:spacing w:after="240"/>
      </w:pPr>
      <w:r>
        <w:rPr>
          <w:rFonts w:ascii="Garamond" w:cs="Garamond" w:eastAsia="Garamond" w:hAnsi="Garamond"/>
          <w:i/>
          <w:iCs/>
          <w:color w:val="555555"/>
          <w:sz w:val="22"/>
          <w:szCs w:val="22"/>
        </w:rPr>
        <w:t xml:space="preserve">Grant to schools for re-hiring former teachers, 2017–2022</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the primary-education directorate of the Ministry of Education, Culture and Science, and the grant agency that handled the applications (DUS-I).</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The regulation took effect on 1 November 2017 and paid a primary-school board up to 2,500 euros for each qualified teacher it took on who had not worked in primary education for at least a year, on a contract of six months or more. The money went to the board, not the teacher, for the guidance and support a returner needs in the first months. The first budget was 1.25 million euros, enough for about 500 returners; a 2019 amendment extended the scheme, applications were accepted until 1 November 2020, and the regulation expired on 1 January 2022. In mid-2019 the ministry reported that more than a hundred returners had used it, against a pool of qualified teachers outside education that the ministry itself put in the tens of thousands. A Dutch teaching qualification does not expire, so there is no re-licensing step on the way back.</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Could you tell us how the scheme came about in 2017, and what the thinking was in paying the school rather than the teacher?</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that design debated at the time? What would the alternative have been?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inside the ministry, or outside it, pushed for it?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What did a school board actually have to do to claim it, and what did they spend the money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2,500 euros change a board's decision, or did they hire the person anyway and claim afterwards?</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Our reading of the figures is that a good deal less of the money was used than was available. Is that right, and what was behind it?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 scheme known to schools?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six-month contract or the twelve-month absence rule get in the way?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In 2019 the scheme was extended rather than dropped, and then it ran out at the beginning of 2022 without being replaced by anything of the same kind. How were those two decisions made?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it evaluated, and what did it teach you?</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Did the work move into the regional partnerships, and does anyone there still target returners specifically?</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Who are the herintreders, in your experience?</w:t>
      </w:r>
      <w:r>
        <w:rPr>
          <w:rFonts w:ascii="Garamond" w:cs="Garamond" w:eastAsia="Garamond" w:hAnsi="Garamond"/>
          <w:b w:val="false"/>
          <w:bCs w:val="false"/>
          <w:color w:val="000000"/>
          <w:sz w:val="24"/>
          <w:szCs w:val="24"/>
        </w:rPr>
        <w:t xml:space="preserve"> We are aware the definition also covers people who qualified and never started.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they say about why they left primary teaching, and about what makes coming back possible?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Does the fact that a qualification never expires make returning easier, or does it simply move the difficulty somewhere else?</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When you think about why primary teachers leave — workload, class size, leadership — does a grant to the school reach that, or something else?</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The number of returners in primary education has fallen over the last decade while the shortage continued. How do you read that?</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The debate about the silent reserve now seems to be about whether that pool is really available, given how many are already working elsewhere. Where has the ministry landed, and what follows from it for policy?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Do you know whether the teachers who came back through the scheme stayed?</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a colleague at the ministry, or at the agency that handled the applications, who followed the scheme closely and could speak to the experience and the results?</w:t>
      </w:r>
      <w:r>
        <w:rPr>
          <w:rFonts w:ascii="Garamond" w:cs="Garamond" w:eastAsia="Garamond" w:hAnsi="Garamond"/>
          <w:b w:val="false"/>
          <w:bCs w:val="false"/>
          <w:color w:val="000000"/>
          <w:sz w:val="24"/>
          <w:szCs w:val="24"/>
        </w:rPr>
        <w:t xml:space="preserve"> We would be grateful if you could point us to them.</w:t>
      </w:r>
    </w:p>
    <w:p>
      <w:r>
        <w:br w:type="page"/>
      </w:r>
    </w:p>
    <w:p>
      <w:pPr>
        <w:pStyle w:val="Heading1"/>
        <w:spacing w:after="0" w:before="0"/>
      </w:pPr>
      <w:bookmarkStart w:name="sec6" w:id="1"/>
      <w:r>
        <w:rPr>
          <w:rFonts w:ascii="Garamond" w:cs="Garamond" w:eastAsia="Garamond" w:hAnsi="Garamond"/>
          <w:b/>
          <w:bCs/>
          <w:color w:val="000000"/>
          <w:sz w:val="32"/>
          <w:szCs w:val="32"/>
        </w:rPr>
        <w:t xml:space="preserve">United States</w:t>
      </w:r>
      <w:bookmarkEnd w:id="1"/>
    </w:p>
    <w:p>
      <w:pPr>
        <w:spacing w:after="240"/>
      </w:pPr>
      <w:r>
        <w:rPr>
          <w:rFonts w:ascii="Garamond" w:cs="Garamond" w:eastAsia="Garamond" w:hAnsi="Garamond"/>
          <w:i/>
          <w:iCs/>
          <w:color w:val="555555"/>
          <w:sz w:val="22"/>
          <w:szCs w:val="22"/>
        </w:rPr>
        <w:t xml:space="preserve">State laws on retired teachers returning to work</w:t>
      </w:r>
    </w:p>
    <w:p>
      <w:pPr>
        <w:spacing w:after="100" w:before="100"/>
      </w:pPr>
      <w:r>
        <w:rPr>
          <w:rFonts w:ascii="Garamond" w:cs="Garamond" w:eastAsia="Garamond" w:hAnsi="Garamond"/>
          <w:b/>
          <w:bCs/>
          <w:color w:val="000000"/>
          <w:sz w:val="24"/>
          <w:szCs w:val="24"/>
        </w:rPr>
        <w:t xml:space="preserve">Who to ask for:</w:t>
      </w:r>
      <w:r>
        <w:rPr>
          <w:rFonts w:ascii="Garamond" w:cs="Garamond" w:eastAsia="Garamond" w:hAnsi="Garamond"/>
          <w:b w:val="false"/>
          <w:bCs w:val="false"/>
          <w:color w:val="000000"/>
          <w:sz w:val="24"/>
          <w:szCs w:val="24"/>
        </w:rPr>
        <w:t xml:space="preserve"> in each state, two bodies rather than one — the teachers' retirement system, which administers the return and holds the records, and the department of education or the certification board, which controls the licence. That split is part of the story.</w:t>
      </w:r>
    </w:p>
    <w:p>
      <w:pPr>
        <w:spacing w:after="100" w:before="100"/>
      </w:pPr>
      <w:r>
        <w:rPr>
          <w:rFonts w:ascii="Garamond" w:cs="Garamond" w:eastAsia="Garamond" w:hAnsi="Garamond"/>
          <w:b/>
          <w:bCs/>
          <w:color w:val="000000"/>
          <w:sz w:val="24"/>
          <w:szCs w:val="24"/>
        </w:rPr>
        <w:t xml:space="preserve">What we already know, so we do not ask it.</w:t>
      </w:r>
      <w:r>
        <w:rPr>
          <w:rFonts w:ascii="Garamond" w:cs="Garamond" w:eastAsia="Garamond" w:hAnsi="Garamond"/>
          <w:b w:val="false"/>
          <w:bCs w:val="false"/>
          <w:color w:val="000000"/>
          <w:sz w:val="24"/>
          <w:szCs w:val="24"/>
        </w:rPr>
        <w:t xml:space="preserve"> Almost every state lets a retired teacher come back under conditions, and the conditions are built from the same four levers: a waiting period before returning, a ceiling on earnings, a shortage designation the district must establish, and a limit on how long the return may last. The states in our set have moved these levers in different directions. Michigan shortened the wait to six months and removed the earnings ceiling after it, under a law that expires in October 2028. Georgia opened full-time return only to teachers with thirty years of service, in subjects a region had designated as highest-need, and its own audit in 2025 found the measure had little effect — a few hundred teachers a year — with the one-year wait, not the pay rules, as the main deterrent;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restricted its critical-shortage route to people who retired before mid-2020. North Carolina ran the most generous version of all between 1999 and 2009, and published research finds those returners went disproportionately to high-need schools; the policy was allowed to lapse. Virginia went at the licence rather than the pension. Several of these laws were amended in 2025 and 2026: check the current text before the conversation.</w:t>
      </w:r>
    </w:p>
    <w:p>
      <w:pPr>
        <w:pStyle w:val="Heading2"/>
        <w:spacing w:after="80" w:before="240"/>
      </w:pPr>
      <w:r>
        <w:rPr>
          <w:rFonts w:ascii="Garamond" w:cs="Garamond" w:eastAsia="Garamond" w:hAnsi="Garamond"/>
          <w:b/>
          <w:bCs/>
          <w:color w:val="000000"/>
          <w:sz w:val="26"/>
          <w:szCs w:val="26"/>
        </w:rPr>
        <w:t xml:space="preserve">Questions for any of the states</w:t>
      </w:r>
    </w:p>
    <w:p>
      <w:pPr>
        <w:spacing w:after="60" w:before="200"/>
        <w:ind w:left="504" w:hanging="504"/>
      </w:pPr>
      <w:r>
        <w:rPr>
          <w:rFonts w:ascii="Garamond" w:cs="Garamond" w:eastAsia="Garamond" w:hAnsi="Garamond"/>
          <w:b/>
          <w:bCs/>
          <w:color w:val="000000"/>
          <w:sz w:val="24"/>
          <w:szCs w:val="24"/>
        </w:rPr>
        <w:t xml:space="preserve">1.	</w:t>
      </w:r>
      <w:r>
        <w:rPr>
          <w:rFonts w:ascii="Garamond" w:cs="Garamond" w:eastAsia="Garamond" w:hAnsi="Garamond"/>
          <w:b/>
          <w:bCs/>
          <w:color w:val="000000"/>
          <w:sz w:val="24"/>
          <w:szCs w:val="24"/>
        </w:rPr>
        <w:t xml:space="preserve">Could you tell us how this came about in your state, and what problem it was meant to solve?</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Who had to be persuaded: the legislature, the retirement system, the districts, the unions?</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Was there another state you were looking at?</w:t>
      </w:r>
    </w:p>
    <w:p>
      <w:pPr>
        <w:spacing w:after="60" w:before="200"/>
        <w:ind w:left="504" w:hanging="504"/>
      </w:pPr>
      <w:r>
        <w:rPr>
          <w:rFonts w:ascii="Garamond" w:cs="Garamond" w:eastAsia="Garamond" w:hAnsi="Garamond"/>
          <w:b/>
          <w:bCs/>
          <w:color w:val="000000"/>
          <w:sz w:val="24"/>
          <w:szCs w:val="24"/>
        </w:rPr>
        <w:t xml:space="preserve">2.	</w:t>
      </w:r>
      <w:r>
        <w:rPr>
          <w:rFonts w:ascii="Garamond" w:cs="Garamond" w:eastAsia="Garamond" w:hAnsi="Garamond"/>
          <w:b/>
          <w:bCs/>
          <w:color w:val="000000"/>
          <w:sz w:val="24"/>
          <w:szCs w:val="24"/>
        </w:rPr>
        <w:t xml:space="preserve">The rules here are built from a few levers — how long someone waits, how much they may earn, whether the district must show a shortage, how long the return may last. Which of those were argued over most, and why did they land where they did?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 waiting period a pension question, a federal-tax question, or a political one?</w:t>
      </w:r>
    </w:p>
    <w:p>
      <w:pPr>
        <w:spacing w:after="60" w:before="200"/>
        <w:ind w:left="504" w:hanging="504"/>
      </w:pPr>
      <w:r>
        <w:rPr>
          <w:rFonts w:ascii="Garamond" w:cs="Garamond" w:eastAsia="Garamond" w:hAnsi="Garamond"/>
          <w:b/>
          <w:bCs/>
          <w:color w:val="000000"/>
          <w:sz w:val="24"/>
          <w:szCs w:val="24"/>
        </w:rPr>
        <w:t xml:space="preserve">3.	</w:t>
      </w:r>
      <w:r>
        <w:rPr>
          <w:rFonts w:ascii="Garamond" w:cs="Garamond" w:eastAsia="Garamond" w:hAnsi="Garamond"/>
          <w:b/>
          <w:bCs/>
          <w:color w:val="000000"/>
          <w:sz w:val="24"/>
          <w:szCs w:val="24"/>
        </w:rPr>
        <w:t xml:space="preserve">What does a retiree actually have to do to come back, and who decides whether they may?</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Where does the paperwork slow people down?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Licensing sits with a different body from the pension. For someone whose certificate has lapsed, how much of an obstacle is that, and does anyone own that part of the problem?</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must a district show before it can hire a retiree — a real filter or a formality?</w:t>
      </w:r>
    </w:p>
    <w:p>
      <w:pPr>
        <w:spacing w:after="60" w:before="200"/>
        <w:ind w:left="504" w:hanging="504"/>
      </w:pPr>
      <w:r>
        <w:rPr>
          <w:rFonts w:ascii="Garamond" w:cs="Garamond" w:eastAsia="Garamond" w:hAnsi="Garamond"/>
          <w:b/>
          <w:bCs/>
          <w:color w:val="000000"/>
          <w:sz w:val="24"/>
          <w:szCs w:val="24"/>
        </w:rPr>
        <w:t xml:space="preserve">4.	</w:t>
      </w:r>
      <w:r>
        <w:rPr>
          <w:rFonts w:ascii="Garamond" w:cs="Garamond" w:eastAsia="Garamond" w:hAnsi="Garamond"/>
          <w:b/>
          <w:bCs/>
          <w:color w:val="000000"/>
          <w:sz w:val="24"/>
          <w:szCs w:val="24"/>
        </w:rPr>
        <w:t xml:space="preserve">Who comes back, into what kind of posts, and in which schools?</w:t>
      </w:r>
      <w:r>
        <w:rPr>
          <w:rFonts w:ascii="Garamond" w:cs="Garamond" w:eastAsia="Garamond" w:hAnsi="Garamond"/>
          <w:b w:val="false"/>
          <w:bCs w:val="false"/>
          <w:color w:val="000000"/>
          <w:sz w:val="24"/>
          <w:szCs w:val="24"/>
        </w:rPr>
        <w:t xml:space="preserve"> We are particularly interested in whether they end up where the shortage is worst.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do retirees say when they decide not to come back?</w:t>
      </w:r>
    </w:p>
    <w:p>
      <w:pPr>
        <w:spacing w:after="60" w:before="200"/>
        <w:ind w:left="504" w:hanging="504"/>
      </w:pPr>
      <w:r>
        <w:rPr>
          <w:rFonts w:ascii="Garamond" w:cs="Garamond" w:eastAsia="Garamond" w:hAnsi="Garamond"/>
          <w:b/>
          <w:bCs/>
          <w:color w:val="000000"/>
          <w:sz w:val="24"/>
          <w:szCs w:val="24"/>
        </w:rPr>
        <w:t xml:space="preserve">5.	</w:t>
      </w:r>
      <w:r>
        <w:rPr>
          <w:rFonts w:ascii="Garamond" w:cs="Garamond" w:eastAsia="Garamond" w:hAnsi="Garamond"/>
          <w:b/>
          <w:bCs/>
          <w:color w:val="000000"/>
          <w:sz w:val="24"/>
          <w:szCs w:val="24"/>
        </w:rPr>
        <w:t xml:space="preserve">When you think about why teachers leave your state's schools, is a returning retiree an answer to that, or an answer to something else?</w:t>
      </w:r>
      <w:r>
        <w:rPr>
          <w:rFonts w:ascii="Garamond" w:cs="Garamond" w:eastAsia="Garamond" w:hAnsi="Garamond"/>
          <w:b w:val="false"/>
          <w:bCs w:val="false"/>
          <w:color w:val="000000"/>
          <w:sz w:val="24"/>
          <w:szCs w:val="24"/>
        </w:rPr>
        <w:t xml:space="preserve"> This is the question our chapter turns 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Is there a concern that returning retirees take positions that would otherwise go to teachers starting out — and has anyone looked?</w:t>
      </w:r>
    </w:p>
    <w:p>
      <w:pPr>
        <w:spacing w:after="60" w:before="200"/>
        <w:ind w:left="504" w:hanging="504"/>
      </w:pPr>
      <w:r>
        <w:rPr>
          <w:rFonts w:ascii="Garamond" w:cs="Garamond" w:eastAsia="Garamond" w:hAnsi="Garamond"/>
          <w:b/>
          <w:bCs/>
          <w:color w:val="000000"/>
          <w:sz w:val="24"/>
          <w:szCs w:val="24"/>
        </w:rPr>
        <w:t xml:space="preserve">6.	</w:t>
      </w:r>
      <w:r>
        <w:rPr>
          <w:rFonts w:ascii="Garamond" w:cs="Garamond" w:eastAsia="Garamond" w:hAnsi="Garamond"/>
          <w:b/>
          <w:bCs/>
          <w:color w:val="000000"/>
          <w:sz w:val="24"/>
          <w:szCs w:val="24"/>
        </w:rPr>
        <w:t xml:space="preserve">How many have returned, and how do you count them?</w:t>
      </w:r>
      <w:r>
        <w:rPr>
          <w:rFonts w:ascii="Garamond" w:cs="Garamond" w:eastAsia="Garamond" w:hAnsi="Garamond"/>
          <w:b w:val="false"/>
          <w:bCs w:val="false"/>
          <w:color w:val="000000"/>
          <w:sz w:val="24"/>
          <w:szCs w:val="24"/>
        </w:rPr>
        <w:t xml:space="preserve"> We have found it hard to get a figure that means the same thing from one state to the next.</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What has it cost the retirement system, and how is that judged?</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Has the measure been evaluated or audited, and what did that conclude?</w:t>
      </w:r>
    </w:p>
    <w:p>
      <w:pPr>
        <w:spacing w:after="60" w:before="200"/>
        <w:ind w:left="504" w:hanging="504"/>
      </w:pPr>
      <w:r>
        <w:rPr>
          <w:rFonts w:ascii="Garamond" w:cs="Garamond" w:eastAsia="Garamond" w:hAnsi="Garamond"/>
          <w:b/>
          <w:bCs/>
          <w:color w:val="000000"/>
          <w:sz w:val="24"/>
          <w:szCs w:val="24"/>
        </w:rPr>
        <w:t xml:space="preserve">7.	</w:t>
      </w:r>
      <w:r>
        <w:rPr>
          <w:rFonts w:ascii="Garamond" w:cs="Garamond" w:eastAsia="Garamond" w:hAnsi="Garamond"/>
          <w:b/>
          <w:bCs/>
          <w:color w:val="000000"/>
          <w:sz w:val="24"/>
          <w:szCs w:val="24"/>
        </w:rPr>
        <w:t xml:space="preserve">Several of these laws have an expiry date. What will decide whether yours is kept, and what would you want to know before that decision?</w:t>
      </w:r>
    </w:p>
    <w:p>
      <w:pPr>
        <w:spacing w:after="40" w:before="0"/>
        <w:ind w:left="1008" w:hanging="288"/>
      </w:pPr>
      <w:r>
        <w:rPr>
          <w:rFonts w:ascii="Garamond" w:cs="Garamond" w:eastAsia="Garamond" w:hAnsi="Garamond"/>
          <w:color w:val="555555"/>
          <w:sz w:val="21"/>
          <w:szCs w:val="21"/>
        </w:rPr>
        <w:t xml:space="preserve">–	</w:t>
      </w:r>
      <w:r>
        <w:rPr>
          <w:rFonts w:ascii="Garamond" w:cs="Garamond" w:eastAsia="Garamond" w:hAnsi="Garamond"/>
          <w:b w:val="false"/>
          <w:bCs w:val="false"/>
          <w:color w:val="555555"/>
          <w:sz w:val="21"/>
          <w:szCs w:val="21"/>
        </w:rPr>
        <w:t xml:space="preserve">If you were advising another state, what would you tell them to do differently?</w:t>
      </w:r>
    </w:p>
    <w:p>
      <w:pPr>
        <w:spacing w:after="60" w:before="200"/>
        <w:ind w:left="504" w:hanging="504"/>
      </w:pPr>
      <w:r>
        <w:rPr>
          <w:rFonts w:ascii="Garamond" w:cs="Garamond" w:eastAsia="Garamond" w:hAnsi="Garamond"/>
          <w:b/>
          <w:bCs/>
          <w:color w:val="000000"/>
          <w:sz w:val="24"/>
          <w:szCs w:val="24"/>
        </w:rPr>
        <w:t xml:space="preserve">8.	</w:t>
      </w:r>
      <w:r>
        <w:rPr>
          <w:rFonts w:ascii="Garamond" w:cs="Garamond" w:eastAsia="Garamond" w:hAnsi="Garamond"/>
          <w:b/>
          <w:bCs/>
          <w:color w:val="000000"/>
          <w:sz w:val="24"/>
          <w:szCs w:val="24"/>
        </w:rPr>
        <w:t xml:space="preserve">Is there a colleague, at the retirement system or on the certification side, who could speak to the experience and the results?</w:t>
      </w:r>
      <w:r>
        <w:rPr>
          <w:rFonts w:ascii="Garamond" w:cs="Garamond" w:eastAsia="Garamond" w:hAnsi="Garamond"/>
          <w:b w:val="false"/>
          <w:bCs w:val="false"/>
          <w:color w:val="000000"/>
          <w:sz w:val="24"/>
          <w:szCs w:val="24"/>
        </w:rPr>
        <w:t xml:space="preserve"> We would be very grateful for an introduction.</w:t>
      </w:r>
    </w:p>
    <w:p>
      <w:pPr>
        <w:pStyle w:val="Heading2"/>
        <w:spacing w:after="80" w:before="240"/>
      </w:pPr>
      <w:r>
        <w:rPr>
          <w:rFonts w:ascii="Garamond" w:cs="Garamond" w:eastAsia="Garamond" w:hAnsi="Garamond"/>
          <w:b/>
          <w:bCs/>
          <w:color w:val="000000"/>
          <w:sz w:val="26"/>
          <w:szCs w:val="26"/>
        </w:rPr>
        <w:t xml:space="preserve">One follow-up per state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Michigan.</w:t>
      </w:r>
      <w:r>
        <w:rPr>
          <w:rFonts w:ascii="Garamond" w:cs="Garamond" w:eastAsia="Garamond" w:hAnsi="Garamond"/>
          <w:b w:val="false"/>
          <w:bCs w:val="false"/>
          <w:color w:val="000000"/>
          <w:sz w:val="24"/>
          <w:szCs w:val="24"/>
        </w:rPr>
        <w:t xml:space="preserve"> Is the six-month wait still what holds people back, and how does the requirement of a genuine separation from the employer work in practice, given that it also reaches people hired through an agency?</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Georgia.</w:t>
      </w:r>
      <w:r>
        <w:rPr>
          <w:rFonts w:ascii="Garamond" w:cs="Garamond" w:eastAsia="Garamond" w:hAnsi="Garamond"/>
          <w:b w:val="false"/>
          <w:bCs w:val="false"/>
          <w:color w:val="000000"/>
          <w:sz w:val="24"/>
          <w:szCs w:val="24"/>
        </w:rPr>
        <w:t xml:space="preserve"> The audit named the one-year wait as the main deterrent, and we understand the new law kept it while widening eligibility. How was that decided?</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New Mexico.</w:t>
      </w:r>
      <w:r>
        <w:rPr>
          <w:rFonts w:ascii="Garamond" w:cs="Garamond" w:eastAsia="Garamond" w:hAnsi="Garamond"/>
          <w:b w:val="false"/>
          <w:bCs w:val="false"/>
          <w:color w:val="000000"/>
          <w:sz w:val="24"/>
          <w:szCs w:val="24"/>
        </w:rPr>
        <w:t xml:space="preserve"> Every return goes through the retirement board. What does that approval consist of, and what happens to a teacher when the months allowed run out?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Louisiana.</w:t>
      </w:r>
      <w:r>
        <w:rPr>
          <w:rFonts w:ascii="Garamond" w:cs="Garamond" w:eastAsia="Garamond" w:hAnsi="Garamond"/>
          <w:b w:val="false"/>
          <w:bCs w:val="false"/>
          <w:color w:val="000000"/>
          <w:sz w:val="24"/>
          <w:szCs w:val="24"/>
        </w:rPr>
        <w:t xml:space="preserve"> Removing the retirement-date cut-off looks small on paper and large in effect. What did it change, and what does a district have to do to certify a shortage?</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North Carolina.</w:t>
      </w:r>
      <w:r>
        <w:rPr>
          <w:rFonts w:ascii="Garamond" w:cs="Garamond" w:eastAsia="Garamond" w:hAnsi="Garamond"/>
          <w:b w:val="false"/>
          <w:bCs w:val="false"/>
          <w:color w:val="000000"/>
          <w:sz w:val="24"/>
          <w:szCs w:val="24"/>
        </w:rPr>
        <w:t xml:space="preserve"> Yours is the one case with published research behind it. Why was the policy allowed to lapse, and what would it take to revisit it?</w:t>
      </w:r>
    </w:p>
    <w:p>
      <w:pPr>
        <w:spacing w:after="60" w:before="40"/>
        <w:ind w:left="504" w:hanging="288"/>
      </w:pPr>
      <w:r>
        <w:rPr>
          <w:rFonts w:ascii="Garamond" w:cs="Garamond" w:eastAsia="Garamond" w:hAnsi="Garamond"/>
          <w:sz w:val="24"/>
          <w:szCs w:val="24"/>
        </w:rPr>
        <w:t xml:space="preserve">–	</w:t>
      </w:r>
      <w:r>
        <w:rPr>
          <w:rFonts w:ascii="Garamond" w:cs="Garamond" w:eastAsia="Garamond" w:hAnsi="Garamond"/>
          <w:b/>
          <w:bCs/>
          <w:color w:val="000000"/>
          <w:sz w:val="24"/>
          <w:szCs w:val="24"/>
        </w:rPr>
        <w:t xml:space="preserve">Virginia.</w:t>
      </w:r>
      <w:r>
        <w:rPr>
          <w:rFonts w:ascii="Garamond" w:cs="Garamond" w:eastAsia="Garamond" w:hAnsi="Garamond"/>
          <w:b w:val="false"/>
          <w:bCs w:val="false"/>
          <w:color w:val="000000"/>
          <w:sz w:val="24"/>
          <w:szCs w:val="24"/>
        </w:rPr>
        <w:t xml:space="preserve"> Yours went at the licence rather than the pension. What did that change for retirees specifically, and where do things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2026-09-21T09:32:29.645Z</dcterms:created>
  <dcterms:modified xsi:type="dcterms:W3CDTF">2026-09-21T09:32:29.655Z</dcterms:modified>
</cp:coreProperties>
</file>

<file path=docProps/custom.xml><?xml version="1.0" encoding="utf-8"?>
<Properties xmlns="http://schemas.openxmlformats.org/officeDocument/2006/custom-properties" xmlns:vt="http://schemas.openxmlformats.org/officeDocument/2006/docPropsVTypes"/>
</file>