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WORKING PAPER SERIES</w:t>
      </w:r>
    </w:p>
    <w:p>
      <w:pPr>
        <w:spacing w:after="160" w:line="264" w:lineRule="auto"/>
        <w:jc w:val="both"/>
      </w:pPr>
      <w:r>
        <w:t xml:space="preserve">This working paper presents preliminary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Education Working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This document, as well as any data included herein, is without prejudice to the status of or sovereignty over any territory, to the delimitation of international frontiers and boundaries and to the name of any territory, city or area. [Standard series disclaimer reproduced for conformity with the OECD Policy Papers presentation; to be confirmed against the internal publication standard before circulation.]</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Pr>
      <w:r>
        <w:t xml:space="preserve">Acknowledgements</w:t>
      </w:r>
    </w:p>
    <w:p>
      <w:pPr>
        <w:spacing w:after="160" w:line="264" w:lineRule="auto"/>
        <w:jc w:val="both"/>
      </w:pPr>
      <w:r>
        <w:rPr>
          <w:i/>
          <w:iCs/>
          <w:color w:val="595959"/>
        </w:rPr>
        <w:t xml:space="preserve">[This working paper was prepared by the authors for the Former Teachers project. Acknowledgements to colleagues, reviewers and data providers to be added before circulation.]</w:t>
      </w:r>
    </w:p>
    <w:p>
      <w:pPr>
        <w:pStyle w:val="Heading1"/>
        <w:pageBreakBefore/>
      </w:pPr>
      <w:r>
        <w:t xml:space="preserve">Abstract</w:t>
      </w:r>
    </w:p>
    <w:p>
      <w:pPr>
        <w:spacing w:after="160" w:line="264" w:lineRule="auto"/>
        <w:jc w:val="both"/>
      </w:pPr>
      <w:r>
        <w:t xml:space="preserve">Education systems in much of the OECD are short of teachers, and their workforces are ageing towards retirement. Governments have responded, as they have for decades, with active policies to bring former teachers back, from recruitment campaigns to changes in pension and licensing rules. This policy paper compiles that international record and asks what actually moved people. The answer divides cleanly. Campaigns returned teachers by the dozen, while every large return followed a repair to the terms the state itself sets, because in most systems the price of a return is written in pension and civil-service law and no ministry has ever totalled it. Former teachers left to buy back their time, and they return for offers shaped like that trade, hours rather than posts. What returns with them is experience that lifts the colleagues around them, capability the system itself paid to build. The lesson for policy is to repair the deal rather than advertise it, and to judge every instrument by who returned and who stayed.</w:t>
      </w:r>
    </w:p>
    <w:p>
      <w:pPr>
        <w:pStyle w:val="Heading1"/>
        <w:spacing w:before="300"/>
      </w:pPr>
      <w:r>
        <w:t xml:space="preserve">Résumé</w:t>
      </w:r>
    </w:p>
    <w:p>
      <w:pPr>
        <w:spacing w:after="160" w:line="264" w:lineRule="auto"/>
        <w:jc w:val="both"/>
      </w:pPr>
      <w:r>
        <w:t xml:space="preserve">Dans une grande partie de la zone OCDE, les systèmes éducatifs manquent d'enseignants et leurs effectifs vieillissent vers la retraite. Les gouvernements y répondent, comme depuis des décennies, par des politiques actives visant à faire revenir les anciens enseignants, des campagnes de recrutement aux modifications des règles de pension et de certification. Ce document d'orientation compile ce bilan international et demande ce qui a réellement fait bouger les intéressés. La réponse est nette. Les campagnes ramènent des enseignants par dizaines, tandis que chaque retour massif a suivi une réparation des conditions que l'État fixe lui-même, car dans la plupart des systèmes le prix d'un retour est inscrit dans le droit des pensions et de la fonction publique, et aucun ministère n'en a jamais établi le total. Les anciens enseignants sont partis pour racheter leur temps, et ils reviennent pour des offres à la mesure de cet échange, des heures plutôt que des postes. Avec eux revient une expérience qui élève leurs collègues, une capacité que le système a lui-même payée. La leçon pour l'action publique est de réparer le contrat plutôt que de l'annoncer, et de juger chaque instrument à l'aune de qui est revenu et de qui est resté.</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1"/>
          <w:szCs w:val="21"/>
        </w:rPr>
        <w:t xml:space="preserve">Table 1.1. Headline reserve figures and the deductions their own registers can compute</w:t>
      </w:r>
    </w:p>
    <w:p>
      <w:pPr>
        <w:spacing w:after="60"/>
      </w:pPr>
      <w:r>
        <w:rPr>
          <w:sz w:val="21"/>
          <w:szCs w:val="21"/>
        </w:rPr>
        <w:t xml:space="preserve">Table 2.1. The most-mentioned motives for leaving teaching across the evidence base</w:t>
      </w:r>
    </w:p>
    <w:p>
      <w:pPr>
        <w:spacing w:after="60"/>
      </w:pPr>
      <w:r>
        <w:rPr>
          <w:sz w:val="21"/>
          <w:szCs w:val="21"/>
        </w:rPr>
        <w:t xml:space="preserve">Table 2.2. Share of resigning teachers with less than five years of service, 2022/23</w:t>
      </w:r>
    </w:p>
    <w:p>
      <w:pPr>
        <w:spacing w:after="60"/>
      </w:pPr>
      <w:r>
        <w:rPr>
          <w:sz w:val="21"/>
          <w:szCs w:val="21"/>
        </w:rPr>
        <w:t xml:space="preserve">Table 3.1. What each system counted: published take-up of re-entry instruments, with the outcome definition, intensity and denominator of every count</w:t>
      </w:r>
    </w:p>
    <w:p>
      <w:pPr>
        <w:spacing w:after="60"/>
      </w:pPr>
      <w:r>
        <w:rPr>
          <w:sz w:val="21"/>
          <w:szCs w:val="21"/>
        </w:rPr>
        <w:t xml:space="preserve">Table 3.2. The four regulatory dials that price a return, by system</w:t>
      </w:r>
    </w:p>
    <w:p>
      <w:pPr>
        <w:spacing w:after="60"/>
      </w:pPr>
      <w:r>
        <w:rPr>
          <w:sz w:val="21"/>
          <w:szCs w:val="21"/>
        </w:rPr>
        <w:t xml:space="preserve">Table 4.1. Who counts re-entry: the counting body behind each measure's published record</w:t>
      </w:r>
    </w:p>
    <w:p>
      <w:pPr>
        <w:spacing w:after="120" w:before="240"/>
      </w:pPr>
      <w:r>
        <w:rPr>
          <w:b/>
          <w:bCs/>
          <w:color w:val="4E81BD"/>
          <w:sz w:val="21"/>
          <w:szCs w:val="21"/>
        </w:rPr>
        <w:t xml:space="preserve">BOXES</w:t>
      </w:r>
    </w:p>
    <w:p>
      <w:pPr>
        <w:spacing w:after="60"/>
      </w:pPr>
      <w:r>
        <w:rPr>
          <w:sz w:val="21"/>
          <w:szCs w:val="21"/>
        </w:rPr>
        <w:t xml:space="preserve">Box 3.1. Removing the pension-salary trade-off entirely: North Carolina's return-to-work window, 1999-2009</w:t>
      </w:r>
    </w:p>
    <w:p>
      <w:pPr>
        <w:spacing w:after="60"/>
      </w:pPr>
      <w:r>
        <w:rPr>
          <w:sz w:val="21"/>
          <w:szCs w:val="21"/>
        </w:rPr>
        <w:t xml:space="preserve">Box 3.2. Writing the audit into the statute: Georgia's sunset, audit and renewal loop</w:t>
      </w:r>
    </w:p>
    <w:p>
      <w:pPr>
        <w:pageBreakBefore/>
        <w:spacing w:after="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8"/>
              <w:left w:val="single" w:color="4E81BD" w:sz="8"/>
              <w:bottom w:val="single" w:color="4E81BD" w:sz="8"/>
              <w:right w:val="single" w:color="4E81BD" w:sz="8"/>
            </w:tcBorders>
            <w:shd w:fill="EEECE1" w:val="clear"/>
            <w:tcMar>
              <w:top w:type="dxa" w:w="200"/>
              <w:left w:type="dxa" w:w="220"/>
              <w:bottom w:type="dxa" w:w="160"/>
              <w:right w:type="dxa" w:w="220"/>
            </w:tcMar>
          </w:tcPr>
          <w:p>
            <w:pPr>
              <w:spacing w:after="200"/>
            </w:pPr>
            <w:r>
              <w:rPr>
                <w:b/>
                <w:bCs/>
                <w:color w:val="4E81BD"/>
                <w:sz w:val="28"/>
                <w:szCs w:val="28"/>
              </w:rPr>
              <w:t xml:space="preserve">Key Take-Aways</w:t>
            </w:r>
          </w:p>
          <w:p>
            <w:pPr>
              <w:pStyle w:val="ListParagraph"/>
              <w:numPr>
                <w:ilvl w:val="0"/>
                <w:numId w:val="2"/>
              </w:numPr>
              <w:spacing w:after="120" w:line="252" w:lineRule="auto"/>
              <w:jc w:val="both"/>
            </w:pPr>
            <w:r>
              <w:rPr>
                <w:b/>
                <w:bCs/>
                <w:sz w:val="22"/>
                <w:szCs w:val="22"/>
              </w:rPr>
              <w:t xml:space="preserve">Every system examined in this paper is sitting on a reserve of former teachers it has never honestly counted, and retirement waves are feeding it.</w:t>
            </w:r>
            <w:r>
              <w:rPr>
                <w:sz w:val="22"/>
                <w:szCs w:val="22"/>
              </w:rPr>
              <w:t xml:space="preserve"> The headline figures in circulation count rows in a register, where a veteran who left twenty years ago sits beside last year's resigner. A count netted for licence status and recency of practice would be smaller and far more useful, and every register already holds the data to produce one within a year.</w:t>
            </w:r>
          </w:p>
          <w:p>
            <w:pPr>
              <w:pStyle w:val="ListParagraph"/>
              <w:numPr>
                <w:ilvl w:val="0"/>
                <w:numId w:val="2"/>
              </w:numPr>
              <w:spacing w:after="120" w:line="252" w:lineRule="auto"/>
              <w:jc w:val="both"/>
            </w:pPr>
            <w:r>
              <w:rPr>
                <w:b/>
                <w:bCs/>
                <w:sz w:val="22"/>
                <w:szCs w:val="22"/>
              </w:rPr>
              <w:t xml:space="preserve">Leaving was a purchase of time, paid for in earnings, and former teachers return for offers that let them keep what they bought.</w:t>
            </w:r>
            <w:r>
              <w:rPr>
                <w:sz w:val="22"/>
                <w:szCs w:val="22"/>
              </w:rPr>
              <w:t xml:space="preserve"> Every system that recruits them in numbers sells days and part-time contracts rather than full-time posts, and the part-time work they want is precisely what schools rarely advertise. The offer that works has been identified for years; stocking it costs the price of an advertisement.</w:t>
            </w:r>
          </w:p>
          <w:p>
            <w:pPr>
              <w:pStyle w:val="ListParagraph"/>
              <w:numPr>
                <w:ilvl w:val="0"/>
                <w:numId w:val="2"/>
              </w:numPr>
              <w:spacing w:after="120" w:line="252" w:lineRule="auto"/>
              <w:jc w:val="both"/>
            </w:pPr>
            <w:r>
              <w:rPr>
                <w:b/>
                <w:bCs/>
                <w:sz w:val="22"/>
                <w:szCs w:val="22"/>
              </w:rPr>
              <w:t xml:space="preserve">Campaigns bring teachers back by the dozen; the rules governments already own bring them back by the thousand.</w:t>
            </w:r>
            <w:r>
              <w:rPr>
                <w:sz w:val="22"/>
                <w:szCs w:val="22"/>
              </w:rPr>
              <w:t xml:space="preserve"> England's national return pilot placed twenty-seven teachers. North Carolina, which for a decade stopped docking pensions for returning to work, drew more than three thousand retirees back through ordinary hiring with no campaign attached. Re-entry alone will not close a shortage, and the record's honest lesson is cheaper than the campaigns that promise it will.</w:t>
            </w:r>
          </w:p>
          <w:p>
            <w:pPr>
              <w:pStyle w:val="ListParagraph"/>
              <w:numPr>
                <w:ilvl w:val="0"/>
                <w:numId w:val="2"/>
              </w:numPr>
              <w:spacing w:after="120" w:line="252" w:lineRule="auto"/>
              <w:jc w:val="both"/>
            </w:pPr>
            <w:r>
              <w:rPr>
                <w:b/>
                <w:bCs/>
                <w:sz w:val="22"/>
                <w:szCs w:val="22"/>
              </w:rPr>
              <w:t xml:space="preserve">The price of a return is set by the state, mostly by accident, in laws education ministries do not write.</w:t>
            </w:r>
            <w:r>
              <w:rPr>
                <w:sz w:val="22"/>
                <w:szCs w:val="22"/>
              </w:rPr>
              <w:t xml:space="preserve"> The salary step a returner lands on, and whether pension and salary can be drawn together, sit in pension and civil-service law with departments that have never answered for a classroom. In Austria a crediting rule written for the whole federal service leaves two identical teaching careers with offers most of a salary scale apart. A ministry could total what its own state charges a former teacher to come back, and publish the bill within weeks; none has.</w:t>
            </w:r>
          </w:p>
          <w:p>
            <w:pPr>
              <w:pStyle w:val="ListParagraph"/>
              <w:numPr>
                <w:ilvl w:val="0"/>
                <w:numId w:val="2"/>
              </w:numPr>
              <w:spacing w:after="120" w:line="252" w:lineRule="auto"/>
              <w:jc w:val="both"/>
            </w:pPr>
            <w:r>
              <w:rPr>
                <w:b/>
                <w:bCs/>
                <w:sz w:val="22"/>
                <w:szCs w:val="22"/>
              </w:rPr>
              <w:t xml:space="preserve">Recovering an experienced teacher recovers capability the system already paid to build, and the proven way to buy it is as a defined job at a specified dose.</w:t>
            </w:r>
            <w:r>
              <w:rPr>
                <w:sz w:val="22"/>
                <w:szCs w:val="22"/>
              </w:rPr>
              <w:t xml:space="preserve"> Experienced colleagues measurably lift the teachers around them, so a returning veteran is more than a filled vacancy. Where former teachers tutored to a protocol with a set number of sessions, children learned; where systems bought seniority and goodwill, what the school gained went unmeasured. The premium is plausible, and a system finds out by specifying the job and writing the evaluation into the contract of purchase.</w:t>
            </w:r>
          </w:p>
          <w:p>
            <w:pPr>
              <w:pStyle w:val="ListParagraph"/>
              <w:numPr>
                <w:ilvl w:val="0"/>
                <w:numId w:val="2"/>
              </w:numPr>
              <w:spacing w:after="120" w:line="252" w:lineRule="auto"/>
              <w:jc w:val="both"/>
            </w:pPr>
            <w:r>
              <w:rPr>
                <w:b/>
                <w:bCs/>
                <w:sz w:val="22"/>
                <w:szCs w:val="22"/>
              </w:rPr>
              <w:t xml:space="preserve">A re-entry policy earns belief when somebody other than its sponsor counts what it did, and the count outlives the press release.</w:t>
            </w:r>
            <w:r>
              <w:rPr>
                <w:sz w:val="22"/>
                <w:szCs w:val="22"/>
              </w:rPr>
              <w:t xml:space="preserve"> Placements are the friendliest number a programme owns; the one returner cohort anyone could follow lost close to a third of its members again within four years. Each instrument that produced usable evidence carried a counting duty lodged outside the sponsoring ministry, with a sunset timed so the numbers could still change the decision. That duty costs a single clause at the drafting stage.</w:t>
            </w:r>
          </w:p>
        </w:tc>
      </w:tr>
    </w:tbl>
    <w:p>
      <w:pPr>
        <w:pStyle w:val="Heading1"/>
        <w:pageBreakBefore/>
      </w:pPr>
      <w:r>
        <w:t xml:space="preserve">1. Introduction: the people who left</w:t>
      </w:r>
    </w:p>
    <w:p>
      <w:pPr>
        <w:spacing w:after="160" w:line="264" w:lineRule="auto"/>
        <w:jc w:val="both"/>
      </w:pPr>
      <w:r>
        <w:t xml:space="preserve">Every year teachers hand back their classroom keys and keep their licences. Some go home, to a newborn or an ageing parent. Others resign mid-career and take the degree somewhere that makes fewer claims on their evenings. The rest, in time, retire, on a date fixed by pension rules rather than by anything that happened in a classroom. Together they form one of the largest movements of qualified professionals out of any public service, and they are the subject of this paper.</w:t>
      </w:r>
    </w:p>
    <w:p>
      <w:pPr>
        <w:spacing w:after="160" w:line="264" w:lineRule="auto"/>
        <w:jc w:val="both"/>
      </w:pPr>
      <w:r>
        <w:t xml:space="preserve">They do not go far. In the United States, where linked records make it possible to follow leavers, more than half remain in education broadly defined, about a fifth withdraw from paid work altogether, and fewer than a quarter take jobs outside education (Brummet et al., 2024). Earlier cohort evidence points the same way, with most exiting women leaving the labour force rather than changing employer (Stinebrickner, 2002). Nor do they stop being teachers in law. The licence survives the resignation, and with it, in most systems, the service history that would set a returning salary. Recruitment, for its part, has grown harder. Across OECD countries the share of students in schools whose principals report that a lack of teaching staff hinders instruction rose from 26% in 2018 to 47% in 2022, a perception measure; counted vacancies are rarer, averaging 1.6% of positions in the systems that measure them, though above 4% in Austria and Sweden (OECD, 2025a). The workforce still serving is ageing towards retirement, a concern from the Baltic states to Portugal, and in Italy teachers aged 55 and over substantially outnumber those under 30 (European Commission, 2023). A gap in front and a retirement wave behind it are why governments are knocking on former teachers' doors now. Ministries have taken to calling the people beyond those doors a reserve, and the word circulates in budget debates as if it named a measured quantity. Meanwhile some of the people it names simply come back. Wherever anyone measures the inflow, returners supply a third or more of new entrants in a given year (Department for Education, 2023; Sutcher, Darling-Hammond and Carver-Thomas, 2016), an unprogrammed flow that Chapter 3 treats as the baseline against which any programme must be judged. Every government already operates a re-entry system. Few operate it on purpose.</w:t>
      </w:r>
    </w:p>
    <w:p>
      <w:pPr>
        <w:spacing w:after="160" w:line="264" w:lineRule="auto"/>
        <w:jc w:val="both"/>
      </w:pPr>
      <w:r>
        <w:t xml:space="preserve">This paper is about these people, what governments offered when they wanted them back, and what the state's own rules charged them for returning. The courtship is partly shortage cover, and the paper says so plainly; systems reach for their former teachers because vacancies hurt. That motive is respectable without being sufficient, since re-entry alone cannot close a shortage, and nothing in what follows sells it as the fix. The premise is rather that former teachers matter in their own right, for who they are and what they carry, and the paper states it here rather than discovering it at the end. The barriers that now separate a former teacher from a school were mostly written by the state itself, in pension law, certification rules and salary scales, which is why the record of re-entry policy is above all a record of what governments have done to their own rulebooks.</w:t>
      </w:r>
    </w:p>
    <w:p>
      <w:pPr>
        <w:pStyle w:val="Heading2"/>
      </w:pPr>
      <w:r>
        <w:t xml:space="preserve">1.1. Three ways of leaving</w:t>
      </w:r>
    </w:p>
    <w:p>
      <w:pPr>
        <w:spacing w:after="160" w:line="264" w:lineRule="auto"/>
        <w:jc w:val="both"/>
      </w:pPr>
      <w:r>
        <w:rPr>
          <w:b/>
          <w:bCs/>
        </w:rPr>
        <w:t xml:space="preserve">Teachers leave by three different doors, and the door decides most of what a return would take.</w:t>
      </w:r>
    </w:p>
    <w:p>
      <w:pPr>
        <w:spacing w:after="160" w:line="264" w:lineRule="auto"/>
        <w:jc w:val="both"/>
      </w:pPr>
      <w:r>
        <w:t xml:space="preserve">The first door leads out of paid work altogether, most often into care or family responsibilities. The people who took it hold a live qualification and no current employer, and their exit was timed by their lives rather than by the school calendar. The second door leads into another sector, taken by mid-career resigners who carried the qualification with them; the linked records cited above suggest this group is smaller than commonly assumed. The third door is retirement, and it opens on actuarial terms.</w:t>
      </w:r>
    </w:p>
    <w:p>
      <w:pPr>
        <w:spacing w:after="160" w:line="264" w:lineRule="auto"/>
        <w:jc w:val="both"/>
      </w:pPr>
      <w:r>
        <w:t xml:space="preserve">How a system's leavers divide among the doors is knowable, and it varies more than the debate assumes. Across OECD countries with data, about half (51%) of the fully qualified teachers who left the profession in the most recent year measured resigned rather than retired. Resignations exceed 80% of departures in some systems, notably Denmark, England and Estonia, while retirements account for most departures in others, including France, Greece, Ireland and Israel (OECD, 2025a). A system whose former teachers are mostly working-age resigners faces a different repair job from one whose former teachers are mostly pensioners, which is why the exit split is the first diagnostic to run, before any programme is designed.</w:t>
      </w:r>
    </w:p>
    <w:p>
      <w:pPr>
        <w:pStyle w:val="Heading2"/>
      </w:pPr>
      <w:r>
        <w:t xml:space="preserve">1.2. What they carry, and what prices them</w:t>
      </w:r>
    </w:p>
    <w:p>
      <w:pPr>
        <w:spacing w:after="160" w:line="264" w:lineRule="auto"/>
        <w:jc w:val="both"/>
      </w:pPr>
      <w:r>
        <w:rPr>
          <w:b/>
          <w:bCs/>
        </w:rPr>
        <w:t xml:space="preserve">A former teacher arrives already trained at public expense, already licensed or relicensable, and fluent in how schools actually run.</w:t>
      </w:r>
    </w:p>
    <w:p>
      <w:pPr>
        <w:spacing w:after="160" w:line="264" w:lineRule="auto"/>
        <w:jc w:val="both"/>
      </w:pPr>
      <w:r>
        <w:t xml:space="preserve">That is the case for treating them as more than a staffing convenience. They can be deployed without consuming an initial training place, and much of what they would bring back overlaps with what systems already prize in veteran staff, knowledge of the curriculum as it is actually taught and the standing to support colleagues newer than themselves. Recovering them is recovering capability the system itself paid to build, and Chapter 2 reviews evidence that experienced colleagues raise the quality of the teachers around them. The claim must stop there. No study in this evidence base links a returner to the outcomes of the classes they teach or the colleagues they work beside, so the classroom value of accumulated craft stands unmeasured rather than demonstrated. The paper treats that as a gap in what has been measured, and returns in the final chapter to the linkage that would settle it.</w:t>
      </w:r>
    </w:p>
    <w:p>
      <w:pPr>
        <w:spacing w:after="160" w:line="264" w:lineRule="auto"/>
        <w:jc w:val="both"/>
      </w:pPr>
      <w:r>
        <w:t xml:space="preserve">Beyond the doors, two facts about an individual do most of the policy work, and both sit in the registers. The first is whether the person ever served. Someone qualified who never entered a classroom has no classroom experience to bring back, and under the premise of this paper is not a former teacher at all, whatever they represent for a supply model. The confusion is not hypothetical; in one system it reached the statute book. The Dutch returner subsidy defined its target as a teacher who had interrupted, or had not begun, a career in primary education (Ministerie van OCW, 2017), so the instrument's own legal definition of a returner covered people with nothing to return from. Supply planners may reasonably count the never served as convertible recruits, and for their purposes they are; the two series should at the very least be published apart.</w:t>
      </w:r>
    </w:p>
    <w:p>
      <w:pPr>
        <w:spacing w:after="160" w:line="264" w:lineRule="auto"/>
        <w:jc w:val="both"/>
      </w:pPr>
      <w:r>
        <w:t xml:space="preserve">The second fact is where the person stands relative to pensionable age, because that boundary decides which body of law prices the return. Past it, pension and service-crediting rules set the offer. Before it, salary scales and certification rules do.</w:t>
      </w:r>
    </w:p>
    <w:p>
      <w:pPr>
        <w:pStyle w:val="Heading2"/>
      </w:pPr>
      <w:r>
        <w:t xml:space="preserve">1.3. The reserve, honestly counted</w:t>
      </w:r>
    </w:p>
    <w:p>
      <w:pPr>
        <w:spacing w:after="160" w:line="264" w:lineRule="auto"/>
        <w:jc w:val="both"/>
      </w:pPr>
      <w:r>
        <w:rPr>
          <w:b/>
          <w:bCs/>
        </w:rPr>
        <w:t xml:space="preserve">The reserve is real, and every register examined in this paper already holds the data to count it honestly within a year.</w:t>
      </w:r>
    </w:p>
    <w:p>
      <w:pPr>
        <w:spacing w:after="160" w:line="264" w:lineRule="auto"/>
        <w:jc w:val="both"/>
      </w:pPr>
      <w:r>
        <w:t xml:space="preserve">What no ministry has done is publish that count. The figures in circulation are accurate counts of whatever rule the register applied, and the rules differ enough to change the answer entirely (Table 1.1). In England, nearly a third of the headline pool of qualified teachers outside state service has never been in service at all, a group the department already holds as a separate series (Worth, 2023, citing DfE), so a substantial share of the quoted number has nothing to return to. Michigan shows the same picture from the inside, through a register that links certificates to employment. Seven in ten of the certified non-teachers had not taught in a public school at any point in the previous five years, and close to half held expired certificates, against a small minority of serving teachers (Lindsay, Gnedko-Berry and Wan, 2021). The Netherlands managed to hold two reserves at once. A count restricted to people qualified since the turn of the century put the figure at just over 62 000 (Somers, Groot and van Merode, 2024b); a series counting every qualification holder at least two years out of the sector, retirees excluded, put it near 98 000 (DUO, 2026). The gap between the figures is the gap between the rules. Even under a single rule, the shares of the qualified stock differ so sharply between primary and secondary education (Table 1.1) that no one percentage describes a national reserve.</w:t>
      </w:r>
    </w:p>
    <w:p>
      <w:pPr>
        <w:keepNext/>
        <w:spacing w:after="120" w:before="200"/>
      </w:pPr>
      <w:r>
        <w:rPr>
          <w:b/>
          <w:bCs/>
          <w:color w:val="4E81BD"/>
          <w:sz w:val="23"/>
          <w:szCs w:val="23"/>
        </w:rPr>
        <w:t xml:space="preserve">Table 1.1. Headline reserve figures and the deductions their own registers can compute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69"/>
        <w:gridCol w:w="1710"/>
        <w:gridCol w:w="2186"/>
        <w:gridCol w:w="2097"/>
        <w:gridCol w:w="1510"/>
      </w:tblGrid>
      <w:tr>
        <w:trPr>
          <w:tblHeader/>
        </w:trPr>
        <w:tc>
          <w:tcPr>
            <w:tcW w:type="dxa" w:w="156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Register (system)</w:t>
            </w:r>
          </w:p>
        </w:tc>
        <w:tc>
          <w:tcPr>
            <w:tcW w:type="dxa" w:w="171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Headline figure as published</w:t>
            </w:r>
          </w:p>
        </w:tc>
        <w:tc>
          <w:tcPr>
            <w:tcW w:type="dxa" w:w="218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Rule that produced it</w:t>
            </w:r>
          </w:p>
        </w:tc>
        <w:tc>
          <w:tcPr>
            <w:tcW w:type="dxa" w:w="209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Deductions computable in the same register</w:t>
            </w:r>
          </w:p>
        </w:tc>
        <w:tc>
          <w:tcPr>
            <w:tcW w:type="dxa" w:w="151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Netted figure</w:t>
            </w:r>
          </w:p>
        </w:tc>
      </w:tr>
      <w:tr>
        <w:trPr>
          <w:tblHeader w:val="false"/>
        </w:trPr>
        <w:tc>
          <w:tcPr>
            <w:tcW w:type="dxa" w:w="15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Database of Qualified Teachers and pension records (England)</w:t>
            </w:r>
          </w:p>
        </w:tc>
        <w:tc>
          <w:tcPr>
            <w:tcW w:type="dxa" w:w="17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~366 000 with qualified teacher status not in state service, working age (2018)</w:t>
            </w:r>
          </w:p>
        </w:tc>
        <w:tc>
          <w:tcPr>
            <w:tcW w:type="dxa" w:w="21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All qualified-teacher-status holders of working age not currently in service</w:t>
            </w:r>
          </w:p>
        </w:tc>
        <w:tc>
          <w:tcPr>
            <w:tcW w:type="dxa" w:w="20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106 000 never in service (already held as a separate series); last-taught date; age</w:t>
            </w:r>
          </w:p>
        </w:tc>
        <w:tc>
          <w:tcPr>
            <w:tcW w:type="dxa" w:w="15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260 000 previously served; further deductions not computed by the publisher</w:t>
            </w:r>
          </w:p>
        </w:tc>
      </w:tr>
      <w:tr>
        <w:trPr>
          <w:tblHeader w:val="false"/>
        </w:trPr>
        <w:tc>
          <w:tcPr>
            <w:tcW w:type="dxa" w:w="15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files linked to employment records (Michigan, United States)</w:t>
            </w:r>
          </w:p>
        </w:tc>
        <w:tc>
          <w:tcPr>
            <w:tcW w:type="dxa" w:w="17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61 252 certified teachers not teaching in a public school (2017/18)</w:t>
            </w:r>
          </w:p>
        </w:tc>
        <w:tc>
          <w:tcPr>
            <w:tcW w:type="dxa" w:w="21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All holders of a teaching certificate not employed in a public school</w:t>
            </w:r>
          </w:p>
        </w:tc>
        <w:tc>
          <w:tcPr>
            <w:tcW w:type="dxa" w:w="20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70% with no public-school teaching in the previous five years; 44–49% expired certificates (6% among serving teachers); age; endorsement area</w:t>
            </w:r>
          </w:p>
        </w:tc>
        <w:tc>
          <w:tcPr>
            <w:tcW w:type="dxa" w:w="15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 computed by the publisher</w:t>
            </w:r>
          </w:p>
        </w:tc>
      </w:tr>
      <w:tr>
        <w:trPr>
          <w:tblHeader w:val="false"/>
        </w:trPr>
        <w:tc>
          <w:tcPr>
            <w:tcW w:type="dxa" w:w="15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CBS qualification registers (Netherlands)</w:t>
            </w:r>
          </w:p>
        </w:tc>
        <w:tc>
          <w:tcPr>
            <w:tcW w:type="dxa" w:w="17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just over 62 000 (published 2024)</w:t>
            </w:r>
          </w:p>
        </w:tc>
        <w:tc>
          <w:tcPr>
            <w:tcW w:type="dxa" w:w="21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Qualified 2000–2021, a cohort truncation the authors state makes the figure an undercount of the full qualified stock; working in another sector, unemployed or in study</w:t>
            </w:r>
          </w:p>
        </w:tc>
        <w:tc>
          <w:tcPr>
            <w:tcW w:type="dxa" w:w="20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Sector; age</w:t>
            </w:r>
          </w:p>
        </w:tc>
        <w:tc>
          <w:tcPr>
            <w:tcW w:type="dxa" w:w="15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 computed by the publisher</w:t>
            </w:r>
          </w:p>
        </w:tc>
      </w:tr>
      <w:tr>
        <w:trPr>
          <w:tblHeader w:val="false"/>
        </w:trPr>
        <w:tc>
          <w:tcPr>
            <w:tcW w:type="dxa" w:w="15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DUO register series (Netherlands)</w:t>
            </w:r>
          </w:p>
        </w:tc>
        <w:tc>
          <w:tcPr>
            <w:tcW w:type="dxa" w:w="171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34 000 primary + 64 000 secondary/vocational (1 October 2024)</w:t>
            </w:r>
          </w:p>
        </w:tc>
        <w:tc>
          <w:tcPr>
            <w:tcW w:type="dxa" w:w="21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Qualified, at least two years out of the sector; retirees, agency workers and the incapacitated excluded</w:t>
            </w:r>
          </w:p>
        </w:tc>
        <w:tc>
          <w:tcPr>
            <w:tcW w:type="dxa" w:w="20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Principal deductions already applied by the rule; equal to 22% (primary) and 43% (secondary/vocational) of the qualified stock</w:t>
            </w:r>
          </w:p>
        </w:tc>
        <w:tc>
          <w:tcPr>
            <w:tcW w:type="dxa" w:w="151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Partially netted by construction; published as an annual series</w:t>
            </w:r>
          </w:p>
        </w:tc>
      </w:tr>
    </w:tbl>
    <w:p>
      <w:pPr>
        <w:spacing w:after="120"/>
      </w:pPr>
    </w:p>
    <w:p>
      <w:pPr>
        <w:spacing w:after="60"/>
        <w:jc w:val="left"/>
      </w:pPr>
      <w:r>
        <w:rPr>
          <w:sz w:val="18"/>
          <w:szCs w:val="18"/>
        </w:rPr>
        <w:t xml:space="preserve">Note: Every deduction listed moves the count downward, so a fully netted column would be an honest upper bound on the population of former teachers, while the headline column records the rule of the register that produced it. The cohort truncation in the CBS rule works in the opposite direction and is therefore recorded with the rule, not among the deductions. Figures are as published by each authority and are not comparable across systems.</w:t>
      </w:r>
    </w:p>
    <w:p>
      <w:pPr>
        <w:spacing w:after="60"/>
        <w:jc w:val="left"/>
      </w:pPr>
      <w:r>
        <w:rPr>
          <w:sz w:val="18"/>
          <w:szCs w:val="18"/>
        </w:rPr>
        <w:t xml:space="preserve">Source: Worth (2023, citing DfE); Lindsay, Gnedko-Berry and Wan (2021); Somers, Groot and van Merode (2024b); DUO (2026).</w:t>
      </w:r>
    </w:p>
    <w:p>
      <w:pPr>
        <w:spacing w:after="160" w:line="264" w:lineRule="auto"/>
        <w:jc w:val="both"/>
      </w:pPr>
      <w:r>
        <w:t xml:space="preserve">The repair is a definitional exercise, and a short one. A register that records service history can separate the served from the never served; certification records distinguish valid from restorable from lapsed; last-taught dates separate recent leavers from those a decade or more away; and subject and phase can be set against vacancies, age against pensionable age, residence against region. Each cut moves the count downward and none moves it up, so the direction of the error in the headline figures is known even where its magnitude is not. No system examined here publishes the resulting series. Any of them could. A ministry that has been quoting a reserve is a definition and a query away from quoting a measurement, and the OECD has already named the underlying gap, observing that many education systems may lack accurate data on the number and characteristics of potential returnees (OECD, 2024).</w:t>
      </w:r>
    </w:p>
    <w:p>
      <w:pPr>
        <w:spacing w:after="160" w:line="264" w:lineRule="auto"/>
        <w:jc w:val="both"/>
      </w:pPr>
      <w:r>
        <w:t xml:space="preserve">An honest upper bound is all the netted series would be, and the paper claims nothing more for it. Willingness, geography, subject fit and the price of return all bind after the register does. But a defensible upper bound beats an indefensible one, and it changes what a minister can honestly promise.</w:t>
      </w:r>
    </w:p>
    <w:p>
      <w:pPr>
        <w:pStyle w:val="Heading2"/>
      </w:pPr>
      <w:r>
        <w:t xml:space="preserve">1.4. What this paper does</w:t>
      </w:r>
    </w:p>
    <w:p>
      <w:pPr>
        <w:spacing w:after="160" w:line="264" w:lineRule="auto"/>
        <w:jc w:val="both"/>
      </w:pPr>
      <w:r>
        <w:rPr>
          <w:b/>
          <w:bCs/>
        </w:rPr>
        <w:t xml:space="preserve">This paper compiles what governments have actually done to bring former teachers back, and reads that record for what worked.</w:t>
      </w:r>
    </w:p>
    <w:p>
      <w:pPr>
        <w:spacing w:after="160" w:line="264" w:lineRule="auto"/>
        <w:jc w:val="both"/>
      </w:pPr>
      <w:r>
        <w:t xml:space="preserve">The strand is an established one, and it is a record of action, not of commentary. Governments have run active re-attraction policies for decades; England and Wales were sponsoring around a hundred refresher courses a year for returners in the early 2000s, when OECD teacher policy first named former teachers a potentially important source of recruits (OECD, 2005), and supporting the re-entry of teachers who left the profession appears among the supply levers in the Organisation's current policy stocktake (OECD, 2024). What this paper adds is the compilation itself, read for what moved people; the international record of these attempts has not previously been set side by side. Drawing on programme evaluations, audit findings, legislation and administrative statistics from some twenty education systems, it asks what governments offered former teachers, what price their own rules attached to return, and what verifiably happened.</w:t>
      </w:r>
    </w:p>
    <w:p>
      <w:pPr>
        <w:spacing w:after="160" w:line="264" w:lineRule="auto"/>
        <w:jc w:val="both"/>
      </w:pPr>
      <w:r>
        <w:t xml:space="preserve">Chapter 2 stays with the people, asking what those who left actually bought when they went and what a returner can be asked to do. Chapter 3, the centre of the paper, examines the international experience with re-entry programmes and with the pension, licensure and re-employment rules that govern return. Chapter 4 converts the record into lessons and recommendations, ending with the two measurements on which better policy most depends, a reserve netted to a stated specification and a returner linked to the classes and colleagues they work with. Throughout, cases appear as evidence for propositions, and the argument is meant to be legible without any single one of them. The examples illustrate types of instrument rather than representing the national systems they are drawn from, and nothing in what follows categorises countries or systems.</w:t>
      </w:r>
    </w:p>
    <w:p>
      <w:pPr>
        <w:spacing w:after="160" w:line="264" w:lineRule="auto"/>
        <w:jc w:val="both"/>
      </w:pPr>
      <w:r>
        <w:t xml:space="preserve">None of it matters unless the people themselves would come. The first question therefore belongs to them, and Chapter 2 opens with it. What did they give up teaching to get, and what would make a return worth the price?</w:t>
      </w:r>
    </w:p>
    <w:p>
      <w:pPr>
        <w:pStyle w:val="Heading1"/>
        <w:pageBreakBefore/>
      </w:pPr>
      <w:r>
        <w:t xml:space="preserve">2. The deal they made</w:t>
      </w:r>
    </w:p>
    <w:p>
      <w:pPr>
        <w:spacing w:after="160" w:line="264" w:lineRule="auto"/>
        <w:jc w:val="both"/>
      </w:pPr>
      <w:r>
        <w:t xml:space="preserve">A government that invites its former teachers back is asking them to reverse a decision most of them do not regret. Followed into their new jobs, leavers report themselves more satisfied and are paid less than the colleagues they left behind, and that combination is not what misfortune looks like. It is what a purchase looks like. They gave up earnings and received time, fewer hours and more say over when to work them.</w:t>
      </w:r>
    </w:p>
    <w:p>
      <w:pPr>
        <w:spacing w:after="160" w:line="264" w:lineRule="auto"/>
        <w:jc w:val="both"/>
      </w:pPr>
      <w:r>
        <w:t xml:space="preserve">This chapter treats the exit as that purchase and reads every re-entry offer as a bid against it, sorting the documented motives for the exit by who owns them. The reading explains why the only offers that recruit former teachers in numbers are denominated in days rather than posts, and it exposes, without resolving it cheaply, a genuine split between what leavers say would bring them back and what they observably accept. The chapter then turns to the return itself and asks what a returner can be asked to do, a question on which the trial record has so far priced exactly one product. Chapter 3 will ask which governments, if any, ever put the matching offer on the table.</w:t>
      </w:r>
    </w:p>
    <w:p>
      <w:pPr>
        <w:pStyle w:val="Heading2"/>
      </w:pPr>
      <w:r>
        <w:t xml:space="preserve">2.1. What leaving bought</w:t>
      </w:r>
    </w:p>
    <w:p>
      <w:pPr>
        <w:spacing w:after="160" w:line="264" w:lineRule="auto"/>
        <w:jc w:val="both"/>
      </w:pPr>
      <w:r>
        <w:rPr>
          <w:b/>
          <w:bCs/>
        </w:rPr>
        <w:t xml:space="preserve">Leavers paid for their exit in earnings and were repaid in time, and on the evidence of their later behaviour most of them consider the price fair.</w:t>
      </w:r>
    </w:p>
    <w:p>
      <w:pPr>
        <w:spacing w:after="160" w:line="264" w:lineRule="auto"/>
        <w:jc w:val="both"/>
      </w:pPr>
      <w:r>
        <w:t xml:space="preserve">The cleanest view of the trade comes from household panel data that follow the same individuals across the exit. In Australia, where such data span two decades, former teachers report job satisfaction 0.13 standard deviations above stayers one year after leaving and 0.19 above after three, while their weekly wages run 6.2% and then 9.4% below their final year in post, and their hourly wages remain lower for a decade (Cuervo and Vera-Toscano, 2025). Satisfaction that rises as earnings fall is hard to read as anything but a trade concluded on acceptable terms. Most leavers got what they paid for.</w:t>
      </w:r>
    </w:p>
    <w:p>
      <w:pPr>
        <w:spacing w:after="160" w:line="264" w:lineRule="auto"/>
        <w:jc w:val="both"/>
      </w:pPr>
      <w:r>
        <w:t xml:space="preserve">Nor is the Australian ledger a local curiosity. English leavers accept a wage cut of roughly a tenth against comparable stayers, in exchange for shorter hours and higher job satisfaction (Worth, Bamford and Durbin, 2015). Very few American leavers move to jobs paying more than teaching did (Scafidi, Sjoquist and Stinebrickner, 2006), and linked administrative records in the United States find more than half of them still working in education broadly defined, with mean earnings still slightly below pre-exit levels years later (Brummet et al., 2024). Asked rather than observed, Dutch teachers outside the classroom rate several conditions of their current jobs more favourably than serving teachers rate theirs, and put lower work pressure, more control over working hours and more autonomy ahead of salary when naming what would bring them back (Somers et al., 2024a). In three quite different labour markets the ledger of leaving reads the same, time gained and money knowingly given up.</w:t>
      </w:r>
    </w:p>
    <w:p>
      <w:pPr>
        <w:spacing w:after="160" w:line="264" w:lineRule="auto"/>
        <w:jc w:val="both"/>
      </w:pPr>
      <w:r>
        <w:t xml:space="preserve">For a substantial minority the purchase was not a better job but a stage of life. In the classic cohort evidence, around two thirds of exiting female teachers left the labour force entirely, and the presence of a newborn child predicted exit more strongly than pay did (Stinebrickner, 2002). That cohort is historical, and parental leave and female labour supply have both changed since, yet recent panel data still place more than a quarter of leavers outside the labour force a year after exit, before a single retirement is counted (Cuervo and Vera-Toscano, 2025). For this group the price of a return moves with childcare, the school calendar and the availability of part-time posts, and the salary scale is consulted last, if at all.</w:t>
      </w:r>
    </w:p>
    <w:p>
      <w:pPr>
        <w:spacing w:after="160" w:line="264" w:lineRule="auto"/>
        <w:jc w:val="both"/>
      </w:pPr>
      <w:r>
        <w:t xml:space="preserve">One qualification is too important for a footnote. Panel estimates of this kind are computed on people still observable after the exit, which excludes those who left permanently and disappeared from view, so they are strongest as evidence about temporary exit, about leavers who kept a foot in the door. The limitation turns out to be an asset. The segment for whom exit was explicitly temporary is precisely the segment that converts best when an offer arrives, as Section 2.4 will show, so the population these estimates describe is the population a re-entry offer actually addresses.</w:t>
      </w:r>
    </w:p>
    <w:p>
      <w:pPr>
        <w:spacing w:after="160" w:line="264" w:lineRule="auto"/>
        <w:jc w:val="both"/>
      </w:pPr>
      <w:r>
        <w:t xml:space="preserve">What that population holds, then, is neither a grievance nor spare cash. It is employed, mostly still close to education, and no richer than it was. It has time.</w:t>
      </w:r>
    </w:p>
    <w:p>
      <w:pPr>
        <w:pStyle w:val="Heading2"/>
      </w:pPr>
      <w:r>
        <w:t xml:space="preserve">2.2. Why they left</w:t>
      </w:r>
    </w:p>
    <w:p>
      <w:pPr>
        <w:spacing w:after="160" w:line="264" w:lineRule="auto"/>
        <w:jc w:val="both"/>
      </w:pPr>
      <w:r>
        <w:rPr>
          <w:b/>
          <w:bCs/>
        </w:rPr>
        <w:t xml:space="preserve">The motives on record for leaving teaching sort into those personal to the teacher and those that belong to the system, and the sorting decides who holds the remedy.</w:t>
      </w:r>
    </w:p>
    <w:p>
      <w:pPr>
        <w:spacing w:after="160" w:line="264" w:lineRule="auto"/>
        <w:jc w:val="both"/>
      </w:pPr>
      <w:r>
        <w:t xml:space="preserve">The literature supplies the sorting. Its largest meta-analysis groups the correlates of leaving into personal characteristics, school factors such as leadership and working conditions, and external or policy factors such as accountability and pay (Nguyen et al., 2020); the entry literature speaks instead of intrinsic and extrinsic motivation (Watt et al., 2012). This paper pools school and policy factors as system motives, since an employer or a government wrote each and could rewrite it. Against them stand the motives personal to a life, which no ministry drafts and none can amend.</w:t>
      </w:r>
    </w:p>
    <w:p>
      <w:pPr>
        <w:spacing w:after="160" w:line="264" w:lineRule="auto"/>
        <w:jc w:val="both"/>
      </w:pPr>
      <w:r>
        <w:t xml:space="preserve">The most-documented motives carry one conclusion, that most of the recorded weight of leaving rests on the system side of the ledger, in rules and conditions a government already owns (Table 2.1).</w:t>
      </w:r>
    </w:p>
    <w:p>
      <w:pPr>
        <w:keepNext/>
        <w:spacing w:after="120" w:before="200"/>
      </w:pPr>
      <w:r>
        <w:rPr>
          <w:b/>
          <w:bCs/>
          <w:color w:val="4E81BD"/>
          <w:sz w:val="23"/>
          <w:szCs w:val="23"/>
        </w:rPr>
        <w:t xml:space="preserve">Table 2.1. The most-mentioned motives for leaving teaching across the evidence base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70"/>
        <w:gridCol w:w="1244"/>
        <w:gridCol w:w="3998"/>
        <w:gridCol w:w="2360"/>
      </w:tblGrid>
      <w:tr>
        <w:trPr>
          <w:tblHeader/>
        </w:trPr>
        <w:tc>
          <w:tcPr>
            <w:tcW w:type="dxa" w:w="147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Motive</w:t>
            </w:r>
          </w:p>
        </w:tc>
        <w:tc>
          <w:tcPr>
            <w:tcW w:type="dxa" w:w="124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Personal or system</w:t>
            </w:r>
          </w:p>
        </w:tc>
        <w:tc>
          <w:tcPr>
            <w:tcW w:type="dxa" w:w="399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What the evidence shows</w:t>
            </w:r>
          </w:p>
        </w:tc>
        <w:tc>
          <w:tcPr>
            <w:tcW w:type="dxa" w:w="236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Where it weighs most</w:t>
            </w:r>
          </w:p>
        </w:tc>
      </w:tr>
      <w:tr>
        <w:trPr>
          <w:tblHeader w:val="false"/>
        </w:trPr>
        <w:tc>
          <w:tcPr>
            <w:tcW w:type="dxa" w:w="14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Workload, hours and work-life balance</w:t>
            </w:r>
          </w:p>
        </w:tc>
        <w:tc>
          <w:tcPr>
            <w:tcW w:type="dxa" w:w="12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System (school)</w:t>
            </w:r>
          </w:p>
        </w:tc>
        <w:tc>
          <w:tcPr>
            <w:tcW w:type="dxa" w:w="39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Strongest push factor in Australian panel data (Cuervo and Vera-Toscano, 2025); named by 17% of surveyed leavers (Brandenburg et al., 2024); English leavers take roughly 10% lower wages for shorter hours (Worth, Bamford and Durbin, 2015)</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Australia and England, where it outranks pay</w:t>
            </w:r>
          </w:p>
        </w:tc>
      </w:tr>
      <w:tr>
        <w:trPr>
          <w:tblHeader w:val="false"/>
        </w:trPr>
        <w:tc>
          <w:tcPr>
            <w:tcW w:type="dxa" w:w="14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Salary</w:t>
            </w:r>
          </w:p>
        </w:tc>
        <w:tc>
          <w:tcPr>
            <w:tcW w:type="dxa" w:w="12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System (policy)</w:t>
            </w:r>
          </w:p>
        </w:tc>
        <w:tc>
          <w:tcPr>
            <w:tcW w:type="dxa" w:w="39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USD 1 000 of pay is associated with 0.34 percentage points less US turnover (Tan et al., 2026); 33% of Michigan's certificate-holders put salary in their top three reasons for not teaching (Lindsay, Gnedko-Berry and Wan, 2021)</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United States; subjects with strong outside options, where return rates are lowest (OECD, 2005)</w:t>
            </w:r>
          </w:p>
        </w:tc>
      </w:tr>
      <w:tr>
        <w:trPr>
          <w:tblHeader w:val="false"/>
        </w:trPr>
        <w:tc>
          <w:tcPr>
            <w:tcW w:type="dxa" w:w="14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Leadership and collegial support</w:t>
            </w:r>
          </w:p>
        </w:tc>
        <w:tc>
          <w:tcPr>
            <w:tcW w:type="dxa" w:w="12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System (school)</w:t>
            </w:r>
          </w:p>
        </w:tc>
        <w:tc>
          <w:tcPr>
            <w:tcW w:type="dxa" w:w="39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most frequent reason leavers name, 18% (Brandenburg et al., 2024); US turnover runs at 18.7% under leadership rated low and 9.0% under leadership rated high (Tan et al., 2026)</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Australia and the United States alike</w:t>
            </w:r>
          </w:p>
        </w:tc>
      </w:tr>
      <w:tr>
        <w:trPr>
          <w:tblHeader w:val="false"/>
        </w:trPr>
        <w:tc>
          <w:tcPr>
            <w:tcW w:type="dxa" w:w="14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Family, care and life stage</w:t>
            </w:r>
          </w:p>
        </w:tc>
        <w:tc>
          <w:tcPr>
            <w:tcW w:type="dxa" w:w="12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Personal</w:t>
            </w:r>
          </w:p>
        </w:tc>
        <w:tc>
          <w:tcPr>
            <w:tcW w:type="dxa" w:w="39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 newborn child predicted exit more strongly than pay in the classic US cohort, where two thirds of exiting women left the labour force (Stinebrickner, 2002)</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Where parental leave and childcare are thin; the classic cohort predates modern leave policy</w:t>
            </w:r>
          </w:p>
        </w:tc>
      </w:tr>
      <w:tr>
        <w:trPr>
          <w:tblHeader w:val="false"/>
        </w:trPr>
        <w:tc>
          <w:tcPr>
            <w:tcW w:type="dxa" w:w="14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Control over one's own time</w:t>
            </w:r>
          </w:p>
        </w:tc>
        <w:tc>
          <w:tcPr>
            <w:tcW w:type="dxa" w:w="12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Personal, met or missed by the system</w:t>
            </w:r>
          </w:p>
        </w:tc>
        <w:tc>
          <w:tcPr>
            <w:tcW w:type="dxa" w:w="39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Dutch leavers rank control over hours and autonomy above salary as return conditions (Somers et al., 2024a); England's return-ready career breakers wanted part-time posts schools rarely advertise (Worth and Sharp, 2018)</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Where the part-time market in schools is thin</w:t>
            </w:r>
          </w:p>
        </w:tc>
      </w:tr>
      <w:tr>
        <w:trPr>
          <w:tblHeader w:val="false"/>
        </w:trPr>
        <w:tc>
          <w:tcPr>
            <w:tcW w:type="dxa" w:w="14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Pension design and retirement timing</w:t>
            </w:r>
          </w:p>
        </w:tc>
        <w:tc>
          <w:tcPr>
            <w:tcW w:type="dxa" w:w="124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System (policy)</w:t>
            </w:r>
          </w:p>
        </w:tc>
        <w:tc>
          <w:tcPr>
            <w:tcW w:type="dxa" w:w="39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Teachers retire considerably earlier than comparable professionals (Harris and Adams, 2007); pension wealth peaks in the late fifties then falls, pulling teachers to a date and pushing them past it (Costrell and Podgursky, 2009)</w:t>
            </w:r>
          </w:p>
        </w:tc>
        <w:tc>
          <w:tcPr>
            <w:tcW w:type="dxa" w:w="236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Systems where retirements dominate departures, including France, Greece, Ireland and Israel (OECD, 2025a)</w:t>
            </w:r>
          </w:p>
        </w:tc>
      </w:tr>
    </w:tbl>
    <w:p>
      <w:pPr>
        <w:spacing w:after="120"/>
      </w:pPr>
    </w:p>
    <w:p>
      <w:pPr>
        <w:spacing w:after="60"/>
        <w:jc w:val="left"/>
      </w:pPr>
      <w:r>
        <w:rPr>
          <w:sz w:val="18"/>
          <w:szCs w:val="18"/>
        </w:rPr>
        <w:t xml:space="preserve">Note: The classification follows Nguyen et al. (2020), with school and policy factors pooled as system motives. Figures are as published and not comparable across studies; the United States gradients are correlational, and stated intentions to leave overstate realised exits (Nguyen et al., 2025).</w:t>
      </w:r>
    </w:p>
    <w:p>
      <w:pPr>
        <w:spacing w:after="60"/>
        <w:jc w:val="left"/>
      </w:pPr>
      <w:r>
        <w:rPr>
          <w:sz w:val="18"/>
          <w:szCs w:val="18"/>
        </w:rPr>
        <w:t xml:space="preserve">Source: Studies cited in the table.</w:t>
      </w:r>
    </w:p>
    <w:p>
      <w:pPr>
        <w:spacing w:after="160" w:line="264" w:lineRule="auto"/>
        <w:jc w:val="both"/>
      </w:pPr>
      <w:r>
        <w:t xml:space="preserve">Workload leads the system column because behaviour, not testimony, put it there; the leavers of Section 2.1 gave up earnings to escape the hours, a tenth of their wages in the English case. The motive binds hardest where teaching is sold only in full-time units, and there it shades into the personal demand for command of one's own time. A thin part-time market, as in England and the Netherlands (Table 2.1), makes hours both the reason for going and the obstacle to coming back.</w:t>
      </w:r>
    </w:p>
    <w:p>
      <w:pPr>
        <w:spacing w:after="160" w:line="264" w:lineRule="auto"/>
        <w:jc w:val="both"/>
      </w:pPr>
      <w:r>
        <w:t xml:space="preserve">Salary weighs most where an alternative career is genuinely bidding. The American evidence is the most salary-responsive in the base (Table 2.1), financial incentives reliably retain serving teachers in the quasi-experimental record (Sims, Lowes-Belk and Routledge, 2026), and return rates run highest in subjects with the fewest opportunities elsewhere (OECD, 2005). In Australia and England, where leavers demonstrably accept lower pay, the same dial turns little.</w:t>
      </w:r>
    </w:p>
    <w:p>
      <w:pPr>
        <w:spacing w:after="160" w:line="264" w:lineRule="auto"/>
        <w:jc w:val="both"/>
      </w:pPr>
      <w:r>
        <w:t xml:space="preserve">Leadership is what leavers name first, ahead of workload, in the one national survey of former teachers that asked (Table 2.1), and stress works through the same organisational channel, roughly doubling the stated intention to leave (OECD, 2020). Which stressor dominates is a national matter. Pooled TALIS 2024 data put student behaviour ahead of workload and accountability pressures as a predictor of intended exit, a ranking the Australian and English evidence reverses in workload's favour (OECD, 2025b); the accountability climate is a policy possession wherever it bites, and how hard it bites refuses to travel across borders.</w:t>
      </w:r>
    </w:p>
    <w:p>
      <w:pPr>
        <w:spacing w:after="160" w:line="264" w:lineRule="auto"/>
        <w:jc w:val="both"/>
      </w:pPr>
      <w:r>
        <w:t xml:space="preserve">The personal motives run on a different calendar. A newborn child predicted exit better than pay in the classic cohort (Table 2.1), and the motive's grip depends on the institutions around it, since part-time opportunities, leave schemes and family-friendly support raise the rate at which women return (OECD, 2005). Retirement, by contrast, only feels personal; teachers leave earlier than comparable professionals because pension wealth is legislated to peak and then fall (Table 2.1). The decision arrives with a birthday, and the timing was written by a fund.</w:t>
      </w:r>
    </w:p>
    <w:p>
      <w:pPr>
        <w:spacing w:after="160" w:line="264" w:lineRule="auto"/>
        <w:jc w:val="both"/>
      </w:pPr>
      <w:r>
        <w:t xml:space="preserve">Every system motive in Table 2.1 has an owner with the power of amendment, from school leadership to pension law, and Chapters 3 and 4 accordingly read re-entry policy as repair. The personal motives have no owner and need none; they are the motives the purchase of time was made to serve, and the offer that meets them is denominated in hours, as Section 2.4 will show. Both theses of this paper are consequences of the same table.</w:t>
      </w:r>
    </w:p>
    <w:p>
      <w:pPr>
        <w:pStyle w:val="Heading2"/>
      </w:pPr>
      <w:r>
        <w:t xml:space="preserve">2.3. What would reverse the trade?</w:t>
      </w:r>
    </w:p>
    <w:p>
      <w:pPr>
        <w:spacing w:after="160" w:line="264" w:lineRule="auto"/>
        <w:jc w:val="both"/>
      </w:pPr>
      <w:r>
        <w:rPr>
          <w:b/>
          <w:bCs/>
        </w:rPr>
        <w:t xml:space="preserve">Asked directly, former teachers name salary as the price of return; watched rather than asked, they keep paying for conditions, and the two answers cannot both be taken at face value.</w:t>
      </w:r>
    </w:p>
    <w:p>
      <w:pPr>
        <w:spacing w:after="160" w:line="264" w:lineRule="auto"/>
        <w:jc w:val="both"/>
      </w:pPr>
      <w:r>
        <w:t xml:space="preserve">The survey arm deserves to be stated at full strength before it is examined. In the one American state to survey its non-teaching certificate-holders at scale, a third (33%) placed a higher salary among their three most important reasons for not teaching, and a salary increase was the incentive to return chosen most often, ahead of pension, benefit and loan-forgiveness measures that were themselves financial (Lindsay, Gnedko-Berry and Wan, 2021). Nothing in this paper's evidence base observes revealed preferences at comparable scale, so the finding cannot be discounted merely for pointing away from the panel data of Section 2.1.</w:t>
      </w:r>
    </w:p>
    <w:p>
      <w:pPr>
        <w:spacing w:after="160" w:line="264" w:lineRule="auto"/>
        <w:jc w:val="both"/>
      </w:pPr>
      <w:r>
        <w:t xml:space="preserve">It can be examined with the scepticism applied to everything else. The conditions-first reading rests on observed post-exit trajectories in three separate labour markets. The salary-first reading rests on a single survey with a response rate below one in three, which its own authors describe as not representative, answered from a menu of incentives dominated by financial items (Lindsay, Gnedko-Berry and Wan, 2021). Stated willingness is also cheap in every direction. In the one national registration survey that asks, over half of registered teachers not working in schools say they would consider returning under the right circumstances, while roughly one in twenty is actively looking (AITSL, 2025). A costless signal at unspecified terms estimates nothing about supply, in either currency.</w:t>
      </w:r>
    </w:p>
    <w:p>
      <w:pPr>
        <w:spacing w:after="160" w:line="264" w:lineRule="auto"/>
        <w:jc w:val="both"/>
      </w:pPr>
      <w:r>
        <w:t xml:space="preserve">Part of the split dissolves once the population is subdivided, because how people left shapes what would bring them back. Leavers whose exit was a life event return when circumstances change, not when advertising improves, and many in the classic cohort eventually did return (Stinebrickner, 2002). Mid-career resigners are priced by workload and control. Retirees are priced by pension law, whatever they tell a surveyor about salary. The exit split introduced in Chapter 1 thus selects the relevant dial before any questionnaire is fielded.</w:t>
      </w:r>
    </w:p>
    <w:p>
      <w:pPr>
        <w:spacing w:after="160" w:line="264" w:lineRule="auto"/>
        <w:jc w:val="both"/>
      </w:pPr>
      <w:r>
        <w:t xml:space="preserve">What remains of the split is genuinely unresolved, and its honest use is directional. Post-exit earnings trajectories are a product registers already generate, so a ministry can establish which reading fits its own leavers from data the state already holds, at a cost far below that of a programme calibrated to a misread preference. A system whose leavers demonstrably paid for conditions buys little by bidding money against that record; a system whose former teachers have stated a price has at least been told which dial to test first. Chapter 3 returns to both dials with the programme record in hand.</w:t>
      </w:r>
    </w:p>
    <w:p>
      <w:pPr>
        <w:pStyle w:val="Heading2"/>
      </w:pPr>
      <w:r>
        <w:t xml:space="preserve">2.4. Selling days rather than posts</w:t>
      </w:r>
    </w:p>
    <w:p>
      <w:pPr>
        <w:spacing w:after="160" w:line="264" w:lineRule="auto"/>
        <w:jc w:val="both"/>
      </w:pPr>
      <w:r>
        <w:rPr>
          <w:b/>
          <w:bCs/>
        </w:rPr>
        <w:t xml:space="preserve">Wherever former teachers return in numbers, what they are being sold is hours, because an offer of days lets a returner keep the deal they made.</w:t>
      </w:r>
    </w:p>
    <w:p>
      <w:pPr>
        <w:spacing w:after="160" w:line="264" w:lineRule="auto"/>
        <w:jc w:val="both"/>
      </w:pPr>
      <w:r>
        <w:t xml:space="preserve">The standing regulatory routes converge on this product from starting points that share nothing else. New Zealand's statutory on-ramp is twenty half-days of relief teaching a year without a current practising certificate (New Zealand Legislation, 2020). Ontario lets a retired teacher work fifty days a year before pension consequences begin (Ontario Teachers' Pension Plan, 2026). Ireland's annual supply measure suspends the limit on substitute work by teachers already on career break (Department of Education and Youth, 2025). No preference study produced any of these rules. Each simply defines a small, divisible quantity of teaching, and that is the quantity the market clears.</w:t>
      </w:r>
    </w:p>
    <w:p>
      <w:pPr>
        <w:spacing w:after="160" w:line="264" w:lineRule="auto"/>
        <w:jc w:val="both"/>
      </w:pPr>
      <w:r>
        <w:t xml:space="preserve">The convergence has a seller as well as a buyer. A day of relief teaching is a transaction a principal can complete alone. It creates no establishment post and no placement on the salary scale, it commits nobody for a year, and the thresholds above sit exactly where pension or certification consequences would otherwise begin. Each instrument, in effect, marks out the largest amount of teaching a former teacher can supply without re-engaging the machinery they left. What happens when that machinery is engaged anyway is the business of Chapter 3.</w:t>
      </w:r>
    </w:p>
    <w:p>
      <w:pPr>
        <w:spacing w:after="160" w:line="264" w:lineRule="auto"/>
        <w:jc w:val="both"/>
      </w:pPr>
      <w:r>
        <w:t xml:space="preserve">Where returners actually land confirms what the rules sell. In the one Japanese prefecture studied in depth, retirees supply roughly 60% of part-time adjunct hires (Sakuma and Shimazaki, 2024). The returners recruited through direct outreach in New South Wales went into casual and temporary engagements (NSW Government, 2024), and the Portuguese returner statute goes further still and pro-rates its pay by teaching hours (Decreto-Lei n.º 51/2024, Art. 5). Nor is any of this an invention of the current generation of programmes. At the turn of the century returners already made up about a quarter of the full-time inflow into UK maintained schools, and more than half of the part-time inflow (OECD, 2005). Hours are the channel through which return has always run.</w:t>
      </w:r>
    </w:p>
    <w:p>
      <w:pPr>
        <w:spacing w:after="160" w:line="264" w:lineRule="auto"/>
        <w:jc w:val="both"/>
      </w:pPr>
      <w:r>
        <w:t xml:space="preserve">The demand side matches the supply side with unusual precision. When registrants for England's returner pilot were segmented by motivation, the most return-committed group, the career breakers, made up 11% of registrants and returned at roughly double the rate of the other four types (Buchanan et al., 2018; Worth and Sharp, 2018). What that group wanted was part-time work, and part-time posts are what schools rarely advertise. Interest was never the binding constraint in that market. The advertised part-time post was.</w:t>
      </w:r>
    </w:p>
    <w:p>
      <w:pPr>
        <w:spacing w:after="160" w:line="264" w:lineRule="auto"/>
        <w:jc w:val="both"/>
      </w:pPr>
      <w:r>
        <w:t xml:space="preserve">Two systems reached the operational conclusion independently, which is some evidence that it is the right one. England's successor programme tied funded returner places to schools with identified vacancies, correcting a pilot that had prepared people for posts that did not exist (NCTL, 2017). New Zealand waives its refresher requirement for returners who already hold an offer of work, so that the rule never delays a returner a school actually wants (Teaching Council of Aotearoa New Zealand, 2026). Both treat the identified vacancy, with the hours attached to it, as the unit in which re-entry policy deals. Neither disguises the motive. Systems knock on former teachers' doors because vacancies hurt, and what secures the returner is the offer shaped to the deal they made, not the knocking.</w:t>
      </w:r>
    </w:p>
    <w:p>
      <w:pPr>
        <w:spacing w:after="160" w:line="264" w:lineRule="auto"/>
        <w:jc w:val="both"/>
      </w:pPr>
      <w:r>
        <w:t xml:space="preserve">The proposition has a boundary, and the salary survey of Section 2.3 patrols it. No system examined here has ever offered a full-time post on genuinely changed conditions, with a protected timetable and a capped administrative load, so the revealed preference for small quantities is partly a preference expressed on the only menu ever printed. The obvious test, advertised part-time contracts with protected timetables, has been named in the literature since 2018 and tried nowhere (Worth and Sharp, 2018).</w:t>
      </w:r>
    </w:p>
    <w:p>
      <w:pPr>
        <w:spacing w:after="160" w:line="264" w:lineRule="auto"/>
        <w:jc w:val="both"/>
      </w:pPr>
      <w:r>
        <w:t xml:space="preserve">There is one true exception to the rule that scale comes in days, and it is instructive about what full posts cost. A single system has filled establishment posts with former teachers at scale. It did so by letting a full pension stack on top of a full salary, an institutional change whose price and consequences belong to Chapter 3 (Jarrold-Grapes and Mahler, 2024).</w:t>
      </w:r>
    </w:p>
    <w:p>
      <w:pPr>
        <w:pStyle w:val="Heading2"/>
      </w:pPr>
      <w:r>
        <w:t xml:space="preserve">2.5. What can a returner be asked to do?</w:t>
      </w:r>
    </w:p>
    <w:p>
      <w:pPr>
        <w:spacing w:after="160" w:line="264" w:lineRule="auto"/>
        <w:jc w:val="both"/>
      </w:pPr>
      <w:r>
        <w:rPr>
          <w:b/>
          <w:bCs/>
        </w:rPr>
        <w:t xml:space="preserve">The one deployment of this workforce ever shown to move pupil outcomes was a defined job at a specified dose, and that is a fact about what has been measured, not a ceiling on what former teachers can do.</w:t>
      </w:r>
    </w:p>
    <w:p>
      <w:pPr>
        <w:spacing w:after="160" w:line="264" w:lineRule="auto"/>
        <w:jc w:val="both"/>
      </w:pPr>
      <w:r>
        <w:t xml:space="preserve">The question matters because the channel that absorbs most returners asks least of what they carry. Relief and casual work buys presence in a classroom. It buys no continuity with a class and no part in induction or mentoring, and nothing in the record says what is gained or lost by deploying twenty years of experience as interchangeable cover. The comparison is unattempted rather than expensive; any system that linked returner records to the classes they teach and the colleagues they work beside could make it.</w:t>
      </w:r>
    </w:p>
    <w:p>
      <w:pPr>
        <w:spacing w:after="160" w:line="264" w:lineRule="auto"/>
        <w:jc w:val="both"/>
      </w:pPr>
      <w:r>
        <w:t xml:space="preserve">Nor is what returners carry a constant across systems. Among the seven OECD countries with seniority data on resigning teachers, one in three resigners on average had served less than five years, but the share runs from about one in six in Denmark to around two thirds in Israel (OECD, 2025a; Table 2.2). One country's leaver pool is deep in accumulated craft; another's is largely early-career. A role for returners has to be designed against the pool a system actually has, which is one more reason the netted, subdivided count of Chapter 1 comes first.</w:t>
      </w:r>
    </w:p>
    <w:p>
      <w:pPr>
        <w:keepNext/>
        <w:spacing w:after="120" w:before="200"/>
      </w:pPr>
      <w:r>
        <w:rPr>
          <w:b/>
          <w:bCs/>
          <w:color w:val="4E81BD"/>
          <w:sz w:val="23"/>
          <w:szCs w:val="23"/>
        </w:rPr>
        <w:t xml:space="preserve">Table 2.2. Share of resigning teachers with less than five years of service, 2022/23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75"/>
        <w:gridCol w:w="4497"/>
      </w:tblGrid>
      <w:tr>
        <w:trPr>
          <w:tblHeader/>
        </w:trPr>
        <w:tc>
          <w:tcPr>
            <w:tcW w:type="dxa" w:w="457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Country</w:t>
            </w:r>
          </w:p>
        </w:tc>
        <w:tc>
          <w:tcPr>
            <w:tcW w:type="dxa" w:w="449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Share of resigning teachers with less than five years of service</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Denmark</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16%</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Sweden</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23%</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Estonia</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30%</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Poland</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32%</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Slovak Republic</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40%</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Austria</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58%</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Israel</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68%</w:t>
            </w:r>
          </w:p>
        </w:tc>
      </w:tr>
      <w:tr>
        <w:trPr>
          <w:tblHeader w:val="false"/>
        </w:trPr>
        <w:tc>
          <w:tcPr>
            <w:tcW w:type="dxa" w:w="45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Average of the seven countries</w:t>
            </w:r>
          </w:p>
        </w:tc>
        <w:tc>
          <w:tcPr>
            <w:tcW w:type="dxa" w:w="44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34%</w:t>
            </w:r>
          </w:p>
        </w:tc>
      </w:tr>
    </w:tbl>
    <w:p>
      <w:pPr>
        <w:spacing w:after="120"/>
      </w:pPr>
    </w:p>
    <w:p>
      <w:pPr>
        <w:spacing w:after="60"/>
        <w:jc w:val="left"/>
      </w:pPr>
      <w:r>
        <w:rPr>
          <w:sz w:val="18"/>
          <w:szCs w:val="18"/>
        </w:rPr>
        <w:t xml:space="preserve">Note: Data refer to fully qualified teachers who left the profession by resigning in the 2022/23 school year, in the seven OECD countries with seniority data on resigning teachers. Figures for Austria and Israel are approximate.</w:t>
      </w:r>
    </w:p>
    <w:p>
      <w:pPr>
        <w:spacing w:after="60"/>
        <w:jc w:val="left"/>
      </w:pPr>
      <w:r>
        <w:rPr>
          <w:sz w:val="18"/>
          <w:szCs w:val="18"/>
        </w:rPr>
        <w:t xml:space="preserve">Source: OECD (2025a), </w:t>
      </w:r>
      <w:r>
        <w:rPr>
          <w:i/>
          <w:iCs/>
          <w:sz w:val="18"/>
          <w:szCs w:val="18"/>
        </w:rPr>
        <w:t xml:space="preserve">Education at a Glance 2025: OECD Indicators</w:t>
      </w:r>
      <w:r>
        <w:rPr>
          <w:sz w:val="18"/>
          <w:szCs w:val="18"/>
        </w:rPr>
        <w:t xml:space="preserve">.</w:t>
      </w:r>
    </w:p>
    <w:p>
      <w:pPr>
        <w:spacing w:after="160" w:line="264" w:lineRule="auto"/>
        <w:jc w:val="both"/>
      </w:pPr>
      <w:r>
        <w:t xml:space="preserve">At one end of the design spectrum sits a role scripted to the minute, and it is the closest the trial literature has come to pricing this workforce. A structured mathematics protocol for at-risk first-graders, taught in small groups for forty minutes, three times a week, over seventeen weeks, was delivered by more than eighty tutors recruited from local pools of retired and substitute teachers. Across nearly a thousand first-graders in dozens of schools in four urban districts, each in a different state, it reproduced an effect first obtained with graduate students, at +0.34 standard deviations on a standardised early-mathematics test (Gersten et al., 2015; Rolfhus et al., 2012; Fuchs et al., 2005). What the districts bought was fidelity to a protocol rather than professional judgement, and what they bought is exactly what the trial measured.</w:t>
      </w:r>
    </w:p>
    <w:p>
      <w:pPr>
        <w:spacing w:after="160" w:line="264" w:lineRule="auto"/>
        <w:jc w:val="both"/>
      </w:pPr>
      <w:r>
        <w:t xml:space="preserve">At the other end sits the trial that specified nothing and settled nothing. Recently retired master educators, screened by interview for a record of excellence and deliberately kept out of evaluating the teachers they mentored, averaged more than two decades in their district's high-need schools. The 77 probationary teachers in 11 schools of one district were assigned at random to receive one for two years, with both arms keeping the district's business-as-usual buddy mentoring, so the trial estimates the added value of the retired mentor over standard support (DeCesare, McClelland and Randel, 2017). It meets What Works Clearinghouse standards without reservations, and under those standards its effects are indeterminate in all three reviewed domains, reading, mathematics and teacher retention (What Works Clearinghouse, 2019). Its first-year mathematics result did not survive the report's own multiple-comparison adjustment, and its retention point estimates ran the wrong way. The one encouraging signal concerns dose, a doubling of the odds that a mentee stayed with each additional ten hours of mentoring, and it is exploratory and non-causal by the report's own account. How much mentoring the pairs actually did had been left largely to the pairs.</w:t>
      </w:r>
    </w:p>
    <w:p>
      <w:pPr>
        <w:spacing w:after="160" w:line="264" w:lineRule="auto"/>
        <w:jc w:val="both"/>
      </w:pPr>
      <w:r>
        <w:t xml:space="preserve">Set side by side, the two trials seem to hand down a verdict, that structure works and craft does not. They will not carry that reading. One trial specified a job and a dose and found an effect. The other specified neither, and an indeterminate rating under trial standards is a statement about evidential power, not a negative result; a small trial that set no dose is no verdict on twenty years of practice. What the pair actually demonstrates is narrower and more useful. The deployment someone bothered to define is also the only one anyone has managed to price.</w:t>
      </w:r>
    </w:p>
    <w:p>
      <w:pPr>
        <w:spacing w:after="160" w:line="264" w:lineRule="auto"/>
        <w:jc w:val="both"/>
      </w:pPr>
      <w:r>
        <w:t xml:space="preserve">Even the positive trial resists a clean attribution to former teachers. Its tutors were retired and substitute teachers, with no published split between the two, and the wider tutoring meta-analysis finds the largest effects for teacher and paraprofessional tutors without ever isolating retired educators as a class (Nickow, Oreopoulos and Quan, 2024). The longest-running deployment of older adults as school reading tutors, for its part, is evidence about older volunteers, since being a former teacher is not among its eligibility conditions (Morrow-Howell et al., 2009). That programme still earns its place here, because its randomised volunteer arm found health gains for the tutors themselves, in physical activity in a pilot trial and in brain volume within a neuroimaging subsample (Fried et al., 2004; Carlson et al., 2015). A finding of that kind invites a health ministry's budget into a conversation education ministries mostly conduct alone.</w:t>
      </w:r>
    </w:p>
    <w:p>
      <w:pPr>
        <w:spacing w:after="160" w:line="264" w:lineRule="auto"/>
        <w:jc w:val="both"/>
      </w:pPr>
      <w:r>
        <w:t xml:space="preserve">None of this leaves the case for former teachers resting on faith. A former teacher arrives with a valid or restorable licence and can be deployed without consuming a place in initial teacher education. They combine fluency in how schools run with a position outside the school's evaluation hierarchy, a trust advantage the mentoring trial's own report identifies and that neither a new graduate nor a serving head of department can offer (DeCesare, McClelland and Randel, 2017). The mechanism a designed role would harness is documented too, and it is the reason this population is worth recovering in itself. Teachers improve measurably when the quality of the colleagues around them rises, with the gains largest for the least experienced (Jackson and Bruegmann, 2009). An experienced returner is therefore more than a filled vacancy. They are capability the system itself paid two decades to build, and placing them beside novices is the nearest thing a school system has to growing from within. But that mechanism works through sustained proximity, and dose is not a detail. The largest randomised trial of comprehensive teacher induction found no effects after one year of support, and a positive achievement effect only in the third year, among teachers who had received two full years of it (Glazerman et al., 2010).</w:t>
      </w:r>
    </w:p>
    <w:p>
      <w:pPr>
        <w:spacing w:after="160" w:line="264" w:lineRule="auto"/>
        <w:jc w:val="both"/>
      </w:pPr>
      <w:r>
        <w:t xml:space="preserve">Availability is no obstacle to buying a serious dose. The doses that matter in this literature run to a few dozen hours or sessions a year, with student gains concentrated among pupils who received at least that much (Morrow-Howell et al., 2009), while the caps that constrain retiree work run to hundreds of hours. A system that engages former teachers for token hours should expect no measured effect, and a system that buys a real dose is buying well inside what its own rules already permit.</w:t>
      </w:r>
    </w:p>
    <w:p>
      <w:pPr>
        <w:spacing w:after="160" w:line="264" w:lineRule="auto"/>
        <w:jc w:val="both"/>
      </w:pPr>
      <w:r>
        <w:t xml:space="preserve">What is still missing is the linkage that would settle the craft question, in either direction. No study in this evidence base connects a returner to the outcomes of a class or of a colleague. Even the authors of the largest documented return episode, several thousand experienced retirees back in full-time posts, state that they could not attempt the estimate for want of vacancy data and a counterfactual (Jarrold-Grapes and Mahler, 2024). Twenty years of craft may well deserve a premium. Only a specified purchase has ever been priced, and the distance between those two sentences measures effort, not value. The spillover evidence is what keeps the premium a live hypothesis rather than a sentiment, because a mechanism shown to lift nearby colleagues could be operating unpriced in every staffroom a returner joins, and a hypothesis that plausible earns the linkage study. Linked data could show returners outperforming novices in comparable posts, which would strengthen a premise this paper has declined to assert, or underperforming them, which would narrow the rationale to the licence and the deployability. Chapter 4 converts the linkage study, and the trial of a designed role at a specified dose, into requests.</w:t>
      </w:r>
    </w:p>
    <w:p>
      <w:pPr>
        <w:spacing w:after="160" w:line="264" w:lineRule="auto"/>
        <w:jc w:val="both"/>
      </w:pPr>
      <w:r>
        <w:t xml:space="preserve">The chapter closes where it opened, on the trade. Former teachers sold earnings for time and have shown no wish to unwind the sale, so the offer that respects the trade is denominated in hours, attached wherever possible to an identified vacancy and, for the designed roles, delivered at a dose someone chose on purpose. That specification is now in hand. Chapter 3 reads two decades of programmes and regulation against it, asking which states, if any, ever put the matching offer on the table, what price their own rules attached to a return, and who set that price.</w:t>
      </w:r>
    </w:p>
    <w:p>
      <w:pPr>
        <w:pStyle w:val="Heading1"/>
        <w:pageBreakBefore/>
      </w:pPr>
      <w:r>
        <w:t xml:space="preserve">3. Re-entry policy in practice: international experience</w:t>
      </w:r>
    </w:p>
    <w:p>
      <w:pPr>
        <w:spacing w:after="160" w:line="264" w:lineRule="auto"/>
        <w:jc w:val="both"/>
      </w:pPr>
      <w:r>
        <w:t xml:space="preserve">In 2015, England went looking for its former teachers. A national registration opened to any qualified teacher out of post, personal support and placements in partner schools stood behind it, and the whole apparatus pointed at the secondary subjects hardest to staff. The response was immediate; 5 729 people registered, close to double the target. Then the machinery began to grind. Of those thousands, 354 went on to receive the pilot's support, and by the workforce census of November 2016 that closed the account, 27 were teaching in the permanent shortage-subject posts the pilot existed to fill (Buchanan et al., 2018; Table 3.1).</w:t>
      </w:r>
    </w:p>
    <w:p>
      <w:pPr>
        <w:spacing w:after="160" w:line="264" w:lineRule="auto"/>
        <w:jc w:val="both"/>
      </w:pPr>
      <w:r>
        <w:t xml:space="preserve">The largest return of teachers in this record was never asked for. North Carolina ran no campaign and sent no advisers; in 1999 it changed a pension rule, so that a retired teacher could hold a full-time post at full salary without giving up the pension, and then let ordinary hiring do the rest. Roughly 3 500 retirees came back over the decade the rule stood, through the same vacancy lists as everyone else, and more than half the schools observed hired at least one (Jarrold-Grapes and Mahler, 2024; Box 3.1).</w:t>
      </w:r>
    </w:p>
    <w:p>
      <w:pPr>
        <w:spacing w:after="160" w:line="264" w:lineRule="auto"/>
        <w:jc w:val="both"/>
      </w:pPr>
      <w:r>
        <w:t xml:space="preserve">Dozens where governments advertised, thousands where a rule moved. That contrast is the international record in miniature, and the record is long. It opens with a statute of 1999 and closes with programmes still recruiting in the mid-2020s, and across those decades systems reached for their former teachers in the years when classrooms were going unstaffed. Campaigns and statutes alike were built, mostly and quite openly, to cover vacancies, a motive this paper takes at face value. The contrast also forces the question this chapter is built around. If interest was never the scarce resource, what does an invitation buy, and where is the price of accepting one actually written? The record of what governments have actually built, mapped below family by family, answers the first question. The ledger of rules answers the second, and almost none of those rules turns out to be written inside an education ministry, or written on purpose.</w:t>
      </w:r>
    </w:p>
    <w:p>
      <w:pPr>
        <w:pStyle w:val="Heading2"/>
      </w:pPr>
      <w:r>
        <w:t xml:space="preserve">3.1. The record of attempts: five families of re-entry policy</w:t>
      </w:r>
    </w:p>
    <w:p>
      <w:pPr>
        <w:spacing w:after="160" w:line="264" w:lineRule="auto"/>
        <w:jc w:val="both"/>
      </w:pPr>
      <w:r>
        <w:rPr>
          <w:b/>
          <w:bCs/>
        </w:rPr>
        <w:t xml:space="preserve">Governments have pursued their former teachers through five recognisable families of policy, and every family found willing returners; the family that changed the price of a return found them in the thousands.</w:t>
      </w:r>
    </w:p>
    <w:p>
      <w:pPr>
        <w:spacing w:after="160" w:line="264" w:lineRule="auto"/>
        <w:jc w:val="both"/>
      </w:pPr>
      <w:r>
        <w:t xml:space="preserve">In country after country, efforts have been made to re-attract former and retired teachers to the classroom, seeking two things above all, cover for lessons that would otherwise go untaught and the recovery of experience the system itself once paid to build. The ambition is canonical; the OECD recommended maintaining contact with former teachers and flexible re-entry pathways two decades ago (OECD, 2005) and today lists support for re-entry among the standing levers of teacher supply (OECD, 2024). To that end, several routes have been enabled. Some governments built campaigns, with national registration, advisers and funded refresher training. Some wrote directly to the people in their own personnel records. Some attached money to the return, paid to the returner, to the receiving school or to the costs of a named posting. Some rewrote the pension and employment rules that set the price of a return. And some built standing on-ramps designed to outlast any single drive. Table 3.1 holds the published take-up counts and Table 3.2 the rule settings; the prose carries each scheme's story, the tables its arithmetic.</w:t>
      </w:r>
    </w:p>
    <w:p>
      <w:pPr>
        <w:spacing w:after="160" w:line="264" w:lineRule="auto"/>
        <w:jc w:val="both"/>
      </w:pPr>
      <w:r>
        <w:rPr>
          <w:b/>
          <w:bCs/>
        </w:rPr>
        <w:t xml:space="preserve">Campaigns of re-attraction with funded support treat a return as a conversion problem, and England has run the family's fullest experiment.</w:t>
      </w:r>
      <w:r>
        <w:t xml:space="preserve"> The pilot advertised nationally, registered the interested and funded the stage between interest and employment through partnerships of schools that had under-recruited in the target subjects, with subject-knowledge and refresher training, classroom experience and mentoring, free to the participant and with no payment to the returner (Buchanan et al., 2018). It is the one campaign in this record with a complete, independent account of itself. The evaluation found interest abundant at every stage and traced the collapse between registration and placement to operations, above all to the timing of support against the hiring cycle and to the scarcity of practical teaching opportunities in partner schools (Buchanan et al., 2018). What the programme could not manufacture was a vacancy at the moment the returner was ready. The successor programme drew the plain conclusion and tied every funded place to a school with an identified vacancy (NCTL, 2017), which remains the most direct fix in the record for the most commonly documented failure.</w:t>
      </w:r>
    </w:p>
    <w:p>
      <w:pPr>
        <w:spacing w:after="160" w:line="264" w:lineRule="auto"/>
        <w:jc w:val="both"/>
      </w:pPr>
      <w:r>
        <w:t xml:space="preserve">The campaign also taught the department who its returners are; the most committed of them, teachers on a career break, returned at double the rate of the rest and asked above all for the part-time posts that schools rarely advertise (Worth and Sharp, 2018). England then kept the cheapest layer of the apparatus. A standing adviser service gives any former teacher a named adviser, free, for application preparation and signposting to courses and vacancies; confined at first to mathematics, physics and modern foreign languages, it was later extended to every secondary subject and then to primary teaching (UK Parliament, 2022; Department for Education, 2023). In its two subject-restricted years the service recorded around 130 returns from more than 600 people advised (UK Parliament, 2022; Walker, 2022). It has never been independently evaluated; the department's own reporting has since folded into a statement that more teachers are returning than at any point in a decade (UK Parliament, 2026).</w:t>
      </w:r>
    </w:p>
    <w:p>
      <w:pPr>
        <w:spacing w:after="160" w:line="264" w:lineRule="auto"/>
        <w:jc w:val="both"/>
      </w:pPr>
      <w:r>
        <w:rPr>
          <w:b/>
          <w:bCs/>
        </w:rPr>
        <w:t xml:space="preserve">Direct outreach from the employer's own records is the family that asks least of the returner, and it has run at scale in Austria, in most German Länder and in New South Wales.</w:t>
      </w:r>
      <w:r>
        <w:t xml:space="preserve"> The route is a letter, or a call, from the system that already knows who left, with the paperwork of a return bundled behind it. Austria's regional education directorates turned to it as the retirement wave crested. Vienna wrote to 300 already retired teachers and instructed school principals to raise the question with staff approaching retirement; Styria encouraged the same conversations; Salzburg contacted every retired teacher up to age 67, offering public-transport tickets and higher premiums; Vorarlberg opened a dedicated service point, which now sends information on working in retirement out together with the retirement paperwork itself (APA/ORF, 2023). The one qualitative study of the people addressed suggests why such contact is worth the postage, post-retirement decisions to return are biographical, and staying in contact with the former school is among the things that tip them (Resch, 2025). Across six school years the country's Court of Audit counted 1 062 retired teachers who resumed teaching, in a workforce of roughly 123 000, with intakes that peaked in the pandemic years and then fell (Rechnungshof, 2025).</w:t>
      </w:r>
    </w:p>
    <w:p>
      <w:pPr>
        <w:spacing w:after="160" w:line="264" w:lineRule="auto"/>
        <w:jc w:val="both"/>
      </w:pPr>
      <w:r>
        <w:t xml:space="preserve">Most of Germany does the same, with thirteen of the sixteen Länder actively recruiting pensioned teachers on offers of flexible hours, lifted earnings limits and salary supplements of around 10% (Deutsches Schulportal, 2023). Hesse, the documented extreme, wrote to some 7 000 retired teachers in a school year and attributes about 550 filled posts to its whole short-term package of retiree recruitment, service extensions and part-time top-ups, not to the letters alone (Hessisches Ministerium für Kultus, Bildung und Chancen, 2024); nationwide, just over 5 000 pensioners were teaching, under 1% of the workforce (Deutsches Schulportal, 2023).</w:t>
      </w:r>
    </w:p>
    <w:p>
      <w:pPr>
        <w:spacing w:after="160" w:line="264" w:lineRule="auto"/>
        <w:jc w:val="both"/>
      </w:pPr>
      <w:r>
        <w:t xml:space="preserve">The cheapest documented variant ran in New South Wales. From November 2023 the education department contacted more than 1 500 teachers who had resigned from the public system in the previous five years, bundling accreditation, approval to teach and background checks into a single conversation; more than 260 expressed interest, and 145 were placed in casual and temporary work spread across more than 600 schools, about 60% of them returning from retirement (NSW Government, 2024). The letters went out weeks after a major pay settlement, and the department's standing page for returners still leads with the pay rise (NSW Department of Education, 2026). Outreach of this kind is a channel, transmitting a changed offer, rather than an instrument that creates one; it earns its place on cheapness, and its funnel was published once, in May 2024, then vanished from the following annual report (NSW Department of Education, 2025).</w:t>
      </w:r>
    </w:p>
    <w:p>
      <w:pPr>
        <w:spacing w:after="160" w:line="264" w:lineRule="auto"/>
        <w:jc w:val="both"/>
      </w:pPr>
      <w:r>
        <w:rPr>
          <w:b/>
          <w:bCs/>
        </w:rPr>
        <w:t xml:space="preserve">Money has been attached to the return in three different places, to the receiving school, to the returner's own pay and to the costs of a named posting, and what separates the designs is the stage of the return the money actually touches.</w:t>
      </w:r>
    </w:p>
    <w:p>
      <w:pPr>
        <w:spacing w:after="160" w:line="264" w:lineRule="auto"/>
        <w:jc w:val="both"/>
      </w:pPr>
      <w:r>
        <w:t xml:space="preserve">The Netherlands paid the school. Between 2017 and 2020 the government paid primary school boards EUR 2 500 for each qualified returner appointed for at least six months after at least twelve months out of teaching, the money covering the board's induction and guidance costs rather than pay (Ministerie van OCW, 2017). The budget provided for 500 returners against a silent reserve put at no fewer than 31 000 in the primary sector alone. Just over 100 grants were paid in the first full year and nearly 200 cumulatively by late 2019, the annual ceilings were lowered on extension precisely because the budget was not being exhausted, and the scheme lapsed without a published evaluation (Ministerie van OCW, 2019a; 2019b; Tweede Kamer, 2019). Successor regional schemes made activation of the silent reserve a fundable goal behind a mandatory regional information desk; their evaluation found tailored support to returners among the least realised activities, and several regions reported more applications from side-entrants and returners than schools could place, a self-reported finding that supports the direction of an absorption constraint rather than its magnitude (De Jong et al., 2022). An instrument that pays for a stage downstream of the binding one is deadweight by construction, and this one paid for induction, the stage after the constraint.</w:t>
      </w:r>
    </w:p>
    <w:p>
      <w:pPr>
        <w:spacing w:after="160" w:line="264" w:lineRule="auto"/>
        <w:jc w:val="both"/>
      </w:pPr>
      <w:r>
        <w:t xml:space="preserve">Portugal paid the returner, at the price of a novice. A decree of August 2024 created an exceptional route under which a teacher retired five years or less may return on a fixed-term contract in shortage subjects or understaffed schools, keeping the full pension, with additional pay indexed to the first step of the career salary scale and pro-rated by teaching hours, under an annual quota fixed by the government (Decreto-Lei n.º 51/2024, Art. 5). Against a quota of 200, some 80 applied and 63 were accepted, most commonly in Portuguese, history and special education (Diário de Notícias, 2024; Renascença, 2024). Those who came spoke of love of teaching, of recovering frozen service time and of thin pensions (Diário de Notícias, 2024); the largest union's leader called the idea that the retired would return "an illusion" (SÁBADO, 2024). The same decree carries a second instrument, a monthly supplement of EUR 750 for teachers who reach pensionable age and stay on, and some 2 200 teachers used it in 2025/26 (Decreto-Lei n.º 51/2024, Art. 6; RTP, 2026). The two articles form the record's cleanest paired reading of where money moves teachers, and the answer is before the exit rather than after it.</w:t>
      </w:r>
    </w:p>
    <w:p>
      <w:pPr>
        <w:spacing w:after="160" w:line="264" w:lineRule="auto"/>
        <w:jc w:val="both"/>
      </w:pPr>
      <w:r>
        <w:t xml:space="preserve">China paid the posting. The silver-age schemes recruit retired principals, teaching-research staff and special-grade and senior teachers, generally aged 65 or under, for at least a school year in named categories of county, counties recently lifted out of poverty, ethnic-minority counties and border counties among them (MOE and MOF, 2018; MOE et al., 2023). The recruit keeps the full pension and receives an annual allowance of CNY 20 000, funded on a gradient that charges the central budget most where the counties are poorest, with housing, a return journey each semester and insurance supplied in kind (MOE and MOF, 2018; MOE et al., 2023). The role is wider than a timetable, since demonstration lessons, service as vice-principals and the mentoring of young local teachers are written into it (MOE et al., 2023; State Council, 2023). The predecessor schemes report more than 20 000 recruits by mid-2023, and the current plan aims at a corps of some 120 000 across five education strands, though the counts are self-reported and no independent audit exists (State Council, 2023; MOE et al., 2023). An allowance that compensates the itemisable costs of a named posting is a different purchase from money offered flat against a revealed preference for staying away, and Chapter 2 set out why the preference usually wins. What almost nothing in this family offered was a change in the price of return itself, which stayed wherever the rules of the next family had set it.</w:t>
      </w:r>
    </w:p>
    <w:p>
      <w:pPr>
        <w:spacing w:after="160" w:line="264" w:lineRule="auto"/>
        <w:jc w:val="both"/>
      </w:pPr>
      <w:r>
        <w:rPr>
          <w:b/>
          <w:bCs/>
        </w:rPr>
        <w:t xml:space="preserve">Statutory relief on pension and salary is the family that has produced returns in the thousands, and its instruments are written by legislatures and pension boards rather than by education ministries.</w:t>
      </w:r>
      <w:r>
        <w:t xml:space="preserve"> Its route is permission, a law letting a retired teacher hold a paid post without forfeiting the pension, on conditions the statute sets, with returns travelling through ordinary hiring. North Carolina's window, already met above, remains the family's landmark, and its returners averaged more than thirty years of experience (Jarrold-Grapes and Mahler, 2024). Box 3.1 traces the design, its reach into high-need schools and the questions it left unanswered.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3.1. Removing the pension-salary trade-off entirely: North Carolina's return-to-work window, 1999-2009</w:t>
            </w:r>
          </w:p>
          <w:p>
            <w:pPr>
              <w:spacing w:after="120" w:line="252" w:lineRule="auto"/>
              <w:jc w:val="both"/>
            </w:pPr>
            <w:r>
              <w:rPr>
                <w:sz w:val="22"/>
                <w:szCs w:val="22"/>
              </w:rPr>
              <w:t xml:space="preserve">For a decade, one American state suspended the ordinary trade-off between a teacher's pension and a teacher's salary. Before 1999, a retired teacher in North Carolina who returned full-time forfeited pension and retiree health benefits, and part-time work was capped at earnings of half the previous salary. The return-to-work window lifted the cap, allowing a retiree to hold a full-time post at full salary while drawing the full pension, an income on the order of half as much again as a regular full-time teacher's. In its first year the window was confined to low-performing schools with a certification match, as interim instructors or substitutes; those restrictions were lifted in June 2000, after which no targeting mandate applied.</w:t>
            </w:r>
          </w:p>
          <w:p>
            <w:pPr>
              <w:spacing w:after="120" w:line="252" w:lineRule="auto"/>
              <w:jc w:val="both"/>
            </w:pPr>
            <w:r>
              <w:rPr>
                <w:sz w:val="22"/>
                <w:szCs w:val="22"/>
              </w:rPr>
              <w:t xml:space="preserve">About 3 500 teachers returned under the window, some 2.1% of the roughly 169 000 teachers observed, and over 1 500 schools, more than half the sample, hired at least one. By 2009, just over 35% of teachers who had been retirement-eligible in the previous year were returning to full-time work. Returning teachers averaged 31 years of experience, were more likely than other teachers to be Black and to teach mathematics, and worked in schools with 3.71 percentage points more economically disadvantaged and 4.86 percentage points more Black students than other teachers' schools; 30% taught in the most disadvantaged quartile of schools against 21% in the least. The gradient arose without steering, though 54% returned to the school they had left, so part of it reflects where those teachers had always worked.</w:t>
            </w:r>
          </w:p>
          <w:p>
            <w:pPr>
              <w:spacing w:after="120" w:line="252" w:lineRule="auto"/>
              <w:jc w:val="both"/>
            </w:pPr>
            <w:r>
              <w:rPr>
                <w:sz w:val="22"/>
                <w:szCs w:val="22"/>
              </w:rPr>
              <w:t xml:space="preserve">The study's cost framing matters for any imitator. The pension annuity is paid whether or not the retiree returns, so the marginal cost of the rehire is the salary difference against a novice, less the novice's benefits. What the authors could not do is also instructive. With no vacancy data and no counterfactual, no effect on student outcomes or on the shortage itself could be estimated, and the window expired in autumn 2009 with the question unanswered.</w:t>
            </w:r>
          </w:p>
          <w:p>
            <w:pPr>
              <w:spacing w:after="40"/>
            </w:pPr>
            <w:r>
              <w:rPr>
                <w:sz w:val="18"/>
                <w:szCs w:val="18"/>
              </w:rPr>
              <w:t xml:space="preserve">Source: Jarrold-Grapes and Mahler (2024).</w:t>
            </w:r>
          </w:p>
        </w:tc>
      </w:tr>
    </w:tbl>
    <w:p>
      <w:pPr>
        <w:spacing w:after="160"/>
      </w:pPr>
    </w:p>
    <w:p>
      <w:pPr>
        <w:spacing w:after="160" w:line="264" w:lineRule="auto"/>
        <w:jc w:val="both"/>
      </w:pPr>
      <w:r>
        <w:t xml:space="preserve">Georgia wrote the family's most restrictive statute and then audited it. Its rehire law of 2022 lets a retiree with 30 years of creditable service, retired for at least a year, teach full-time on full pension in the three highest-need subjects of the region, and the mandated audit counted 635 rehires over three fiscal years while surveyed employers named the statute's own screens as the reason wanted hires fell through; the renewal of 2026 kept the service rule, extended the programme to the end of the decade and devolved the high-need determination to school systems (Georgia Department of Audits and Accounts, 2025; Teachers Retirement System of Georgia, 2026). Box 3.2 follows the loop from statute to audit to renewal.</w:t>
      </w:r>
    </w:p>
    <w:p>
      <w:pPr>
        <w:spacing w:after="160" w:line="264" w:lineRule="auto"/>
        <w:jc w:val="both"/>
      </w:pPr>
      <w:r>
        <w:t xml:space="preserve">New Mexico layered routes instead. Its educational retirees may work at a quarter of a post or less, or below an earnings ceiling, or, on the newest route, with no limits on salary or hours for a fixed span of months, subject to a 90-day layout, a ban on pre-arranged returns and pension-board approval, and the span was lengthened and the earnings ceiling raised in 2025 (New Mexico Legislature, 2022; New Mexico Educational Retirement Board, 2025). The pension board's registry counted 2 792 working retirees across all routes in the newest route's first year, only 154 of them on the flagship no-limits route (New Mexico Educational Retirement Board, 2023).</w:t>
      </w:r>
    </w:p>
    <w:p>
      <w:pPr>
        <w:spacing w:after="160" w:line="264" w:lineRule="auto"/>
        <w:jc w:val="both"/>
      </w:pPr>
      <w:r>
        <w:t xml:space="preserve">Michigan simplified. An act of 2022 swept away a patchwork of critical-shortage lists and replaced it with two tests, a bona fide termination and a waiting period, after which a retiree may take any school post with no earnings limit and no loss of pension or insurance subsidy; a further act of 2023 cut the wait from nine months to six and allowed capped earnings during it, with the loosening sunset in 2028 (Michigan Office of Retirement Services, 2022; 2023). Virginia has run pension plus salary in critical-shortage positions since 2001; an executive directive of 2022 added fast-tracked renewal of lapsed licences and instructed that vacant teaching posts be classified so that retirees could fill them, and legislation of 2023 halved the required break in service to six months while extending the provisions to 2028 (Will, 2022; Commonwealth of Virginia, 2023; Virginia Retirement System, n.d.). Louisiana attaches the relief to a certified shortage, a post qualifying when advertisement yields fewer than three certified applicants; an act of 2024 opened the route to all retirees after a twelve-month wait, and the consolidated law of 2026 added a route free of pension impact from age 65, raised the outside earnings cap and let general certification suffice, ordering an actuarial report before 2034 (Teachers' Retirement System of Louisiana, 2024; 2026). Neither state publishes a take-up count.</w:t>
      </w:r>
    </w:p>
    <w:p>
      <w:pPr>
        <w:spacing w:after="160" w:line="264" w:lineRule="auto"/>
        <w:jc w:val="both"/>
      </w:pPr>
      <w:r>
        <w:t xml:space="preserve">Ontario shows the same family built as a valve rather than a window, a standing cap on the days a retired teacher may teach before the pension reprices, raised in a shortage, cut to protect newly certified teachers, raised again for the pandemic years and cut back when they ended (Hammer and Alphonso, 2010; Ontario Ministry of Education, 2022; Ontario Teachers' Pension Plan, 2026). France, finally, enables without programming at all. Under its general framework for combining pension and earnings, the education authorities rehire retired teachers on contract for replacements and shortage subjects, behind a six-month delay before any return to the last employer, and since 2023 the resumed work accrues new pension rights (Assemblée nationale, 2020; 2023). A parliamentary question asking which obstacles should be lifted so that willing retirees could cover absences lapsed unanswered at the end of the legislature, and no aggregate count of returning retirees has ever been published (Assemblée nationale, 2024). The yields of this family, where counted at all, dwarf the campaigns'. What its waits, thresholds and screens jointly amount to, a price, is the argument of Section 3.2.</w:t>
      </w:r>
    </w:p>
    <w:p>
      <w:pPr>
        <w:spacing w:after="160" w:line="264" w:lineRule="auto"/>
        <w:jc w:val="both"/>
      </w:pPr>
      <w:r>
        <w:rPr>
          <w:b/>
          <w:bCs/>
        </w:rPr>
        <w:t xml:space="preserve">Standing on-ramps hold a route open permanently, so that a return needs no campaign to travel through, and four systems show the design at different stages of maturity.</w:t>
      </w:r>
      <w:r>
        <w:t xml:space="preserve"> New Zealand keeps the lightest one in permanent law. A registered teacher whose practising certificate has expired may relief-teach up to 20 half-days a year without renewing it, the refresh requirement bites mainly when a returner lacks a job offer, and the government currently pays practising-certificate fees on teachers' behalf (New Zealand Legislation, 2020; Teaching Council of Aotearoa New Zealand, 2026; New Zealand Ministry of Education, 2026). Ireland activates its career-break teachers instead, suspending the scheme's substitute-work limits so that a teacher on career break may substitute without restriction, at regular substitute rates and with increments accruing under the general rules (Department of Education, 2019; Department of Education and Youth, 2025); one arrangement is permanent law, the other an annual renewal, a distinction Section 3.2 returns to. Japan runs the family's fullest expression, since re-employment after mandatory retirement is the default staffing route there. Boards of education conventionally re-employ retirees until pension age, and in the prefecture studied in depth retirees supply roughly 60% of part-time adjunct hires (Sakuma and Shimazaki, 2024; see Chapter 2). The same study marks the ceiling of any retiree-based channel. Only about 35% of age-based elementary retirees there now seek full-time re-employment, every retiree pool ages on its own schedule, and this paper does not attribute to design what demography may explain. The Bahamas, most recently, has institutionalised the reserve by name, announcing in mid-2026 a Teacher Reservist Program, a standing register of retired educators, trained teachers who built careers elsewhere and recent graduates that schools can call on, run on the platform of the existing supply-teacher programme, with a multi-agency task force to fast-track vetting and credential assessment as part of a drive to recruit up to 300 teachers (Cooper, 2026; ZNS Bahamas, 2026). It is announcement-stage and earns its place on design rather than results.</w:t>
      </w:r>
    </w:p>
    <w:p>
      <w:pPr>
        <w:spacing w:after="160" w:line="264" w:lineRule="auto"/>
        <w:jc w:val="both"/>
      </w:pPr>
      <w:r>
        <w:t xml:space="preserve">Across the families, the arithmetic is strikingly uniform. Wherever a full account of a campaign or an outreach drive exists, the instrument moved a fraction of one per cent of its eligible pool in a year, and near-universal outreach stayed inside the band. The band looks narrower still against the flow that runs with no campaign at all. Roughly 17 000 teachers return to English state schools in an ordinary year, about a third of all new entrants (Department for Education, 2023), and re-entrants have made up between roughly a third and a half of new hires in the United States (Sutcher, Darling-Hammond and Carver-Thomas, 2016). Return is a standing channel, produced by standing rules and ordinary hiring; a programme does not create the channel, it bids for a margin on top of it. The tutoring deployments of Chapter 2, which specified a role and a dose, remain the only programmes in this record whose product was ever measured against a comparison group, and specification is what turns an announcement into a purchase. Table 3.1 assembles the published counts, each with the outcome definition, the intensity of the post and the denominator its publisher measured against; the outcome counted differs in every row, and the rows cannot honestly be ranked against one another.</w:t>
      </w:r>
    </w:p>
    <w:p>
      <w:pPr>
        <w:keepNext/>
        <w:spacing w:after="120" w:before="200"/>
      </w:pPr>
      <w:r>
        <w:rPr>
          <w:b/>
          <w:bCs/>
          <w:color w:val="4E81BD"/>
          <w:sz w:val="23"/>
          <w:szCs w:val="23"/>
        </w:rPr>
        <w:t xml:space="preserve">Table 3.1. What each system counted: published take-up of re-entry instruments, with the outcome definition, intensity and denominator of every count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20"/>
        <w:gridCol w:w="1724"/>
        <w:gridCol w:w="1626"/>
        <w:gridCol w:w="1665"/>
        <w:gridCol w:w="1352"/>
        <w:gridCol w:w="1285"/>
      </w:tblGrid>
      <w:tr>
        <w:trPr>
          <w:tblHeader/>
        </w:trPr>
        <w:tc>
          <w:tcPr>
            <w:tcW w:type="dxa" w:w="142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Instrument (system, period)</w:t>
            </w:r>
          </w:p>
        </w:tc>
        <w:tc>
          <w:tcPr>
            <w:tcW w:type="dxa" w:w="17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Who was addressed</w:t>
            </w:r>
          </w:p>
        </w:tc>
        <w:tc>
          <w:tcPr>
            <w:tcW w:type="dxa" w:w="162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Outcome as the publisher defined it</w:t>
            </w:r>
          </w:p>
        </w:tc>
        <w:tc>
          <w:tcPr>
            <w:tcW w:type="dxa" w:w="166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Verified count</w:t>
            </w:r>
          </w:p>
        </w:tc>
        <w:tc>
          <w:tcPr>
            <w:tcW w:type="dxa" w:w="135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Intensity of the post</w:t>
            </w:r>
          </w:p>
        </w:tc>
        <w:tc>
          <w:tcPr>
            <w:tcW w:type="dxa" w:w="128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Denominator the count is measured against</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 to Teaching pilot (England, 2015-16)</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Qualified teachers not in post, open national registration</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In a permanent post in a target subject in a state-funded secondary school by the November 2016 workforce census</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5 729 registered; 354 supported; 27 in target posts (62 in any state-funded post)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Permanent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Self-selected registrants; no population denominator</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Return-to-teaching adviser service (England, 2019/20-2020/21, subject-restricted phase)</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Former teachers of mathematics, physics and modern foreign languages who requested an adviser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Returns recorded by the department; other subjects and unreported returns not captured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~128 recorded returns over two years; over 600 advised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recorded</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Re-Engage (New South Wales, 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who resigned from the public system in the previous five years, contacted from employer records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Placed in casual or temporary work</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&gt;1 500 contacted; &gt;260 expressed interest; 145 placed (~60% from retirement)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Casual and temporary work, spread across &gt;600 schools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Contacted recent leavers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Herintreders subsidy (Netherlands, 2017-20)</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Primary school boards appointing a qualified teacher out of teaching for at least twelve months (or never started)</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EUR 2 500 grants paid to boards for induction and guidance of an appointee of six months or more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100 grants in 2018; nearly 200 cumulative by late 2019; final uptake unpublished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Appointments of at least six months, any fraction of a post</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Budget for 500; estimated primary-sector silent reserve of at least 31 000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Länder retiree recruitment (Germany, 2022/23)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Recently retired teachers, contacted directly in most Länder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Pensioners teaching, as surveyed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5 000 nationwide; ~550 posts in Hesse from a combined short-term package after ~7 000 letters</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Flexible hours, lifted earnings limits and salary supplements of around 10% offered; contract forms not standardised in the survey</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~800 000; retiree stock 457 000 (2021)</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 re-employment (Austria, 2018/19-2023/24)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contacted by regional education directorates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who resumed teaching, audited by the Court of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1 062 across six school years, peaking 2021/22-2022/23 and falling thereafter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New fixed-term contracts, often at reduced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~123 000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Decreto-Lei 51/2024, Article 5 (Portugal, 2024/25)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retired five years or less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Accepted for a fixed-term returner contract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79-80 applied; 63 accepted; 55 placed in the first wave (average age ~68)</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Fixed-term; pay pro-rated by teaching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Government quota of 200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HB 385 (Georgia, United States, FY2023-FY2025)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with 30 years' creditable service, retired at least one year, in regionally defined high-need subjects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rehires employed for at least one school year, counted by mandated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635 cumulative; ~350 in any given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~125 000; ~6 000 vacant or not-fully-certified posts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window (North Carolina, United States, 1999-2009)</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All state-retired teachers (restrictions in the first year only)</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in full-time posts drawing salary and pension concurrently</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~3 500 over the decade; just over 35% of the previously retirement-eligible returning by 2009</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~169 000 teachers in the study sample</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routes (New Mexico, United States, FY2023)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Educational retirees, four statutory routes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Working retirees registered with the pension board, by route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2 792 in total; newest no-limits route 154 in its first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From a quarter-post or less to unlimited, by route</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~48 000 potentially eligible retirees</w:t>
            </w:r>
          </w:p>
        </w:tc>
      </w:tr>
      <w:tr>
        <w:trPr>
          <w:tblHeader w:val="false"/>
        </w:trPr>
        <w:tc>
          <w:tcPr>
            <w:tcW w:type="dxa" w:w="142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Silver Age plans (China, 2018-)</w:t>
            </w:r>
          </w:p>
        </w:tc>
        <w:tc>
          <w:tcPr>
            <w:tcW w:type="dxa" w:w="17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Retired principals, teaching-research staff, special-grade and senior teachers, generally aged 65 or under</w:t>
            </w:r>
          </w:p>
        </w:tc>
        <w:tc>
          <w:tcPr>
            <w:tcW w:type="dxa" w:w="162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Cumulative recruits, self-reported; no independent audit</w:t>
            </w:r>
          </w:p>
        </w:tc>
        <w:tc>
          <w:tcPr>
            <w:tcW w:type="dxa" w:w="16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&gt;20 000 by mid-2023 under the predecessor schemes</w:t>
            </w:r>
          </w:p>
        </w:tc>
        <w:tc>
          <w:tcPr>
            <w:tcW w:type="dxa" w:w="135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Minimum one school year; teaching plus demonstration and mentoring roles</w:t>
            </w:r>
          </w:p>
        </w:tc>
        <w:tc>
          <w:tcPr>
            <w:tcW w:type="dxa" w:w="128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bl>
    <w:p>
      <w:pPr>
        <w:spacing w:after="120"/>
      </w:pPr>
    </w:p>
    <w:p>
      <w:pPr>
        <w:spacing w:after="60"/>
        <w:jc w:val="left"/>
      </w:pPr>
      <w:r>
        <w:rPr>
          <w:sz w:val="18"/>
          <w:szCs w:val="18"/>
        </w:rPr>
        <w:t xml:space="preserve">Note: The outcome counted differs in every row, from a permanent shortage-subject post to a casual placement to a subsidy grant, so the rows cannot be ranked against one another and no such reading is intended. Funnel stages are as each authority reported them and are not comparable across programmes. The Austrian audited count begins four school years before the documented outreach drives of 2022/23 and cannot be attributed to them.</w:t>
      </w:r>
    </w:p>
    <w:p>
      <w:pPr>
        <w:spacing w:after="60"/>
        <w:jc w:val="left"/>
      </w:pPr>
      <w:r>
        <w:rPr>
          <w:sz w:val="18"/>
          <w:szCs w:val="18"/>
        </w:rPr>
        <w:t xml:space="preserve">Source: Buchanan et al. (2018); UK Parliament (2022); Walker (2022); NSW Government (2024); Ministerie van OCW (2017; 2019a; 2019b); Tweede Kamer (2019); Deutsches Schulportal (2023); Hessisches Ministerium für Kultus, Bildung und Chancen (2024); Rechnungshof (2025); Decreto-Lei n.º 51/2024; Diário de Notícias (2024); Renascença (2024); Georgia Department of Audits and Accounts (2025); Jarrold-Grapes and Mahler (2024); New Mexico Educational Retirement Board (2023); MOE and MOF (2018); MOE et al. (2023); State Council (2023).</w:t>
      </w:r>
    </w:p>
    <w:p>
      <w:pPr>
        <w:spacing w:after="160" w:line="264" w:lineRule="auto"/>
        <w:jc w:val="both"/>
      </w:pPr>
      <w:r>
        <w:t xml:space="preserve">Beyond volume, a programme can deliver a destination, and the record here is thin but consistent. Where the pension penalty was removed with no targeting mandate, returners went disproportionately to schools with more disadvantaged intakes, though the gradient was modest and more than half returned to the school they had left, so part of it is inherited attachment rather than steered movement (Jarrold-Grapes and Mahler, 2024; Box 3.1). Targeting by condition attaches money to the destination itself, as the Chinese county conditions do. Targeting by narrowing came later elsewhere, as when the Portuguese government restricted the stay-on supplement described above to shortage zones, conceding that the blanket version "in many cases was not justified" (RTP, 2026). Targeting by prohibition, screens meant to steer hires, produced the record's one audited failure, and it waits in the next section.</w:t>
      </w:r>
    </w:p>
    <w:p>
      <w:pPr>
        <w:spacing w:after="160" w:line="264" w:lineRule="auto"/>
        <w:jc w:val="both"/>
      </w:pPr>
      <w:r>
        <w:t xml:space="preserve">The last deliverable is survival, and only one system can currently report it. Linked English data show 32% of one returner cohort out of service again four years later, with a further 2% retired, against 29% of the same year's newly qualified cohort, and the odds of a returner leaving after the first year back run 60% above average (Buchanan et al., 2018). The gap is small and the cost ranges overlap, so the finding does not price returners against novices. What it settles is the denominator. A hire that does not survive its first year buys very little, and the honest unit of account for any programme in Table 3.1 is cost per retained teacher-year, at one and three years, rather than cost per placement.</w:t>
      </w:r>
    </w:p>
    <w:p>
      <w:pPr>
        <w:spacing w:after="160" w:line="264" w:lineRule="auto"/>
        <w:jc w:val="both"/>
      </w:pPr>
      <w:r>
        <w:t xml:space="preserve">The five families, in short, delivered what they were designed to touch, a contact, a stage of conversion, occasionally a destination, and the volumes of the first three stayed inside a narrow band unless something institutional moved behind them. Where the band broke, in North Carolina's window and in Japan's standing re-employment, the thing that moved was a rule, owned far from any programme office. Judged as the vacancy cover they were mostly bought for, even the successes stayed modest. The mass return's effect on the shortage went unmeasured (Box 3.1), and the one audited scheme was judged to have touched its own minimally (Box 3.2); re-entry alone closes no shortage in this record. What repairing the price demonstrably delivered, in the thousands, was experienced teachers. The rest of the chapter reads the rules of the fourth family as what they jointly are, a price list.</w:t>
      </w:r>
    </w:p>
    <w:p>
      <w:pPr>
        <w:pStyle w:val="Heading2"/>
      </w:pPr>
      <w:r>
        <w:t xml:space="preserve">3.2. Regulation: where the price of a return is written</w:t>
      </w:r>
    </w:p>
    <w:p>
      <w:pPr>
        <w:spacing w:after="160" w:line="264" w:lineRule="auto"/>
        <w:jc w:val="both"/>
      </w:pPr>
      <w:r>
        <w:rPr>
          <w:b/>
          <w:bCs/>
        </w:rPr>
        <w:t xml:space="preserve">A system's decisive re-entry policy is the price its own rules put on a return, and that price is written in four places, on pay, exclusion, intensity and licence, almost always by departments that do not answer for teacher supply and almost never on purpose.</w:t>
      </w:r>
    </w:p>
    <w:p>
      <w:pPr>
        <w:spacing w:after="160" w:line="264" w:lineRule="auto"/>
        <w:jc w:val="both"/>
      </w:pPr>
      <w:r>
        <w:t xml:space="preserve">Consider two Austrian teachers with identical classroom careers, both retired, both invited back. One is offered the profession's starting salary on top of a full pension. The other broadly recovers pre-retirement pay. Nothing in their teaching separates them; what separates them is an employment status chosen decades earlier, because federal law excludes from prior-service crediting any period that already generates a pension, so a teacher who retired as a civil servant returns on full pension plus the starting salary while a former contract teacher, whose service is credited, comes back broadly at pre-retirement pay (BMBWF, 2023). Two identical careers attract offers most of a salary scale apart, on the strength of a crediting rule written for the whole federal service that happens to fall on teachers too. Nobody designed it as re-entry policy. That is precisely the point.</w:t>
      </w:r>
    </w:p>
    <w:p>
      <w:pPr>
        <w:spacing w:after="160" w:line="264" w:lineRule="auto"/>
        <w:jc w:val="both"/>
      </w:pPr>
      <w:r>
        <w:t xml:space="preserve">The Austrian accident is one setting of one dial, and four dials together price a return in any system. The pay dial fixes the step a returner lands on and whether pension and salary may be drawn together. The exclusion dial decides who may return at all, through service thresholds, waiting periods and subject or region screens. The intensity dial caps how much teaching may be sold before the pension reprices. The licence dial governs lapse, refresh and waiver. Table 3.2 sets out where each dial sits in thirteen systems, and its most striking regularity is jurisdictional; almost none of these settings lives in education law.</w:t>
      </w:r>
    </w:p>
    <w:p>
      <w:pPr>
        <w:spacing w:after="160" w:line="264" w:lineRule="auto"/>
        <w:jc w:val="both"/>
      </w:pPr>
      <w:r>
        <w:rPr>
          <w:b/>
          <w:bCs/>
        </w:rPr>
        <w:t xml:space="preserve">The pay dial separates the record's one mass return from its many small ones, and few governments have ever set it on purpose.</w:t>
      </w:r>
      <w:r>
        <w:t xml:space="preserve"> In England the dial is moving with nobody's hand on it, since abatement attaches only to final-salary retirement benefits and will dissolve of its own accord as career-average membership matures (Teachers' Pensions, n.d.). One government did write the low setting deliberately. Portugal's returner route lets a teacher retired five years or less come back on a fixed-term contract, keeping the pension, with additional pay indexed to the first step of the career scale and pro-rated by teaching hours (Decreto-Lei n.º 51/2024, Art. 5). Sixty-three people accepted against a quota of 200 (Diário de Notícias, 2024; Renascença, 2024). The reading cannot be entirely clean, because the application window lasted twelve days, placements began in January and the applicants averaged about 68 years of age, so process and demography share the explanation with pay. What can be said is that the offer asked veterans to return at the price of novices, and very few did.</w:t>
      </w:r>
    </w:p>
    <w:p>
      <w:pPr>
        <w:spacing w:after="160" w:line="264" w:lineRule="auto"/>
        <w:jc w:val="both"/>
      </w:pPr>
      <w:r>
        <w:t xml:space="preserve">The opposite setting produced the mass return. Where retirees could hold a full-time post at full salary while drawing a full pension, an income on the order of half as much again as a regular full-time teacher's, roughly 3 500 returned over a decade and the returners averaged over thirty years of experience (Jarrold-Grapes and Mahler, 2024; Box 3.1). The mechanism separating the settings is not mysterious. Teachers have been shown to value current cash at roughly five times deferred pension wealth (Fitzpatrick, 2015), so an offer that protects the pension while resetting current pay to the entry step withholds exactly the currency returners respond to, and preserves the one they discount.</w:t>
      </w:r>
    </w:p>
    <w:p>
      <w:pPr>
        <w:spacing w:after="160" w:line="264" w:lineRule="auto"/>
        <w:jc w:val="both"/>
      </w:pPr>
      <w:r>
        <w:t xml:space="preserve">Three cases carry the pay dial, and honesty requires saying what they cannot carry. They differ in pension regime, era, product and age profile as well as in the step a returner lands on, and nowhere has the step been varied while anything else was held constant. The discriminating test exists and is cheap. The Austrian audit could disaggregate its returners by former employment status, comparing the cohort forced onto the starting salary with the cohort whose service was credited. Even that comparison would price the pay rule together with everything else that distinguishes a career civil servant from a contract teacher, so a null result would be more informative than a positive one.</w:t>
      </w:r>
    </w:p>
    <w:p>
      <w:pPr>
        <w:spacing w:after="160" w:line="264" w:lineRule="auto"/>
        <w:jc w:val="both"/>
      </w:pPr>
      <w:r>
        <w:rPr>
          <w:b/>
          <w:bCs/>
        </w:rPr>
        <w:t xml:space="preserve">The exclusion dial belongs to Georgia, the one state that audited its own scheme and found its own rules blocking the hires it wanted.</w:t>
      </w:r>
      <w:r>
        <w:t xml:space="preserve"> Eligibility conditions are additive in law and multiplicative in effect; a service threshold, a mandatory break and a subject-and-region test must each be cleared, each is set independently of the others, and the population that survives all three can be a small fraction of the population any one of them would pass. Georgia's rehire statute stacked a 30-year service requirement, a one-year break and a centrally determined list of the three highest-need subjects per region, and full-time rehires stayed below one per cent of the workforce while almost half (45%) of surveyed school systems reported at least one hire the statutory provisions had blocked (Georgia Department of Audits and Accounts, 2025). Box 3.2 traces the loop from statute to audit to renewal.</w:t>
      </w:r>
    </w:p>
    <w:p>
      <w:pPr>
        <w:spacing w:after="160" w:line="264" w:lineRule="auto"/>
        <w:jc w:val="both"/>
      </w:pPr>
      <w:r>
        <w:t xml:space="preserve">The audit is also the record's only employer-side counterfactual, and what employers named as the obstacle was not money. The retirees they did rehire earned a veteran wage the systems were evidently willing to pay (Box 3.2); what stopped further hires were the service rule, the waiting year and the subject methodology (Georgia Department of Audits and Accounts, 2025). The pay dial and the exclusion dial are therefore genuinely distinct charges, and a system can set one generously while the other quietly does the rationing.</w:t>
      </w:r>
    </w:p>
    <w:p>
      <w:pPr>
        <w:spacing w:after="160" w:line="264" w:lineRule="auto"/>
        <w:jc w:val="both"/>
      </w:pPr>
      <w:r>
        <w:t xml:space="preserve">Waiting periods, the most widespread exclusion, sit in pension-integrity law rather than in education policy. The French six-month delay before a retired public servant may resume work with the last employer exists to stop employers re-hiring their own just-retired staff more cheaply (Assemblée nationale, 2020). The American waits, ninety days in New Mexico, six months in Michigan and Virginia after earlier longer periods, a year in Louisiana and Georgia, descend from tax-law tests of bona fide retirement (New Mexico Legislature, 2022; Michigan Office of Retirement Services, 2023; Commonwealth of Virginia, 2023; Teachers' Retirement System of Louisiana, 2024). Each guards a pension system's integrity. Each is also, incidentally, a charge on teacher re-entry levied by a body with no teacher-supply mandate.</w:t>
      </w:r>
    </w:p>
    <w:p>
      <w:pPr>
        <w:spacing w:after="160" w:line="264" w:lineRule="auto"/>
        <w:jc w:val="both"/>
      </w:pPr>
      <w:r>
        <w:t xml:space="preserve">Georgia has since renewed its rehire law with the audit on the table, extending the programme to the end of the decade, keeping the 30-year rule and devolving the high-need determination to school systems (Teachers Retirement System of Georgia, 2026). The screen that was relaxed is the locally held one; the screen that stayed is the centrally set one. The take-up series that follows will be the cleanest natural test of the exclusion dial the field is likely to get.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3.2. Writing the audit into the statute: Georgia's sunset, audit and renewal loop</w:t>
            </w:r>
          </w:p>
          <w:p>
            <w:pPr>
              <w:spacing w:after="120" w:line="252" w:lineRule="auto"/>
              <w:jc w:val="both"/>
            </w:pPr>
            <w:r>
              <w:rPr>
                <w:sz w:val="22"/>
                <w:szCs w:val="22"/>
              </w:rPr>
              <w:t xml:space="preserve">Georgia's House Bill 385 of 2022 allowed retirees with at least 30 years of creditable service, retired at least one year, to teach full-time on full pension in the three highest-need subject areas of their region, as determined annually by the state. The statute carried its own sunset, 30 June 2026, and its own audit requirement, and the mandated performance audit was delivered in April 2025.</w:t>
            </w:r>
          </w:p>
          <w:p>
            <w:pPr>
              <w:spacing w:after="120" w:line="252" w:lineRule="auto"/>
              <w:jc w:val="both"/>
            </w:pPr>
            <w:r>
              <w:rPr>
                <w:sz w:val="22"/>
                <w:szCs w:val="22"/>
              </w:rPr>
              <w:t xml:space="preserve">The audit counted 635 retired teachers working full-time under the law for at least one school year across three fiscal years, roughly 350 in any given year, in a workforce of about 125 000 facing some 6 000 vacant or not-fully-certified posts. Related pension contributions totalled USD 11.1 million, under one per cent of contributions overall; the rehired retirees earned an average salary of USD 78 487. The auditors judged the effect on both the shortage and the pension system minimal. They also surveyed employers: 45% of 163 responding school systems said the statutory provisions had blocked a hire they wanted to make, naming the 30-year rule, the one-year break and the high-need-subject methodology, and about 65% planned to keep using the law. Eight other southern states had passed similar laws; Georgia's was the most restrictive.</w:t>
            </w:r>
          </w:p>
          <w:p>
            <w:pPr>
              <w:spacing w:after="120" w:line="252" w:lineRule="auto"/>
              <w:jc w:val="both"/>
            </w:pPr>
            <w:r>
              <w:rPr>
                <w:sz w:val="22"/>
                <w:szCs w:val="22"/>
              </w:rPr>
              <w:t xml:space="preserve">The legislature then renewed with the audit on the table. Senate Bill 150, signed in May 2026, extended the programme to 2030, kept the 30-year service requirement, and let school systems determine their own high-need areas in place of the state methodology. Sunset, mandated count, arms-length audit and informed renewal closed as a loop exactly once in the record assembled for this paper, and this is that instance.</w:t>
            </w:r>
          </w:p>
          <w:p>
            <w:pPr>
              <w:spacing w:after="40"/>
            </w:pPr>
            <w:r>
              <w:rPr>
                <w:sz w:val="18"/>
                <w:szCs w:val="18"/>
              </w:rPr>
              <w:t xml:space="preserve">Source: Georgia Department of Audits and Accounts (2025); Teachers Retirement System of Georgia (2026).</w:t>
            </w:r>
          </w:p>
        </w:tc>
      </w:tr>
    </w:tbl>
    <w:p>
      <w:pPr>
        <w:spacing w:after="160"/>
      </w:pPr>
    </w:p>
    <w:p>
      <w:pPr>
        <w:spacing w:after="160" w:line="264" w:lineRule="auto"/>
        <w:jc w:val="both"/>
      </w:pPr>
      <w:r>
        <w:rPr>
          <w:b/>
          <w:bCs/>
        </w:rPr>
        <w:t xml:space="preserve">The intensity dial is the one dial anyone has openly fought over, and the fight shows who owns it.</w:t>
      </w:r>
      <w:r>
        <w:t xml:space="preserve"> Ontario's cap on the days a retired teacher may teach before the pension reprices has been nearly quintupled in a shortage, roughly halved after a newspaper investigation documented heavy board spending on retired supply teachers at nearly twice the new-graduate day rate while newly certified teachers went short of assignments, restored for the pandemic years, and cut back when the pandemic agreement expired (Hammer and Alphonso, 2010; Ontario Ministry of Education, 2022; Ontario Teachers' Pension Plan, 2026; Table 3.2). Then, in March 2024, the teachers' federation that co-sponsors the pension plan refused a further extension, in the record's plainest statement of where this dial lives: "the Pension Plan is designed to provide an income to retired teachers; it is not a tool for addressing labour market challenges" (OCEOTA, 2024; Alphonso, 2024). The cap moves only by agreement of the plan's co-sponsors, one of which answers to serving and newly certified teachers as well as to pensioners.</w:t>
      </w:r>
    </w:p>
    <w:p>
      <w:pPr>
        <w:spacing w:after="160" w:line="264" w:lineRule="auto"/>
        <w:jc w:val="both"/>
      </w:pPr>
      <w:r>
        <w:t xml:space="preserve">What moving the cap achieved is, strikingly, unknown. No post-liberalisation take-up figure for the pandemic increase was ever published, and the number most often quoted against permissiveness is a union estimate of member interest released on the day the change was announced, which measures appetite for a forty-five-day increment rather than appetite for returning (Global News, 2022); this paper declines to borrow it. The fuller lesson comes from the system that removed intensity limits altogether. When New Mexico opened a route with no salary or hours caps, the flagship route drew barely a hundred and fifty users in its first year, within a total of fewer than three thousand retirees working across all four routes, against tens of thousands potentially eligible (New Mexico Educational Retirement Board, 2023; Table 3.1). Permission is not price. Liberalising a cap moves nobody by itself, and unprogrammed re-employment under long-standing rules dwarfs the flagship route built to showcase the liberalisation.</w:t>
      </w:r>
    </w:p>
    <w:p>
      <w:pPr>
        <w:spacing w:after="160" w:line="264" w:lineRule="auto"/>
        <w:jc w:val="both"/>
      </w:pPr>
      <w:r>
        <w:t xml:space="preserve">The intensity dial also holds the standing on-ramps, and here the record poses a choice rather than answering one. The statutory allowance of relief teaching without a current certificate, noted in Chapter 2, is permanent law in one system (New Zealand Legislation, 2020). The annual suspension of substitute-work limits for teachers on career break has been renewed annually for several successive school years in another (Department of Education and Youth, 2025), and several of the American instruments carry sunsets. An instrument justified as barrier removal should be permanent and evaluated as regulation, while one justified as crisis cover should be explicitly sunset and counted. What no system should do is run a crisis instrument on annual renewal for five years while describing it as structural reform.</w:t>
      </w:r>
    </w:p>
    <w:p>
      <w:pPr>
        <w:spacing w:after="160" w:line="264" w:lineRule="auto"/>
        <w:jc w:val="both"/>
      </w:pPr>
      <w:r>
        <w:rPr>
          <w:b/>
          <w:bCs/>
        </w:rPr>
        <w:t xml:space="preserve">The licence dial is the cheapest to move and, once moved, the least measured.</w:t>
      </w:r>
      <w:r>
        <w:t xml:space="preserve"> The scale of the barrier is register-visible, since close to half of the certified non-teachers in the register examined in Chapter 1 held expired certificates (Lindsay, Gnedko-Berry and Wan, 2021). The designs on offer are sensible. One system ties its refresh requirement to the absence of a job offer, so a returner a school actually wants is never delayed by the rule, and currently pays practising-certificate fees on teachers' behalf (Teaching Council of Aotearoa New Zealand, 2026; New Zealand Ministry of Education, 2026); another fast-tracked lapsed licences by executive directive (Will, 2022); others simplified their working-after-retirement rules outright (Michigan Office of Retirement Services, 2022) or folded relicensing into them (Teachers' Retirement System of Louisiana, 2026). Yet no jurisdiction publishes take-up for a licensure waiver, so the dial most often recommended in policy commentary is the one whose effect the record cannot yet show, and claims for it belong in the register of promise rather than of evidence.</w:t>
      </w:r>
    </w:p>
    <w:p>
      <w:pPr>
        <w:keepNext/>
        <w:spacing w:after="120" w:before="200"/>
      </w:pPr>
      <w:r>
        <w:rPr>
          <w:b/>
          <w:bCs/>
          <w:color w:val="4E81BD"/>
          <w:sz w:val="23"/>
          <w:szCs w:val="23"/>
        </w:rPr>
        <w:t xml:space="preserve">Table 3.2. The four regulatory dials that price a return, by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85"/>
        <w:gridCol w:w="1975"/>
        <w:gridCol w:w="2915"/>
        <w:gridCol w:w="1673"/>
        <w:gridCol w:w="1024"/>
      </w:tblGrid>
      <w:tr>
        <w:trPr>
          <w:tblHeader/>
        </w:trPr>
        <w:tc>
          <w:tcPr>
            <w:tcW w:type="dxa" w:w="148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(instrument)</w:t>
            </w:r>
          </w:p>
        </w:tc>
        <w:tc>
          <w:tcPr>
            <w:tcW w:type="dxa" w:w="197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Pay: step and pension concurrency</w:t>
            </w:r>
          </w:p>
        </w:tc>
        <w:tc>
          <w:tcPr>
            <w:tcW w:type="dxa" w:w="291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Exclusion: waits, thresholds, screens</w:t>
            </w:r>
          </w:p>
        </w:tc>
        <w:tc>
          <w:tcPr>
            <w:tcW w:type="dxa" w:w="167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Intensity: caps on quantity</w:t>
            </w:r>
          </w:p>
        </w:tc>
        <w:tc>
          <w:tcPr>
            <w:tcW w:type="dxa" w:w="10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Licence: lapse, refresh, waiver</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(crediting rules; Länder contracts)</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Ex-civil-servants: full pension + starting salary (pension-generating service excluded from crediting); ex-contract teachers: service credited, broadly pre-retirement pay</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formal</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Reduced hours common in new fixed-term contracts</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Portugal (Decreto-Lei 51/2024, Art. 5)</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 pay indexed to first career step, pro-rated by hours</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Retired five years or less; annual quota</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Pro-rating by teaching hours</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North Carolina, US (RTW window, 1999-2009)</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salary + full pension during the window; half-salary part-time earnings cap before and after</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First year only: low-performing schools, certification match</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during the window</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US (HB 385 / SB 150)</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 placement on the salary schedule</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30 years' service; one-year break; three highest-need subjects per region (district-determined from 2026); sunset 2030</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only</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required</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US (HB 73 / SB 133)</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no salary limits on the newest route</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90-day layout; no pre-arranged return; board approval</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Routes at ≤0.25 FTE, under USD 25 000, or no limits for up to 60 months</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US (PA 184 / PA 147)</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and insurance subsidy kept; no earnings limit after the wait</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Bona fide termination; six-month wait (reverts to nine months in 2028 unless renewed); USD 15 100 earnings cap during the wait</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after the wait</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US (Acts 394/2024, 344/2026)</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certified critical-shortage posts</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12-month wait; fewer-than-three-certified-applicants test; no-impact route at 65+ from 2026</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cap of 50% of final average compensation outside shortage routes</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General certification suffices from 2026</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US (Va. Code § 51.1-155; ED-3)</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critical-shortage positions (statutory since 2001)</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Six-month break (previously twelve); no pre-arranged return; closed to early-retirement-incentive retirees; sunset 2028</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critical-shortage posts</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Lapsed licences fast-tracked under the 2022 directive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Ontario, Canada (Teachers' Pension Act, Sch. 1)</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within the cap</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days per school year (95 for the first three post-retirement years in 1990-2012, and 95 generally in 2020/21-2022/23); movable only by co-sponsor agreement</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Capped pension-earnings combination unless full-rate conditions are met; new pension rights accrue since 2023</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before re-employment with the last employer</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UK (Teachers' Pension Scheme)</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Abatement of final-salary Age/Premature benefits above the salary of reference; career-average benefits never abated</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limit rather than day cap</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Zealand (Education and Training Act 2020; Teaching Council policy)</w:t>
            </w:r>
          </w:p>
        </w:tc>
        <w:tc>
          <w:tcPr>
            <w:tcW w:type="dxa" w:w="19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20 half-days per year of relief teaching without a practising certificate; extension possible with a job offer</w:t>
            </w:r>
          </w:p>
        </w:tc>
        <w:tc>
          <w:tcPr>
            <w:tcW w:type="dxa" w:w="10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Refresh required mainly without a job offer; certificate fees paid by government to mid-2028</w:t>
            </w:r>
          </w:p>
        </w:tc>
      </w:tr>
      <w:tr>
        <w:trPr>
          <w:tblHeader w:val="false"/>
        </w:trPr>
        <w:tc>
          <w:tcPr>
            <w:tcW w:type="dxa" w:w="148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Ireland (career break scheme; annual information notes)</w:t>
            </w:r>
          </w:p>
        </w:tc>
        <w:tc>
          <w:tcPr>
            <w:tcW w:type="dxa" w:w="19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 pay at regular rates; increments accrue under general rules</w:t>
            </w:r>
          </w:p>
        </w:tc>
        <w:tc>
          <w:tcPr>
            <w:tcW w:type="dxa" w:w="29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Career-break status</w:t>
            </w:r>
          </w:p>
        </w:tc>
        <w:tc>
          <w:tcPr>
            <w:tcW w:type="dxa" w:w="167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Substitute-work limits suspended annually since at least 2021/22</w:t>
            </w:r>
          </w:p>
        </w:tc>
        <w:tc>
          <w:tcPr>
            <w:tcW w:type="dxa" w:w="10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bl>
    <w:p>
      <w:pPr>
        <w:spacing w:after="120"/>
      </w:pPr>
    </w:p>
    <w:p>
      <w:pPr>
        <w:spacing w:after="60"/>
        <w:jc w:val="left"/>
      </w:pPr>
      <w:r>
        <w:rPr>
          <w:sz w:val="18"/>
          <w:szCs w:val="18"/>
        </w:rPr>
        <w:t xml:space="preserve">Note: "—" indicates no provision specific to returners identified in the sources consulted. The table records rule design, not effect; published take-up under each rule appears in Table 3.1 where it exists.</w:t>
      </w:r>
    </w:p>
    <w:p>
      <w:pPr>
        <w:spacing w:after="60"/>
        <w:jc w:val="left"/>
      </w:pPr>
      <w:r>
        <w:rPr>
          <w:sz w:val="18"/>
          <w:szCs w:val="18"/>
        </w:rPr>
        <w:t xml:space="preserve">Source: BMBWF (2023); Teachers' Pensions (n.d.); Decreto-Lei n.º 51/2024; Jarrold-Grapes and Mahler (2024); Georgia Department of Audits and Accounts (2025); Teachers Retirement System of Georgia (2026); New Mexico Legislature (2022); New Mexico Educational Retirement Board (2025); Michigan Office of Retirement Services (2022; 2023); Teachers' Retirement System of Louisiana (2024; 2026); Virginia Retirement System (n.d.); Commonwealth of Virginia (2023); Will (2022); Ontario Teachers' Pension Plan (2026); Ontario Ministry of Education (2022); Assemblée nationale (2020); New Zealand Legislation (2020); Teaching Council of Aotearoa New Zealand (2026); New Zealand Ministry of Education (2026); Department of Education (2019); Department of Education and Youth (2025).</w:t>
      </w:r>
    </w:p>
    <w:p>
      <w:pPr>
        <w:spacing w:after="160" w:line="264" w:lineRule="auto"/>
        <w:jc w:val="both"/>
      </w:pPr>
      <w:r>
        <w:t xml:space="preserve">Read down the columns of Table 3.2 and a single finding emerges. Every dial that has demonstrably moved re-entry volume in this record sits outside the education ministry, the crediting rule in civil-service and pension law, pension-salary concurrency in state retirement statutes, the day cap with a pension plan's co-sponsors, the waiting period in social-security and tax law. A re-entry strategy written wholly inside an education ministry is a strategy over the least powerful instruments in the system, which is much of why the campaigns of Section 3.1 moved so little while costing so little.</w:t>
      </w:r>
    </w:p>
    <w:p>
      <w:pPr>
        <w:spacing w:after="160" w:line="264" w:lineRule="auto"/>
        <w:jc w:val="both"/>
      </w:pPr>
      <w:r>
        <w:t xml:space="preserve">What an education ministry can do, on its own authority and within a week, is audit the price. The charges a state levies on its own former teachers are a finite list; it can be totalled, published and taken to the departments that own each dial, beginning with the salary step. No country in this record has published such an audit. Any of them could. If the price is the policy, the question becomes what a ministry should do first, and the next chapter answers it in order, together with the two outcomes a programme can genuinely deliver and the counting duty without which none of it can be judged.</w:t>
      </w:r>
    </w:p>
    <w:p>
      <w:pPr>
        <w:pStyle w:val="Heading1"/>
        <w:pageBreakBefore/>
      </w:pPr>
      <w:r>
        <w:t xml:space="preserve">4. Repairing the deal: lessons and recommendations for policy makers</w:t>
      </w:r>
    </w:p>
    <w:p>
      <w:pPr>
        <w:spacing w:after="160" w:line="264" w:lineRule="auto"/>
        <w:jc w:val="both"/>
      </w:pPr>
      <w:r>
        <w:t xml:space="preserve">The governments now asking their former teachers to come back are, for the most part, the governments whose own rules charge those teachers for returning. They ask, in part, because vacancies hurt. The record compiled here respects that motive, and it shows that the returns worth having came from repairing the deal rather than from the asking. The preceding chapters priced that charge and found its authors. It is written mostly in pension and civil-service law, mostly by accident, and no ministry has ever totalled it. The one mass return on record followed a rule change that lowered the price, with teachers coming back through ordinary hiring, while the campaigns that advertised over the price returned teachers by the dozen (Chapter 3). A state in this position does not need a recruitment drive. It needs to repair a deal its own laws broke. This chapter sets out the repairs in the order of the evidence behind them, which runs from strong to thin, and almost every one of them is cheap. Only the first requires powers an education ministry does not hold.</w:t>
      </w:r>
    </w:p>
    <w:p>
      <w:pPr>
        <w:pStyle w:val="Heading2"/>
      </w:pPr>
      <w:r>
        <w:t xml:space="preserve">4.1. Repair the terms of return</w:t>
      </w:r>
    </w:p>
    <w:p>
      <w:pPr>
        <w:spacing w:after="160" w:line="264" w:lineRule="auto"/>
        <w:jc w:val="both"/>
      </w:pPr>
      <w:r>
        <w:rPr>
          <w:b/>
          <w:bCs/>
        </w:rPr>
        <w:t xml:space="preserve">Total the bill your own state presents to a returner, and carry it to the departments that wrote it.</w:t>
      </w:r>
      <w:r>
        <w:t xml:space="preserve"> What a system charges a returner is a sum its own rules fix, and the salary step a returner is placed on is the dial that most plausibly separates the record's one mass return from its many token ones (Chapter 3). The difficulty is ownership. Most of the rules that set the price sit in pension and civil-service law, drafted by departments that never answer for teacher supply, so an education ministry can total the bill and publish it but usually cannot change it alone. That is an argument for the audit, not against it. A re-entry strategy drafted inside the education ministry alone is a strategy confined to the weakest dials in the system, and the audit is the instrument that carries the bill to the desks where the strongest ones are kept. No system examined in this paper has published one. Any of them could, in weeks rather than years.</w:t>
      </w:r>
    </w:p>
    <w:p>
      <w:pPr>
        <w:spacing w:after="160" w:line="264" w:lineRule="auto"/>
        <w:jc w:val="both"/>
      </w:pPr>
      <w:r>
        <w:rPr>
          <w:b/>
          <w:bCs/>
        </w:rPr>
        <w:t xml:space="preserve">Publish an honest count of the people you could recall.</w:t>
      </w:r>
      <w:r>
        <w:t xml:space="preserve"> Every register examined in Chapter 1 already holds the fields such a count requires, and the specification is stated there. Each deduction moves the figure downward, so a netted series is an honest upper bound on the recallable population, while a headline total describes the rule of the register that produced it (Table 1.1). The OECD has observed that missing data on potential returners may limit systems' ability to use this channel strategically (OECD, 2024), and the remedy is administrative rather than scientific. A ministry that keeps quoting an unnetted figure is describing its register, and should say so.</w:t>
      </w:r>
    </w:p>
    <w:p>
      <w:pPr>
        <w:spacing w:after="160" w:line="264" w:lineRule="auto"/>
        <w:jc w:val="both"/>
      </w:pPr>
      <w:r>
        <w:rPr>
          <w:b/>
          <w:bCs/>
        </w:rPr>
        <w:t xml:space="preserve">Sell the hours returners want to buy, and tie every funded offer to a named vacancy.</w:t>
      </w:r>
      <w:r>
        <w:t xml:space="preserve"> Former teachers bought shorter hours and more control when they left, and the segment most committed to returning wants the part-time posts schools rarely advertise (Buchanan et al., 2018; Worth and Sharp, 2018). The repair is a retail one. Put the hours in the advertisement. Release conversion support only against an identified vacancy, the correction England's successor programme made after its pilot (NCTL, 2017). Spare returners who already hold a job offer any refresh requirement, the design New Zealand reached independently (Teaching Council of Aotearoa New Zealand, 2026). The scarce product has been identified for years. Stocking it costs the price of an advertisement.</w:t>
      </w:r>
    </w:p>
    <w:p>
      <w:pPr>
        <w:spacing w:after="160" w:line="264" w:lineRule="auto"/>
        <w:jc w:val="both"/>
      </w:pPr>
      <w:r>
        <w:rPr>
          <w:b/>
          <w:bCs/>
        </w:rPr>
        <w:t xml:space="preserve">Buy defined work at a specified dose, and write the evaluation into the contract of purchase.</w:t>
      </w:r>
      <w:r>
        <w:t xml:space="preserve"> The one deployment of former teachers that stated its protocol and its dose was measured at scale and worked; the role left to the practitioner's discretion was measured once, in a small trial that set no dose, and settled nothing (Gersten et al., 2015; DeCesare, McClelland and Randel, 2017; Chapter 2). A government that wants tutoring, induction support or mentoring from its former teachers can specify the role and the dose the way the tutoring trials did, and can make the evaluation a term of the purchase rather than a commission raised after the money is spent. Buying seniority and hoping is what the record mostly shows. It is also why the next review of this field would otherwise be written on the same absence of evidence as this one.</w:t>
      </w:r>
    </w:p>
    <w:p>
      <w:pPr>
        <w:spacing w:after="160" w:line="264" w:lineRule="auto"/>
        <w:jc w:val="both"/>
      </w:pPr>
      <w:r>
        <w:rPr>
          <w:b/>
          <w:bCs/>
        </w:rPr>
        <w:t xml:space="preserve">Check who stayed, and price the programme on the years it kept.</w:t>
      </w:r>
      <w:r>
        <w:t xml:space="preserve"> A placement is the friendliest number a programme owns, and the least informative, because the goods being counted range from a casual day to a permanent post. The account that can carry a decision is cost per retained teacher-year, built from survival at one and three years and from where returners land, and the one cohort anyone could follow shows why. Close to a third of it was out of service again within four years, and the odds of leaving after the first year back sat well above the workforce average (Buchanan et al., 2018; see Chapter 3). The record's largest return episode moved returners modestly towards harder-to-staff schools, most often the ones they had left (Jarrold-Grapes and Mahler, 2024). Neither fact is visible in a placement count. Both belong in the price.</w:t>
      </w:r>
    </w:p>
    <w:p>
      <w:pPr>
        <w:pStyle w:val="Heading2"/>
      </w:pPr>
      <w:r>
        <w:t xml:space="preserve">4.2. When the right expenditure is zero</w:t>
      </w:r>
    </w:p>
    <w:p>
      <w:pPr>
        <w:spacing w:after="160" w:line="264" w:lineRule="auto"/>
        <w:jc w:val="both"/>
      </w:pPr>
      <w:r>
        <w:rPr>
          <w:b/>
          <w:bCs/>
        </w:rPr>
        <w:t xml:space="preserve">A repair schedule includes the discipline to spend nothing, and the record identifies three conditions under which zero, or the withdrawal of an instrument, is the defensible budget.</w:t>
      </w:r>
    </w:p>
    <w:p>
      <w:pPr>
        <w:spacing w:after="160" w:line="264" w:lineRule="auto"/>
        <w:jc w:val="both"/>
      </w:pPr>
      <w:r>
        <w:t xml:space="preserve">The first is a loose entry pipeline. Where newly qualified teachers outnumber the openings available to them, premium-priced re-employment of retirees operates as a transfer from new entrants to pensioners, and the harm lands in the casual market where new careers begin. That is the configuration reporters found in Ontario before the rule was tightened, with the largest school boards spending over a hundred million Canadian dollars a year on retired supply teachers at close to twice the new-graduate day rate, in years when newly certified teachers outnumbered annual openings roughly two to one (Hammer and Alphonso, 2010; see Chapter 3). Commentary on the Chinese programmes points the same way, suggesting that some localities use retiree recruitment to defer creating formal posts, although this is secondary reporting rather than an official series (R.I.S.E. Magazine, 2025). Under this condition the right expenditure is negative, in the strict sense that withdrawing the instrument is the action the evidence supports. The dependence can also run ahead of any policy. In the Bahamas, the teachers' union reported retired educators already working full-time in supply roles before the reservist scheme of 2026 gave the practice a name, a union statement rather than an official count (Munnings, 2026).</w:t>
      </w:r>
    </w:p>
    <w:p>
      <w:pPr>
        <w:spacing w:after="160" w:line="264" w:lineRule="auto"/>
        <w:jc w:val="both"/>
      </w:pPr>
      <w:r>
        <w:t xml:space="preserve">The second is an absorption constraint. Where schools cannot place the returners they already attract, further recruitment spending buys a queue. In the Netherlands, regional partnerships reported receiving more applications from side-entrants and returners than schools could place, in the same window in which the national returner subsidy went underspent and had its annual ceilings lowered on extension (De Jong et al., 2022; Ministerie van OCW, 2019a). As Chapter 3 set out, the finding establishes the direction of the constraint rather than its size, and the direction alone is enough to move money from recruitment towards part-time posts, timetabling and hiring capacity.</w:t>
      </w:r>
    </w:p>
    <w:p>
      <w:pPr>
        <w:spacing w:after="160" w:line="264" w:lineRule="auto"/>
        <w:jc w:val="both"/>
      </w:pPr>
      <w:r>
        <w:t xml:space="preserve">The third is a population consisting only of retirees. A retiree pool is old and self-limiting. In the system where re-employment after retirement is the default staffing route, only about a third of age-based leavers from primary schools now seek full-time re-employment, and the one audited national intake peaked and fell within its own audit window (Sakuma and Shimazaki, 2024; Rechnungshof, 2025; see Chapter 3). Part of what reads as programme failure in this record is demography, and this paper does not attribute to design what demography may explain. A ministry can hold the channel open at low standing cost. What it should not do is fund an ageing stock as if it were a growth market.</w:t>
      </w:r>
    </w:p>
    <w:p>
      <w:pPr>
        <w:spacing w:after="160" w:line="264" w:lineRule="auto"/>
        <w:jc w:val="both"/>
      </w:pPr>
      <w:r>
        <w:t xml:space="preserve">None of the three conditions is permanent, and each is observable in data a ministry already holds. Zero is a budget line to be revisited, never a verdict on the population.</w:t>
      </w:r>
    </w:p>
    <w:p>
      <w:pPr>
        <w:pStyle w:val="Heading2"/>
      </w:pPr>
      <w:r>
        <w:t xml:space="preserve">4.3. The clause that creates the evidence</w:t>
      </w:r>
    </w:p>
    <w:p>
      <w:pPr>
        <w:spacing w:after="160" w:line="264" w:lineRule="auto"/>
        <w:jc w:val="both"/>
      </w:pPr>
      <w:r>
        <w:rPr>
          <w:b/>
          <w:bCs/>
        </w:rPr>
        <w:t xml:space="preserve">Write the duty to count into the instrument itself, and lodge it with a body that does not answer to the sponsor.</w:t>
      </w:r>
      <w:r>
        <w:t xml:space="preserve"> This is the one instruction in the chapter that is about measurement, and it earns the place because measurement is where the whole record was decided. Wherever a re-entry measure produced recurring numbers, somebody outside the sponsoring ministry held a standing duty to count; wherever nobody did, no numbers exist, however loudly the measure was announced. Evidence in this field is created at the drafting stage or not at all, and a minister who wants the next review to know more than this one can arrange it in a single clause.</w:t>
      </w:r>
    </w:p>
    <w:p>
      <w:pPr>
        <w:spacing w:after="160" w:line="264" w:lineRule="auto"/>
        <w:jc w:val="both"/>
      </w:pPr>
      <w:r>
        <w:t xml:space="preserve">Three instruments in this record produce audited or recurring numbers, and in each the obligation is owed elsewhere. In Georgia the statute wrote its own sunset and its own audit. In Austria the national court of audit counted on its own mandate. In New Mexico the pension board reports participation to a legislative committee every year. Instruments of the same family in several other systems sit inside pension administrations that hold exactly the same records and publish nothing (Table 4.1). What predicts being counted is an independent duty; riding a register, which every one of these instruments does, predicts nothing.</w:t>
      </w:r>
    </w:p>
    <w:p>
      <w:pPr>
        <w:keepNext/>
        <w:spacing w:after="120" w:before="200"/>
      </w:pPr>
      <w:r>
        <w:rPr>
          <w:b/>
          <w:bCs/>
          <w:color w:val="4E81BD"/>
          <w:sz w:val="23"/>
          <w:szCs w:val="23"/>
        </w:rPr>
        <w:t xml:space="preserve">Table 4.1. Who counts re-entry: the counting body behind each measure's published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41"/>
        <w:gridCol w:w="1821"/>
        <w:gridCol w:w="1364"/>
        <w:gridCol w:w="2027"/>
        <w:gridCol w:w="1519"/>
      </w:tblGrid>
      <w:tr>
        <w:trPr>
          <w:tblHeader/>
        </w:trPr>
        <w:tc>
          <w:tcPr>
            <w:tcW w:type="dxa" w:w="234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and instrument</w:t>
            </w:r>
          </w:p>
        </w:tc>
        <w:tc>
          <w:tcPr>
            <w:tcW w:type="dxa" w:w="182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Counting body</w:t>
            </w:r>
          </w:p>
        </w:tc>
        <w:tc>
          <w:tcPr>
            <w:tcW w:type="dxa" w:w="136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Independent of the sponsor?</w:t>
            </w:r>
          </w:p>
        </w:tc>
        <w:tc>
          <w:tcPr>
            <w:tcW w:type="dxa" w:w="20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What has been published</w:t>
            </w:r>
          </w:p>
        </w:tc>
        <w:tc>
          <w:tcPr>
            <w:tcW w:type="dxa" w:w="151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Publication status</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(United States), full-time re-employment of retired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State auditor, mandated in the statute itself</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Take-up by year, employer survey of blocked hires, cost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 renewal legislated with the audit on the table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return of retired and former teachers to service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Court of Audit, own mandate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Audited national take-up across six school years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(United States), return-to-work routes for education retirees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Educational Retirement Board, reporting to a legislative oversight committee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Participation counts by route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Recurring, annual</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(United Kingdom), Return to Teaching pilot</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Independent evaluator commissioned by the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Arm's length (commissioned)</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recruitment funnel, cost per additional returner, survival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evaluation, published in full; programme closed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South Wales (Australia), Teachers Re-Engage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Sponsoring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recruitment funnel in a one-off media release (May 2024), with a one-line outcome in one annual report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Absent from the following annual report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(United States), working-after-retirement rules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(United States), critical-shortage rehire provisions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(retirement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(United States), return-to-work framework</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Actuarial review only, due before the 2034 session</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Pending</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 to date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 as applied to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administrations hold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teacher-specific count; parliamentary questions answered without one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China, Silver Age teacher action plans</w:t>
            </w:r>
          </w:p>
        </w:tc>
        <w:tc>
          <w:tcPr>
            <w:tcW w:type="dxa" w:w="18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None identified</w:t>
            </w:r>
          </w:p>
        </w:tc>
        <w:tc>
          <w:tcPr>
            <w:tcW w:type="dxa" w:w="136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Recruitment targets and round announcements; no audited progress count</w:t>
            </w:r>
          </w:p>
        </w:tc>
        <w:tc>
          <w:tcPr>
            <w:tcW w:type="dxa" w:w="151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Announcements only</w:t>
            </w:r>
          </w:p>
        </w:tc>
      </w:tr>
    </w:tbl>
    <w:p>
      <w:pPr>
        <w:spacing w:after="120"/>
      </w:pPr>
    </w:p>
    <w:p>
      <w:pPr>
        <w:spacing w:after="60"/>
        <w:jc w:val="left"/>
      </w:pPr>
      <w:r>
        <w:rPr>
          <w:sz w:val="18"/>
          <w:szCs w:val="18"/>
        </w:rPr>
        <w:t xml:space="preserve">Note: The table records who holds a duty to count, not how the instruments performed; outcome definitions, denominators and the intensity of the posts counted differ across rows and are not comparable.</w:t>
      </w:r>
    </w:p>
    <w:p>
      <w:pPr>
        <w:spacing w:after="60"/>
        <w:jc w:val="left"/>
      </w:pPr>
      <w:r>
        <w:rPr>
          <w:sz w:val="18"/>
          <w:szCs w:val="18"/>
        </w:rPr>
        <w:t xml:space="preserve">Source: Georgia Department of Audits and Accounts (2025); Teachers Retirement System of Georgia (2026); Rechnungshof (2025); New Mexico Educational Retirement Board (2023); Buchanan et al. (2018); NSW Government (2024); NSW Department of Education (2024; 2025); Michigan Office of Retirement Services (2022; 2023); Virginia Retirement System (n.d.); Teachers' Retirement System of Louisiana (2024; 2026); Assemblée nationale (2023; 2026); MOE et al. (2023); MOE (2025).</w:t>
      </w:r>
    </w:p>
    <w:p>
      <w:pPr>
        <w:spacing w:after="160" w:line="264" w:lineRule="auto"/>
        <w:jc w:val="both"/>
      </w:pPr>
      <w:r>
        <w:t xml:space="preserve">The consequence is a selection effect that deserves to be stated as a finding about the literature. The most rigorous products in this record, an independent programme evaluation, a mandated state audit and a court of audit report, all return negative or modest verdicts, while the measures that report success publish no evaluation at all. The one funnel published by a sponsoring department appeared in full only in a single media release six months into the programme (May 2024), with a one-line outcome in one annual report, and was gone from the next (NSW Government, 2024; NSW Department of Education, 2024; 2025). A synthesis of published evidence in this field is therefore biased downward, a synthesis of published claims biased upward, and nothing in the record permits a correction. Part of the scepticism re-entry attracts is an artefact of who was obliged to count. The same selection marks this paper's own architecture, since four of its propositions each rest on a single observation that is the only one of its kind, the English cost estimate, the Portuguese price test, the Ontario displacement investigation and the North Carolina pay experiment. That is exactly the literature a field in which evidence follows the counting duty should be expected to produce.</w:t>
      </w:r>
    </w:p>
    <w:p>
      <w:pPr>
        <w:spacing w:after="160" w:line="264" w:lineRule="auto"/>
        <w:jc w:val="both"/>
      </w:pPr>
      <w:r>
        <w:t xml:space="preserve">The objection writes itself, and it is partly right. Governments tend to audit what they already suspect, so the association between counting and unflattering verdicts cannot be read as an effect of counting. The claim this paper retains is narrower and proof against the objection, because it is a drafting instruction rather than a correlation. Place the count inside the standing duty of a body that does not answer to the sponsor, and where that cannot be arranged, expect no evidence and budget accordingly. The full loop of sunset, audit and informed renewal has closed exactly once in this record, in the statute that wrote its own audit (Box 3.2). The clause also enforces a distinction between two honest designs, provided the sunset falls while the count can still change the decision. An instrument justified as the removal of a barrier can be permanent and evaluated as regulation, while one justified as crisis cover can be explicitly temporary and counted. What no system should do is run a crisis instrument on annual renewal for half a decade while describing it as structural reform.</w:t>
      </w:r>
    </w:p>
    <w:p>
      <w:pPr>
        <w:spacing w:after="160" w:line="264" w:lineRule="auto"/>
        <w:jc w:val="both"/>
      </w:pPr>
      <w:r>
        <w:t xml:space="preserve">The place the duty is needed next is the entry-level supply market, because that is where any harm would show. Re-entry can be immaterial against a national workforce and decisive in the casual and supply market at the same time; those are different denominators, and every returner count needs to carry the denominator and the intensity of post it was measured against. The record makes the need concrete. The one wind-back it contains followed a newspaper investigation rather than an official series, the Ontario case of the previous section, and the rule in question is the only one whose amendment requires the consent of a body speaking for serving and future teachers as well as pensioners. That body has since refused a further loosening, restating that a pension plan exists to provide retirement income rather than to manage the labour market (Alphonso, 2024; OCEOTA, 2024; see Chapter 3). A higher day rate is partly what any seniority grid produces when a substitute carries decades of credited service, and a displacement reading assumes the boards would otherwise have hired graduates for those days. Neither side of that argument can currently be settled from a published series, which argues for the guardrail rather than against it. Education systems should therefore publish new-graduate hiring rates for their casual and supply pools alongside retiree re-employment counts, and treat movement in the first as the trigger for reviewing the second.</w:t>
      </w:r>
    </w:p>
    <w:p>
      <w:pPr>
        <w:pStyle w:val="Heading2"/>
      </w:pPr>
      <w:r>
        <w:t xml:space="preserve">4.4. The measurements worth paying for</w:t>
      </w:r>
    </w:p>
    <w:p>
      <w:pPr>
        <w:spacing w:after="160" w:line="264" w:lineRule="auto"/>
        <w:jc w:val="both"/>
      </w:pPr>
      <w:r>
        <w:rPr>
          <w:b/>
          <w:bCs/>
        </w:rPr>
        <w:t xml:space="preserve">The research agenda this paper hands on is a costed request, and its two largest items are cheap because the data already exist.</w:t>
      </w:r>
      <w:r>
        <w:t xml:space="preserve"> Governments have been trying to re-attract their former teachers for decades, and the compilation of that record in the preceding chapters is what lets the next review of this field start ahead of this one. The first item costs a definition and a query. Any register that holds a last-taught date, a certificate status, subject and phase, and age against pensionable age can publish a netted reserve series beside its headline, and none of the registers examined in this paper does. The claim that no publisher nets its series is the kind a single counter-example settles, and the paper would welcome the correction. Until it comes, every reserve figure in circulation describes a register rule.</w:t>
      </w:r>
    </w:p>
    <w:p>
      <w:pPr>
        <w:spacing w:after="160" w:line="264" w:lineRule="auto"/>
        <w:jc w:val="both"/>
      </w:pPr>
      <w:r>
        <w:t xml:space="preserve">The second carries the open question of Chapter 2. Linking returner records to the classes they teach and the colleagues they work beside is, in systems that maintain workforce censuses and pupil databases, a matter of administrative permission rather than research funding, and it would show whether what returners carry back reaches students and colleagues. Its complement is a trial of a designed role at a specified dose, powered for effects of the size the tutoring literature suggests are available, since the only role in this record that was specified and dosed is also the only one that was properly measured. Both measurements expose the paper's own premise to refutation, which is what makes them worth buying.</w:t>
      </w:r>
    </w:p>
    <w:p>
      <w:pPr>
        <w:spacing w:after="160" w:line="264" w:lineRule="auto"/>
        <w:jc w:val="both"/>
      </w:pPr>
      <w:r>
        <w:t xml:space="preserve">The remaining items are cheaper still, and each sits with a system that already holds the data. England can publish the cost of a retained returner teacher-year from records it already links (Buchanan et al., 2018). The annual Dutch reserve series now spans the years in which the national returner subsidy ran, so the field's first estimate of what share of a measured reserve an instrument activates is a desk exercise (DUO, 2026; Ministerie van OCW, 2017). Any oversubscribed programme can allocate its support by lottery among registrants, which costs nothing and yields the causal estimate this field has never produced. One natural test is already under way, since the renewal in Georgia devolved the designation of high-need areas to school systems while keeping the service threshold, and the coming counts will show what the central screen was doing (Teachers Retirement System of Georgia, 2026).</w:t>
      </w:r>
    </w:p>
    <w:p>
      <w:pPr>
        <w:spacing w:after="160" w:line="264" w:lineRule="auto"/>
        <w:jc w:val="both"/>
      </w:pPr>
      <w:r>
        <w:t xml:space="preserve">Former teachers will keep returning through whatever channel exists, because unprogrammed return is already a routine part of every measured inflow. What a government decides is the deal that meets them, and that deal is written in its own law, administered by its own registers and priced, so far, by nobody. What this paper asks of a ministry is modest. Total the bill and take it to its authors. Publish the honest count. Advertise the hours. Buy defined work and evaluate it at purchase. Follow the people, and be willing to spend nothing. None of this is a campaign, and almost all of it is cheap. The prize is larger than a staffed classroom. Experienced returners raise the quality of the teaching around them, as the evidence on learning from colleagues in Chapter 2 suggests, so a repaired deal recovers capability the system has already paid to build. The state wrote the terms on which its teachers left and the price they face on the way back. The deal is its own to repair.</w:t>
      </w:r>
    </w:p>
    <w:p>
      <w:pPr>
        <w:pStyle w:val="Heading1"/>
        <w:pageBreakBefore/>
      </w:pPr>
      <w:r>
        <w:t xml:space="preserve">References</w:t>
      </w:r>
    </w:p>
    <w:p>
      <w:pPr>
        <w:spacing w:after="120"/>
        <w:ind w:left="567" w:hanging="567"/>
        <w:jc w:val="left"/>
      </w:pPr>
      <w:r>
        <w:rPr>
          <w:sz w:val="21"/>
          <w:szCs w:val="21"/>
        </w:rPr>
        <w:t xml:space="preserve">AITSL (2025), </w:t>
      </w:r>
      <w:r>
        <w:rPr>
          <w:i/>
          <w:iCs/>
          <w:sz w:val="21"/>
          <w:szCs w:val="21"/>
        </w:rPr>
        <w:t xml:space="preserve">National Trends: Teacher Workforce — Australian Teacher Workforce Data (June 2025)</w:t>
      </w:r>
      <w:r>
        <w:rPr>
          <w:sz w:val="21"/>
          <w:szCs w:val="21"/>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1"/>
          <w:szCs w:val="21"/>
        </w:rPr>
        <w:t xml:space="preserve">Alphonso, C. (2024), "Federation opposes proposal to boost number of days retired Ontario teachers can work in classrooms", </w:t>
      </w:r>
      <w:r>
        <w:rPr>
          <w:i/>
          <w:iCs/>
          <w:sz w:val="21"/>
          <w:szCs w:val="21"/>
        </w:rPr>
        <w:t xml:space="preserve">The Globe and Mail</w:t>
      </w:r>
      <w:r>
        <w:rPr>
          <w:sz w:val="21"/>
          <w:szCs w:val="21"/>
        </w:rPr>
        <w:t xml:space="preserve">, 18 March 2024, https://www.theglobeandmail.com/canada/article-proposal-to-boost-number-of-days-retired-ontario-teachers-can-work-in/ (accessed on 4 August 2026).</w:t>
      </w:r>
    </w:p>
    <w:p>
      <w:pPr>
        <w:spacing w:after="120"/>
        <w:ind w:left="567" w:hanging="567"/>
        <w:jc w:val="left"/>
      </w:pPr>
      <w:r>
        <w:rPr>
          <w:sz w:val="21"/>
          <w:szCs w:val="21"/>
        </w:rPr>
        <w:t xml:space="preserve">APA/ORF (2023), "Lehrkräftemangel: Pensionisten umworben", oesterreich.ORF.at, 11 March 2023, https://oesterreich.orf.at/stories/3198263/ (accessed on 4 August 2026).</w:t>
      </w:r>
    </w:p>
    <w:p>
      <w:pPr>
        <w:spacing w:after="120"/>
        <w:ind w:left="567" w:hanging="567"/>
        <w:jc w:val="left"/>
      </w:pPr>
      <w:r>
        <w:rPr>
          <w:sz w:val="21"/>
          <w:szCs w:val="21"/>
        </w:rPr>
        <w:t xml:space="preserve">Assemblée nationale (2020), Question écrite n° 25142 (15e législature) de M. Thibault Bazin sur le délai de carence de 6 mois du cumul emploi-retraite, réponse du 1er septembre 2020, https://questions.assemblee-nationale.fr/q15/15-25142QE.htm (accessed on 4 August 2026).</w:t>
      </w:r>
    </w:p>
    <w:p>
      <w:pPr>
        <w:spacing w:after="120"/>
        <w:ind w:left="567" w:hanging="567"/>
        <w:jc w:val="left"/>
      </w:pPr>
      <w:r>
        <w:rPr>
          <w:sz w:val="21"/>
          <w:szCs w:val="21"/>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1"/>
          <w:szCs w:val="21"/>
        </w:rPr>
        <w:t xml:space="preserve">Assemblée nationale (2024), Question écrite n° 7305 (16e législature) de Mme Béatrice Bellamy, "Volontariat des enseignants retraités pour les remplacements", clôturée sans réponse le 11 juin 2024, https://questions.assemblee-nationale.fr/q16/16-7305QE.htm (accessed on 4 August 2026).</w:t>
      </w:r>
    </w:p>
    <w:p>
      <w:pPr>
        <w:spacing w:after="120"/>
        <w:ind w:left="567" w:hanging="567"/>
        <w:jc w:val="left"/>
      </w:pPr>
      <w:r>
        <w:rPr>
          <w:sz w:val="21"/>
          <w:szCs w:val="21"/>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1"/>
          <w:szCs w:val="21"/>
        </w:rPr>
        <w:t xml:space="preserve">BMBWF (2023), </w:t>
      </w:r>
      <w:r>
        <w:rPr>
          <w:i/>
          <w:iCs/>
          <w:sz w:val="21"/>
          <w:szCs w:val="21"/>
        </w:rPr>
        <w:t xml:space="preserve">Anfragebeantwortung 15155/AB betreffend Quereinstieg und Sonderverträge für Lehrer:innen</w:t>
      </w:r>
      <w:r>
        <w:rPr>
          <w:sz w:val="21"/>
          <w:szCs w:val="21"/>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1"/>
          <w:szCs w:val="21"/>
        </w:rPr>
        <w:t xml:space="preserve">Brandenburg, R., E. Larsen, A. Simpson, R. Sallis and D. Trần (2024), "'I left the teaching profession … and this is what I am doing now': a national study of teacher attrition", </w:t>
      </w:r>
      <w:r>
        <w:rPr>
          <w:i/>
          <w:iCs/>
          <w:sz w:val="21"/>
          <w:szCs w:val="21"/>
        </w:rPr>
        <w:t xml:space="preserve">The Australian Educational Researcher</w:t>
      </w:r>
      <w:r>
        <w:rPr>
          <w:sz w:val="21"/>
          <w:szCs w:val="21"/>
        </w:rPr>
        <w:t xml:space="preserve">, Vol. 51/5, pp. 2381-2400, https://doi.org/10.1007/s13384-024-00697-1 (accessed on 5 August 2026).</w:t>
      </w:r>
    </w:p>
    <w:p>
      <w:pPr>
        <w:spacing w:after="120"/>
        <w:ind w:left="567" w:hanging="567"/>
        <w:jc w:val="left"/>
      </w:pPr>
      <w:r>
        <w:rPr>
          <w:sz w:val="21"/>
          <w:szCs w:val="21"/>
        </w:rPr>
        <w:t xml:space="preserve">Brummet, Q., E. K. Penner, N. Pharris-Ciurej and S. R. Porter (2024), "After School: An Examination of the Career Paths and Earnings of Former Teachers", </w:t>
      </w:r>
      <w:r>
        <w:rPr>
          <w:i/>
          <w:iCs/>
          <w:sz w:val="21"/>
          <w:szCs w:val="21"/>
        </w:rPr>
        <w:t xml:space="preserve">Educational Evaluation and Policy Analysis</w:t>
      </w:r>
      <w:r>
        <w:rPr>
          <w:sz w:val="21"/>
          <w:szCs w:val="21"/>
        </w:rPr>
        <w:t xml:space="preserve">, published online 26 February 2024, https://doi.org/10.3102/01623737241227906.</w:t>
      </w:r>
    </w:p>
    <w:p>
      <w:pPr>
        <w:spacing w:after="120"/>
        <w:ind w:left="567" w:hanging="567"/>
        <w:jc w:val="left"/>
      </w:pPr>
      <w:r>
        <w:rPr>
          <w:sz w:val="21"/>
          <w:szCs w:val="21"/>
        </w:rPr>
        <w:t xml:space="preserve">Buchanan, E., C. Sharp, J. Worth, K. Martin, S. Bamford and Z. Des Clayes (2018), </w:t>
      </w:r>
      <w:r>
        <w:rPr>
          <w:i/>
          <w:iCs/>
          <w:sz w:val="21"/>
          <w:szCs w:val="21"/>
        </w:rPr>
        <w:t xml:space="preserve">Evaluation of the Return to Teaching Pilot Programme</w:t>
      </w:r>
      <w:r>
        <w:rPr>
          <w:sz w:val="21"/>
          <w:szCs w:val="21"/>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1"/>
          <w:szCs w:val="21"/>
        </w:rPr>
        <w:t xml:space="preserve">Carlson, M. C. et al. (2015), "Impact of the Baltimore Experience Corps Trial on cortical and hippocampal volumes", </w:t>
      </w:r>
      <w:r>
        <w:rPr>
          <w:i/>
          <w:iCs/>
          <w:sz w:val="21"/>
          <w:szCs w:val="21"/>
        </w:rPr>
        <w:t xml:space="preserve">Alzheimer's &amp; Dementia</w:t>
      </w:r>
      <w:r>
        <w:rPr>
          <w:sz w:val="21"/>
          <w:szCs w:val="21"/>
        </w:rPr>
        <w:t xml:space="preserve">, Vol. 11/11, pp. 1340-1348, https://doi.org/10.1016/j.jalz.2014.12.005 (accessed on 4 August 2026).</w:t>
      </w:r>
    </w:p>
    <w:p>
      <w:pPr>
        <w:spacing w:after="120"/>
        <w:ind w:left="567" w:hanging="567"/>
        <w:jc w:val="left"/>
      </w:pPr>
      <w:r>
        <w:rPr>
          <w:sz w:val="21"/>
          <w:szCs w:val="21"/>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1"/>
          <w:szCs w:val="21"/>
        </w:rPr>
        <w:t xml:space="preserve">Cooper, I. C. (2026), "Statement by the Minister of Education DPM Chester Cooper on the recruitment of up to 300 teachers", ministerial statement, Ministry of Education, Science and Technology, Nassau, 12 July 2026, reproduced by </w:t>
      </w:r>
      <w:r>
        <w:rPr>
          <w:i/>
          <w:iCs/>
          <w:sz w:val="21"/>
          <w:szCs w:val="21"/>
        </w:rPr>
        <w:t xml:space="preserve">Bahamas Press</w:t>
      </w:r>
      <w:r>
        <w:rPr>
          <w:sz w:val="21"/>
          <w:szCs w:val="21"/>
        </w:rPr>
        <w:t xml:space="preserve">, https://www.bahamaspress.com/statement-by-the-minister-of-education-dpm-chester-cooper-on-the-recruitment-of-upto-300-teachers/.</w:t>
      </w:r>
    </w:p>
    <w:p>
      <w:pPr>
        <w:spacing w:after="120"/>
        <w:ind w:left="567" w:hanging="567"/>
        <w:jc w:val="left"/>
      </w:pPr>
      <w:r>
        <w:rPr>
          <w:sz w:val="21"/>
          <w:szCs w:val="21"/>
        </w:rPr>
        <w:t xml:space="preserve">Costrell, R. M. and M. Podgursky (2009), "Peaks, Cliffs, and Valleys: The Peculiar Incentives in Teacher Retirement Systems and Their Consequences for School Staffing", </w:t>
      </w:r>
      <w:r>
        <w:rPr>
          <w:i/>
          <w:iCs/>
          <w:sz w:val="21"/>
          <w:szCs w:val="21"/>
        </w:rPr>
        <w:t xml:space="preserve">Education Finance and Policy</w:t>
      </w:r>
      <w:r>
        <w:rPr>
          <w:sz w:val="21"/>
          <w:szCs w:val="21"/>
        </w:rPr>
        <w:t xml:space="preserve">, Vol. 4/2, pp. 175-211, https://direct.mit.edu/edfp/article/4/2/175/10094/.</w:t>
      </w:r>
    </w:p>
    <w:p>
      <w:pPr>
        <w:spacing w:after="120"/>
        <w:ind w:left="567" w:hanging="567"/>
        <w:jc w:val="left"/>
      </w:pPr>
      <w:r>
        <w:rPr>
          <w:sz w:val="21"/>
          <w:szCs w:val="21"/>
        </w:rPr>
        <w:t xml:space="preserve">Cuervo, H. and E. Vera-Toscano (2025), "Teacher retention and attrition: understanding why teachers leave and their post-teaching pathways in Australia", </w:t>
      </w:r>
      <w:r>
        <w:rPr>
          <w:i/>
          <w:iCs/>
          <w:sz w:val="21"/>
          <w:szCs w:val="21"/>
        </w:rPr>
        <w:t xml:space="preserve">Asia Pacific Journal of Education</w:t>
      </w:r>
      <w:r>
        <w:rPr>
          <w:sz w:val="21"/>
          <w:szCs w:val="21"/>
        </w:rPr>
        <w:t xml:space="preserve">, pp. 1-18, published online 10 March 2025, https://doi.org/10.1080/02188791.2025.2473356 (accessed on 5 August 2026).</w:t>
      </w:r>
    </w:p>
    <w:p>
      <w:pPr>
        <w:spacing w:after="120"/>
        <w:ind w:left="567" w:hanging="567"/>
        <w:jc w:val="left"/>
      </w:pPr>
      <w:r>
        <w:rPr>
          <w:sz w:val="21"/>
          <w:szCs w:val="21"/>
        </w:rPr>
        <w:t xml:space="preserve">De Jong, A., A. Suijkerbuijk, S. van der Ploeg, S. Weijers, E. Stronkhorst and W. Schenke (2022), </w:t>
      </w:r>
      <w:r>
        <w:rPr>
          <w:i/>
          <w:iCs/>
          <w:sz w:val="21"/>
          <w:szCs w:val="21"/>
        </w:rPr>
        <w:t xml:space="preserve">Evaluatieonderzoek Regionale Aanpak Personeelstekorten: Eindrapportage augustus 2022</w:t>
      </w:r>
      <w:r>
        <w:rPr>
          <w:sz w:val="21"/>
          <w:szCs w:val="21"/>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1"/>
          <w:szCs w:val="21"/>
        </w:rPr>
        <w:t xml:space="preserve">DeCesare, D., A. McClelland and B. Randel (2017), </w:t>
      </w:r>
      <w:r>
        <w:rPr>
          <w:i/>
          <w:iCs/>
          <w:sz w:val="21"/>
          <w:szCs w:val="21"/>
        </w:rPr>
        <w:t xml:space="preserve">Impacts of the Retired Mentors for New Teachers Program</w:t>
      </w:r>
      <w:r>
        <w:rPr>
          <w:sz w:val="21"/>
          <w:szCs w:val="21"/>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1"/>
          <w:szCs w:val="21"/>
        </w:rPr>
        <w:t xml:space="preserve">Decreto-Lei n.º 51/2024, de 28 de agosto, </w:t>
      </w:r>
      <w:r>
        <w:rPr>
          <w:i/>
          <w:iCs/>
          <w:sz w:val="21"/>
          <w:szCs w:val="21"/>
        </w:rPr>
        <w:t xml:space="preserve">Diário da República</w:t>
      </w:r>
      <w:r>
        <w:rPr>
          <w:sz w:val="21"/>
          <w:szCs w:val="21"/>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1"/>
          <w:szCs w:val="21"/>
        </w:rPr>
        <w:t xml:space="preserve">Department for Education (2023), "Teacher recruitment and retention: How we're helping former teachers return to education", </w:t>
      </w:r>
      <w:r>
        <w:rPr>
          <w:i/>
          <w:iCs/>
          <w:sz w:val="21"/>
          <w:szCs w:val="21"/>
        </w:rPr>
        <w:t xml:space="preserve">The Education Hub</w:t>
      </w:r>
      <w:r>
        <w:rPr>
          <w:sz w:val="21"/>
          <w:szCs w:val="21"/>
        </w:rPr>
        <w:t xml:space="preserve">, 9 August 2023, https://educationhub.blog.gov.uk/2023/08/teacher-recruitment-and-retention-how-were-helping-former-teachers-return-to-education/.</w:t>
      </w:r>
    </w:p>
    <w:p>
      <w:pPr>
        <w:spacing w:after="120"/>
        <w:ind w:left="567" w:hanging="567"/>
        <w:jc w:val="left"/>
      </w:pPr>
      <w:r>
        <w:rPr>
          <w:sz w:val="21"/>
          <w:szCs w:val="21"/>
        </w:rPr>
        <w:t xml:space="preserve">Department of Education (2019), </w:t>
      </w:r>
      <w:r>
        <w:rPr>
          <w:i/>
          <w:iCs/>
          <w:sz w:val="21"/>
          <w:szCs w:val="21"/>
        </w:rPr>
        <w:t xml:space="preserve">Circular 0054/2019 – Leave Schemes for Registered Teachers Employed in Recognised Primary and Post Primary Schools</w:t>
      </w:r>
      <w:r>
        <w:rPr>
          <w:sz w:val="21"/>
          <w:szCs w:val="21"/>
        </w:rPr>
        <w:t xml:space="preserve">, Department of Education, Dublin, https://assets.gov.ie/static/documents/Circular_0054.2019.pdf (accessed on 4 August 2026).</w:t>
      </w:r>
    </w:p>
    <w:p>
      <w:pPr>
        <w:spacing w:after="120"/>
        <w:ind w:left="567" w:hanging="567"/>
        <w:jc w:val="left"/>
      </w:pPr>
      <w:r>
        <w:rPr>
          <w:sz w:val="21"/>
          <w:szCs w:val="21"/>
        </w:rPr>
        <w:t xml:space="preserve">Department of Education and Youth (2025), </w:t>
      </w:r>
      <w:r>
        <w:rPr>
          <w:i/>
          <w:iCs/>
          <w:sz w:val="21"/>
          <w:szCs w:val="21"/>
        </w:rPr>
        <w:t xml:space="preserve">Information Note TC/IN 0005/2025 – Temporary changes to the Career Break Scheme for Registered Teachers employed in Recognised Primary and Post Primary Schools – 2025/26 School Year</w:t>
      </w:r>
      <w:r>
        <w:rPr>
          <w:sz w:val="21"/>
          <w:szCs w:val="21"/>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1"/>
          <w:szCs w:val="21"/>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1"/>
          <w:szCs w:val="21"/>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1"/>
          <w:szCs w:val="21"/>
        </w:rPr>
        <w:t xml:space="preserve">DUO (2026), "Stille reserve oud-leraren in het onderwijs afgelopen 10 jaar afgenomen", press release, 28 May 2026, Dienst Uitvoering Onderwijs, https://duo.nl/organisatie/pers/stille-reserve-oud-leraren-in-het-onderwijs-afgelopen-10-jaar-afgenomen.jsp (accessed on 4 August 2026).</w:t>
      </w:r>
    </w:p>
    <w:p>
      <w:pPr>
        <w:spacing w:after="120"/>
        <w:ind w:left="567" w:hanging="567"/>
        <w:jc w:val="left"/>
      </w:pPr>
      <w:r>
        <w:rPr>
          <w:sz w:val="21"/>
          <w:szCs w:val="21"/>
        </w:rPr>
        <w:t xml:space="preserve">European Commission (2023), </w:t>
      </w:r>
      <w:r>
        <w:rPr>
          <w:i/>
          <w:iCs/>
          <w:sz w:val="21"/>
          <w:szCs w:val="21"/>
        </w:rPr>
        <w:t xml:space="preserve">Education and Training Monitor 2023: Comparative Report</w:t>
      </w:r>
      <w:r>
        <w:rPr>
          <w:sz w:val="21"/>
          <w:szCs w:val="21"/>
        </w:rPr>
        <w:t xml:space="preserve">, Publications Office of the European Union, Luxembourg, https://op.europa.eu/webpub/eac/education-and-training-monitor-2023/ (accessed on 4 August 2026).</w:t>
      </w:r>
    </w:p>
    <w:p>
      <w:pPr>
        <w:spacing w:after="120"/>
        <w:ind w:left="567" w:hanging="567"/>
        <w:jc w:val="left"/>
      </w:pPr>
      <w:r>
        <w:rPr>
          <w:sz w:val="21"/>
          <w:szCs w:val="21"/>
        </w:rPr>
        <w:t xml:space="preserve">Fitzpatrick, M. D. (2015), "How much are public school teachers willing to pay for their retirement benefits?", </w:t>
      </w:r>
      <w:r>
        <w:rPr>
          <w:i/>
          <w:iCs/>
          <w:sz w:val="21"/>
          <w:szCs w:val="21"/>
        </w:rPr>
        <w:t xml:space="preserve">American Economic Journal: Economic Policy</w:t>
      </w:r>
      <w:r>
        <w:rPr>
          <w:sz w:val="21"/>
          <w:szCs w:val="21"/>
        </w:rPr>
        <w:t xml:space="preserve">, Vol. 7/4, https://www.aeaweb.org/articles?id=10.1257/pol.20140087 (accessed on 4 August 2026).</w:t>
      </w:r>
    </w:p>
    <w:p>
      <w:pPr>
        <w:spacing w:after="120"/>
        <w:ind w:left="567" w:hanging="567"/>
        <w:jc w:val="left"/>
      </w:pPr>
      <w:r>
        <w:rPr>
          <w:sz w:val="21"/>
          <w:szCs w:val="21"/>
        </w:rPr>
        <w:t xml:space="preserve">Fried, L. P. et al. (2004), "A social model for health promotion for an aging population: Initial evidence on the Experience Corps model", </w:t>
      </w:r>
      <w:r>
        <w:rPr>
          <w:i/>
          <w:iCs/>
          <w:sz w:val="21"/>
          <w:szCs w:val="21"/>
        </w:rPr>
        <w:t xml:space="preserve">Journal of Urban Health</w:t>
      </w:r>
      <w:r>
        <w:rPr>
          <w:sz w:val="21"/>
          <w:szCs w:val="21"/>
        </w:rPr>
        <w:t xml:space="preserve">, Vol. 81/1, pp. 64-78, https://doi.org/10.1093/jurban/jth094 (accessed on 4 August 2026).</w:t>
      </w:r>
    </w:p>
    <w:p>
      <w:pPr>
        <w:spacing w:after="120"/>
        <w:ind w:left="567" w:hanging="567"/>
        <w:jc w:val="left"/>
      </w:pPr>
      <w:r>
        <w:rPr>
          <w:sz w:val="21"/>
          <w:szCs w:val="21"/>
        </w:rPr>
        <w:t xml:space="preserve">Fuchs, L. S., D. L. Compton, D. Fuchs, K. Paulsen, J. D. Bryant and C. L. Hamlett (2005), "The prevention, identification, and cognitive determinants of math difficulty", </w:t>
      </w:r>
      <w:r>
        <w:rPr>
          <w:i/>
          <w:iCs/>
          <w:sz w:val="21"/>
          <w:szCs w:val="21"/>
        </w:rPr>
        <w:t xml:space="preserve">Journal of Educational Psychology</w:t>
      </w:r>
      <w:r>
        <w:rPr>
          <w:sz w:val="21"/>
          <w:szCs w:val="21"/>
        </w:rPr>
        <w:t xml:space="preserve">, Vol. 97/3, pp. 493-513, https://doi.org/10.1037/0022-0663.97.3.493.</w:t>
      </w:r>
    </w:p>
    <w:p>
      <w:pPr>
        <w:spacing w:after="120"/>
        <w:ind w:left="567" w:hanging="567"/>
        <w:jc w:val="left"/>
      </w:pPr>
      <w:r>
        <w:rPr>
          <w:sz w:val="21"/>
          <w:szCs w:val="21"/>
        </w:rPr>
        <w:t xml:space="preserve">Georgia Department of Audits and Accounts, Performance Audit Division (2025), </w:t>
      </w:r>
      <w:r>
        <w:rPr>
          <w:i/>
          <w:iCs/>
          <w:sz w:val="21"/>
          <w:szCs w:val="21"/>
        </w:rPr>
        <w:t xml:space="preserve">Retired Teachers Return to Work: Requested Information on the Full-Time Employment of Retired Teachers</w:t>
      </w:r>
      <w:r>
        <w:rPr>
          <w:sz w:val="21"/>
          <w:szCs w:val="21"/>
        </w:rPr>
        <w:t xml:space="preserve">, Performance Audit Report No. 24-20, Atlanta, April 2025, https://www.audits.ga.gov/ReportSearch/download/32615 (accessed on 4 August 2026).</w:t>
      </w:r>
    </w:p>
    <w:p>
      <w:pPr>
        <w:spacing w:after="120"/>
        <w:ind w:left="567" w:hanging="567"/>
        <w:jc w:val="left"/>
      </w:pPr>
      <w:r>
        <w:rPr>
          <w:sz w:val="21"/>
          <w:szCs w:val="21"/>
        </w:rPr>
        <w:t xml:space="preserve">Gersten, R., E. Rolfhus, B. Clarke, L. E. Decker, C. Wilkins and J. Dimino (2015), "Intervention for first graders with limited number knowledge: Large-scale replication of a randomized controlled trial", </w:t>
      </w:r>
      <w:r>
        <w:rPr>
          <w:i/>
          <w:iCs/>
          <w:sz w:val="21"/>
          <w:szCs w:val="21"/>
        </w:rPr>
        <w:t xml:space="preserve">American Educational Research Journal</w:t>
      </w:r>
      <w:r>
        <w:rPr>
          <w:sz w:val="21"/>
          <w:szCs w:val="21"/>
        </w:rPr>
        <w:t xml:space="preserve">, Vol. 52/3, pp. 516-546, https://doi.org/10.3102/0002831214565787 (accessed on 4 August 2026).</w:t>
      </w:r>
    </w:p>
    <w:p>
      <w:pPr>
        <w:spacing w:after="120"/>
        <w:ind w:left="567" w:hanging="567"/>
        <w:jc w:val="left"/>
      </w:pPr>
      <w:r>
        <w:rPr>
          <w:sz w:val="21"/>
          <w:szCs w:val="21"/>
        </w:rPr>
        <w:t xml:space="preserve">Glazerman, S., E. Isenberg, S. Dolfin, M. Bleeker, A. Johnson, M. Grider and M. Jacobus (2010), </w:t>
      </w:r>
      <w:r>
        <w:rPr>
          <w:i/>
          <w:iCs/>
          <w:sz w:val="21"/>
          <w:szCs w:val="21"/>
        </w:rPr>
        <w:t xml:space="preserve">Impacts of Comprehensive Teacher Induction: Final Results from a Randomized Controlled Study</w:t>
      </w:r>
      <w:r>
        <w:rPr>
          <w:sz w:val="21"/>
          <w:szCs w:val="21"/>
        </w:rPr>
        <w:t xml:space="preserve"> (NCEE 2010-4028), National Center for Education Evaluation and Regional Assistance, Institute of Education Sciences, U.S. Department of Education, Washington, DC, https://ies.ed.gov/ncee/pubs/20104027/pdf/20104028.pdf.</w:t>
      </w:r>
    </w:p>
    <w:p>
      <w:pPr>
        <w:spacing w:after="120"/>
        <w:ind w:left="567" w:hanging="567"/>
        <w:jc w:val="left"/>
      </w:pPr>
      <w:r>
        <w:rPr>
          <w:sz w:val="21"/>
          <w:szCs w:val="21"/>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1"/>
          <w:szCs w:val="21"/>
        </w:rPr>
        <w:t xml:space="preserve">Hammer, K. and C. Alphonso (2010), "Ontario to monitor retired teachers' costly supply work", </w:t>
      </w:r>
      <w:r>
        <w:rPr>
          <w:i/>
          <w:iCs/>
          <w:sz w:val="21"/>
          <w:szCs w:val="21"/>
        </w:rPr>
        <w:t xml:space="preserve">The Globe and Mail</w:t>
      </w:r>
      <w:r>
        <w:rPr>
          <w:sz w:val="21"/>
          <w:szCs w:val="21"/>
        </w:rPr>
        <w:t xml:space="preserve">, 10 May 2010, https://www.theglobeandmail.com/news/national/ontario-to-monitor-retired-teachers-costly-supply-work/article1211108/ (accessed on 4 August 2026).</w:t>
      </w:r>
    </w:p>
    <w:p>
      <w:pPr>
        <w:spacing w:after="120"/>
        <w:ind w:left="567" w:hanging="567"/>
        <w:jc w:val="left"/>
      </w:pPr>
      <w:r>
        <w:rPr>
          <w:sz w:val="21"/>
          <w:szCs w:val="21"/>
        </w:rPr>
        <w:t xml:space="preserve">Harris, D. N. and S. J. Adams (2007), "Understanding the level and causes of teacher turnover: A comparison with other professions", </w:t>
      </w:r>
      <w:r>
        <w:rPr>
          <w:i/>
          <w:iCs/>
          <w:sz w:val="21"/>
          <w:szCs w:val="21"/>
        </w:rPr>
        <w:t xml:space="preserve">Economics of Education Review</w:t>
      </w:r>
      <w:r>
        <w:rPr>
          <w:sz w:val="21"/>
          <w:szCs w:val="21"/>
        </w:rPr>
        <w:t xml:space="preserve">, Vol. 26/3, pp. 325-337, https://www.sciencedirect.com/science/article/abs/pii/S027277570600029X.</w:t>
      </w:r>
    </w:p>
    <w:p>
      <w:pPr>
        <w:spacing w:after="120"/>
        <w:ind w:left="567" w:hanging="567"/>
        <w:jc w:val="left"/>
      </w:pPr>
      <w:r>
        <w:rPr>
          <w:sz w:val="21"/>
          <w:szCs w:val="21"/>
        </w:rPr>
        <w:t xml:space="preserve">Hessisches Ministerium für Kultus, Bildung und Chancen (2024), </w:t>
      </w:r>
      <w:r>
        <w:rPr>
          <w:i/>
          <w:iCs/>
          <w:sz w:val="21"/>
          <w:szCs w:val="21"/>
        </w:rPr>
        <w:t xml:space="preserve">Verlässlichkeit und Qualität – Hessen sichert die bestmögliche Unterrichtsversorgung</w:t>
      </w:r>
      <w:r>
        <w:rPr>
          <w:sz w:val="21"/>
          <w:szCs w:val="21"/>
        </w:rPr>
        <w:t xml:space="preserve">, Wiesbaden, https://kultus.hessen.de/sites/kultus.hessen.de/files/2024-03/handlungskonzept.pdf (accessed on 5 August 2026).</w:t>
      </w:r>
    </w:p>
    <w:p>
      <w:pPr>
        <w:spacing w:after="120"/>
        <w:ind w:left="567" w:hanging="567"/>
        <w:jc w:val="left"/>
      </w:pPr>
      <w:r>
        <w:rPr>
          <w:sz w:val="21"/>
          <w:szCs w:val="21"/>
        </w:rPr>
        <w:t xml:space="preserve">Jackson, C. K. and E. Bruegmann (2009), "Teaching students and teaching each other: The importance of peer learning for teachers", </w:t>
      </w:r>
      <w:r>
        <w:rPr>
          <w:i/>
          <w:iCs/>
          <w:sz w:val="21"/>
          <w:szCs w:val="21"/>
        </w:rPr>
        <w:t xml:space="preserve">American Economic Journal: Applied Economics</w:t>
      </w:r>
      <w:r>
        <w:rPr>
          <w:sz w:val="21"/>
          <w:szCs w:val="21"/>
        </w:rPr>
        <w:t xml:space="preserve">, Vol. 1/4, pp. 85-108, https://www.aeaweb.org/articles?id=10.1257/app.1.4.85.</w:t>
      </w:r>
    </w:p>
    <w:p>
      <w:pPr>
        <w:spacing w:after="120"/>
        <w:ind w:left="567" w:hanging="567"/>
        <w:jc w:val="left"/>
      </w:pPr>
      <w:r>
        <w:rPr>
          <w:sz w:val="21"/>
          <w:szCs w:val="21"/>
        </w:rPr>
        <w:t xml:space="preserve">Jarrold-Grapes, R. and P. P. Mahler (2024), "Retirees return to work: How a North Carolina policy helped staff high-need schools", </w:t>
      </w:r>
      <w:r>
        <w:rPr>
          <w:i/>
          <w:iCs/>
          <w:sz w:val="21"/>
          <w:szCs w:val="21"/>
        </w:rPr>
        <w:t xml:space="preserve">Education Policy Analysis Archives</w:t>
      </w:r>
      <w:r>
        <w:rPr>
          <w:sz w:val="21"/>
          <w:szCs w:val="21"/>
        </w:rPr>
        <w:t xml:space="preserve">, Vol. 32, No. 4, https://doi.org/10.14507/epaa.32.8241 (accessed on 4 August 2026).</w:t>
      </w:r>
    </w:p>
    <w:p>
      <w:pPr>
        <w:spacing w:after="120"/>
        <w:ind w:left="567" w:hanging="567"/>
        <w:jc w:val="left"/>
      </w:pPr>
      <w:r>
        <w:rPr>
          <w:sz w:val="21"/>
          <w:szCs w:val="21"/>
        </w:rPr>
        <w:t xml:space="preserve">Lindsay, J., N. Gnedko-Berry and C. Wan (2021), </w:t>
      </w:r>
      <w:r>
        <w:rPr>
          <w:i/>
          <w:iCs/>
          <w:sz w:val="21"/>
          <w:szCs w:val="21"/>
        </w:rPr>
        <w:t xml:space="preserve">Michigan Teachers Who Are Not Teaching: Who Are They, and What Would Motivate Them to Teach?</w:t>
      </w:r>
      <w:r>
        <w:rPr>
          <w:sz w:val="21"/>
          <w:szCs w:val="21"/>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1"/>
          <w:szCs w:val="21"/>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1"/>
          <w:szCs w:val="21"/>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1"/>
          <w:szCs w:val="21"/>
        </w:rPr>
        <w:t xml:space="preserve">Ministerie van OCW (2017), "Regeling tegemoetkoming herintreders primair onderwijs", </w:t>
      </w:r>
      <w:r>
        <w:rPr>
          <w:i/>
          <w:iCs/>
          <w:sz w:val="21"/>
          <w:szCs w:val="21"/>
        </w:rPr>
        <w:t xml:space="preserve">Staatscourant</w:t>
      </w:r>
      <w:r>
        <w:rPr>
          <w:sz w:val="21"/>
          <w:szCs w:val="21"/>
        </w:rPr>
        <w:t xml:space="preserve"> 2017, No. 62002, https://zoek.officielebekendmakingen.nl/stcrt-2017-62002.html (accessed on 5 August 2026).</w:t>
      </w:r>
    </w:p>
    <w:p>
      <w:pPr>
        <w:spacing w:after="120"/>
        <w:ind w:left="567" w:hanging="567"/>
        <w:jc w:val="left"/>
      </w:pPr>
      <w:r>
        <w:rPr>
          <w:sz w:val="21"/>
          <w:szCs w:val="21"/>
        </w:rPr>
        <w:t xml:space="preserve">Ministerie van OCW (2019a), "Regeling tot wijziging van de Regeling tegemoetkoming herintreders primair onderwijs", </w:t>
      </w:r>
      <w:r>
        <w:rPr>
          <w:i/>
          <w:iCs/>
          <w:sz w:val="21"/>
          <w:szCs w:val="21"/>
        </w:rPr>
        <w:t xml:space="preserve">Staatscourant</w:t>
      </w:r>
      <w:r>
        <w:rPr>
          <w:sz w:val="21"/>
          <w:szCs w:val="21"/>
        </w:rPr>
        <w:t xml:space="preserve"> 2019, No. 28510, https://zoek.officielebekendmakingen.nl/stcrt-2019-28510.html (accessed on 5 August 2026).</w:t>
      </w:r>
    </w:p>
    <w:p>
      <w:pPr>
        <w:spacing w:after="120"/>
        <w:ind w:left="567" w:hanging="567"/>
        <w:jc w:val="left"/>
      </w:pPr>
      <w:r>
        <w:rPr>
          <w:sz w:val="21"/>
          <w:szCs w:val="21"/>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1"/>
          <w:szCs w:val="21"/>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1"/>
          <w:szCs w:val="21"/>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1"/>
          <w:szCs w:val="21"/>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1"/>
          <w:szCs w:val="21"/>
        </w:rPr>
        <w:t xml:space="preserve">Morrow-Howell, N., M. Jonson-Reid, S. McCrary, Y. Lee and E. Spitznagel (2009), </w:t>
      </w:r>
      <w:r>
        <w:rPr>
          <w:i/>
          <w:iCs/>
          <w:sz w:val="21"/>
          <w:szCs w:val="21"/>
        </w:rPr>
        <w:t xml:space="preserve">Evaluation of Experience Corps: Student Reading Outcomes</w:t>
      </w:r>
      <w:r>
        <w:rPr>
          <w:sz w:val="21"/>
          <w:szCs w:val="21"/>
        </w:rPr>
        <w:t xml:space="preserve"> (CSD Research Report 09-01), Center for Social Development, Washington University in St. Louis, https://csd.wustl.edu/09-01/ (accessed on 5 August 2026).</w:t>
      </w:r>
    </w:p>
    <w:p>
      <w:pPr>
        <w:spacing w:after="120"/>
        <w:ind w:left="567" w:hanging="567"/>
        <w:jc w:val="left"/>
      </w:pPr>
      <w:r>
        <w:rPr>
          <w:sz w:val="21"/>
          <w:szCs w:val="21"/>
        </w:rPr>
        <w:t xml:space="preserve">Munnings, L. (2026), "BUT president urges minister to fix teacher shortages", </w:t>
      </w:r>
      <w:r>
        <w:rPr>
          <w:i/>
          <w:iCs/>
          <w:sz w:val="21"/>
          <w:szCs w:val="21"/>
        </w:rPr>
        <w:t xml:space="preserve">The Tribune</w:t>
      </w:r>
      <w:r>
        <w:rPr>
          <w:sz w:val="21"/>
          <w:szCs w:val="21"/>
        </w:rPr>
        <w:t xml:space="preserve"> (Nassau), 8 June 2026, https://www.tribune242.com/news/2026/jun/08/but-president-urges-minister-to-fix-teacher-shortages/.</w:t>
      </w:r>
    </w:p>
    <w:p>
      <w:pPr>
        <w:spacing w:after="120"/>
        <w:ind w:left="567" w:hanging="567"/>
        <w:jc w:val="left"/>
      </w:pPr>
      <w:r>
        <w:rPr>
          <w:sz w:val="21"/>
          <w:szCs w:val="21"/>
        </w:rPr>
        <w:t xml:space="preserve">NCTL (2017), </w:t>
      </w:r>
      <w:r>
        <w:rPr>
          <w:i/>
          <w:iCs/>
          <w:sz w:val="21"/>
          <w:szCs w:val="21"/>
        </w:rPr>
        <w:t xml:space="preserve">Returners Engagement Programme Pilot: Programme and Application Guidance</w:t>
      </w:r>
      <w:r>
        <w:rPr>
          <w:sz w:val="21"/>
          <w:szCs w:val="21"/>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1"/>
          <w:szCs w:val="21"/>
        </w:rPr>
        <w:t xml:space="preserve">New Mexico Educational Retirement Board (2023), </w:t>
      </w:r>
      <w:r>
        <w:rPr>
          <w:i/>
          <w:iCs/>
          <w:sz w:val="21"/>
          <w:szCs w:val="21"/>
        </w:rPr>
        <w:t xml:space="preserve">Discussion on Return to Work</w:t>
      </w:r>
      <w:r>
        <w:rPr>
          <w:sz w:val="21"/>
          <w:szCs w:val="21"/>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1"/>
          <w:szCs w:val="21"/>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1"/>
          <w:szCs w:val="21"/>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1"/>
          <w:szCs w:val="21"/>
        </w:rPr>
        <w:t xml:space="preserve">New Zealand Legislation (2020), </w:t>
      </w:r>
      <w:r>
        <w:rPr>
          <w:i/>
          <w:iCs/>
          <w:sz w:val="21"/>
          <w:szCs w:val="21"/>
        </w:rPr>
        <w:t xml:space="preserve">Education and Training Act 2020</w:t>
      </w:r>
      <w:r>
        <w:rPr>
          <w:sz w:val="21"/>
          <w:szCs w:val="21"/>
        </w:rPr>
        <w:t xml:space="preserve">, No 38, Schedule 3, https://www.legislation.govt.nz/act/public/2020/0038/latest/LMS261224.html (accessed on 4 August 2026).</w:t>
      </w:r>
    </w:p>
    <w:p>
      <w:pPr>
        <w:spacing w:after="120"/>
        <w:ind w:left="567" w:hanging="567"/>
        <w:jc w:val="left"/>
      </w:pPr>
      <w:r>
        <w:rPr>
          <w:sz w:val="21"/>
          <w:szCs w:val="21"/>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1"/>
          <w:szCs w:val="21"/>
        </w:rPr>
        <w:t xml:space="preserve">Nguyen, T. D., E. Bettini, C. Redding and A. F. Gilmour (2025), "Comparing Teacher Turnover Intentions to Actual Turnover: Cautions and Lessons for the Field", </w:t>
      </w:r>
      <w:r>
        <w:rPr>
          <w:i/>
          <w:iCs/>
          <w:sz w:val="21"/>
          <w:szCs w:val="21"/>
        </w:rPr>
        <w:t xml:space="preserve">Educational Evaluation and Policy Analysis</w:t>
      </w:r>
      <w:r>
        <w:rPr>
          <w:sz w:val="21"/>
          <w:szCs w:val="21"/>
        </w:rPr>
        <w:t xml:space="preserve">, https://journals.sagepub.com/doi/abs/10.3102/01623737241249459.</w:t>
      </w:r>
    </w:p>
    <w:p>
      <w:pPr>
        <w:spacing w:after="120"/>
        <w:ind w:left="567" w:hanging="567"/>
        <w:jc w:val="left"/>
      </w:pPr>
      <w:r>
        <w:rPr>
          <w:sz w:val="21"/>
          <w:szCs w:val="21"/>
        </w:rPr>
        <w:t xml:space="preserve">Nguyen, T. D., L. D. Pham, M. Crouch and M. G. Springer (2020), "The correlates of teacher turnover: An updated and expanded meta-analysis of the literature", </w:t>
      </w:r>
      <w:r>
        <w:rPr>
          <w:i/>
          <w:iCs/>
          <w:sz w:val="21"/>
          <w:szCs w:val="21"/>
        </w:rPr>
        <w:t xml:space="preserve">Educational Research Review</w:t>
      </w:r>
      <w:r>
        <w:rPr>
          <w:sz w:val="21"/>
          <w:szCs w:val="21"/>
        </w:rPr>
        <w:t xml:space="preserve">, Vol. 31, 100355, https://www.sciencedirect.com/science/article/abs/pii/S1747938X19305597.</w:t>
      </w:r>
    </w:p>
    <w:p>
      <w:pPr>
        <w:spacing w:after="120"/>
        <w:ind w:left="567" w:hanging="567"/>
        <w:jc w:val="left"/>
      </w:pPr>
      <w:r>
        <w:rPr>
          <w:sz w:val="21"/>
          <w:szCs w:val="21"/>
        </w:rPr>
        <w:t xml:space="preserve">Nickow, A., P. Oreopoulos and V. Quan (2024), "The promise of tutoring for preK-12 learning: A systematic review and meta-analysis of the experimental evidence", </w:t>
      </w:r>
      <w:r>
        <w:rPr>
          <w:i/>
          <w:iCs/>
          <w:sz w:val="21"/>
          <w:szCs w:val="21"/>
        </w:rPr>
        <w:t xml:space="preserve">American Educational Research Journal</w:t>
      </w:r>
      <w:r>
        <w:rPr>
          <w:sz w:val="21"/>
          <w:szCs w:val="21"/>
        </w:rPr>
        <w:t xml:space="preserve">, Vol. 61/1, pp. 74-107, https://journals.sagepub.com/doi/10.3102/00028312231208687.</w:t>
      </w:r>
    </w:p>
    <w:p>
      <w:pPr>
        <w:spacing w:after="120"/>
        <w:ind w:left="567" w:hanging="567"/>
        <w:jc w:val="left"/>
      </w:pPr>
      <w:r>
        <w:rPr>
          <w:sz w:val="21"/>
          <w:szCs w:val="21"/>
        </w:rPr>
        <w:t xml:space="preserve">NSW Department of Education (2024), </w:t>
      </w:r>
      <w:r>
        <w:rPr>
          <w:i/>
          <w:iCs/>
          <w:sz w:val="21"/>
          <w:szCs w:val="21"/>
        </w:rPr>
        <w:t xml:space="preserve">NSW Department of Education Annual Report 2023-24</w:t>
      </w:r>
      <w:r>
        <w:rPr>
          <w:sz w:val="21"/>
          <w:szCs w:val="21"/>
        </w:rPr>
        <w:t xml:space="preserve">, Sydney, https://education.nsw.gov.au/content/dam/main-education/en/home/about-us/strategies-and-reports/annual-reports/nsw-doe-annual-report-2023-24.pdf (accessed on 4 August 2026).</w:t>
      </w:r>
    </w:p>
    <w:p>
      <w:pPr>
        <w:spacing w:after="120"/>
        <w:ind w:left="567" w:hanging="567"/>
        <w:jc w:val="left"/>
      </w:pPr>
      <w:r>
        <w:rPr>
          <w:sz w:val="21"/>
          <w:szCs w:val="21"/>
        </w:rPr>
        <w:t xml:space="preserve">NSW Department of Education (2025), </w:t>
      </w:r>
      <w:r>
        <w:rPr>
          <w:i/>
          <w:iCs/>
          <w:sz w:val="21"/>
          <w:szCs w:val="21"/>
        </w:rPr>
        <w:t xml:space="preserve">Annual Report 2024-25</w:t>
      </w:r>
      <w:r>
        <w:rPr>
          <w:sz w:val="21"/>
          <w:szCs w:val="21"/>
        </w:rPr>
        <w:t xml:space="preserve">, Sydney, https://education.nsw.gov.au/content/dam/main-education/en/home/about-us/strategies-and-reports/annual-reports/DoE_Annual_Report_2024-25.pdf (accessed on 4 August 2026).</w:t>
      </w:r>
    </w:p>
    <w:p>
      <w:pPr>
        <w:spacing w:after="120"/>
        <w:ind w:left="567" w:hanging="567"/>
        <w:jc w:val="left"/>
      </w:pPr>
      <w:r>
        <w:rPr>
          <w:sz w:val="21"/>
          <w:szCs w:val="21"/>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1"/>
          <w:szCs w:val="21"/>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1"/>
          <w:szCs w:val="21"/>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1"/>
          <w:szCs w:val="21"/>
        </w:rPr>
        <w:t xml:space="preserve">OECD (2005), </w:t>
      </w:r>
      <w:r>
        <w:rPr>
          <w:i/>
          <w:iCs/>
          <w:sz w:val="21"/>
          <w:szCs w:val="21"/>
        </w:rPr>
        <w:t xml:space="preserve">Teachers Matter: Attracting, Developing and Retaining Effective Teachers</w:t>
      </w:r>
      <w:r>
        <w:rPr>
          <w:sz w:val="21"/>
          <w:szCs w:val="21"/>
        </w:rPr>
        <w:t xml:space="preserve">, Education and Training Policy, OECD Publishing, Paris, https://doi.org/10.1787/9789264018044-en (accessed on 5 August 2026).</w:t>
      </w:r>
    </w:p>
    <w:p>
      <w:pPr>
        <w:spacing w:after="120"/>
        <w:ind w:left="567" w:hanging="567"/>
        <w:jc w:val="left"/>
      </w:pPr>
      <w:r>
        <w:rPr>
          <w:sz w:val="21"/>
          <w:szCs w:val="21"/>
        </w:rPr>
        <w:t xml:space="preserve">OECD (2020), </w:t>
      </w:r>
      <w:r>
        <w:rPr>
          <w:i/>
          <w:iCs/>
          <w:sz w:val="21"/>
          <w:szCs w:val="21"/>
        </w:rPr>
        <w:t xml:space="preserve">TALIS 2018 Results (Volume II): Teachers and School Leaders as Valued Professionals</w:t>
      </w:r>
      <w:r>
        <w:rPr>
          <w:sz w:val="21"/>
          <w:szCs w:val="21"/>
        </w:rPr>
        <w:t xml:space="preserve">, TALIS, OECD Publishing, Paris, https://doi.org/10.1787/19cf08df-en (report page: https://www.oecd.org/en/publications/talis-2018-results-volume-ii_19cf08df-en.html).</w:t>
      </w:r>
    </w:p>
    <w:p>
      <w:pPr>
        <w:spacing w:after="120"/>
        <w:ind w:left="567" w:hanging="567"/>
        <w:jc w:val="left"/>
      </w:pPr>
      <w:r>
        <w:rPr>
          <w:sz w:val="21"/>
          <w:szCs w:val="21"/>
        </w:rPr>
        <w:t xml:space="preserve">OECD (2024), </w:t>
      </w:r>
      <w:r>
        <w:rPr>
          <w:i/>
          <w:iCs/>
          <w:sz w:val="21"/>
          <w:szCs w:val="21"/>
        </w:rPr>
        <w:t xml:space="preserve">Education Policy Outlook 2024: Reshaping Teaching into a Thriving Profession from ABCs to AI</w:t>
      </w:r>
      <w:r>
        <w:rPr>
          <w:sz w:val="21"/>
          <w:szCs w:val="21"/>
        </w:rPr>
        <w:t xml:space="preserve">, OECD Publishing, Paris, https://doi.org/10.1787/dd5140e4-en (accessed on 5 August 2026).</w:t>
      </w:r>
    </w:p>
    <w:p>
      <w:pPr>
        <w:spacing w:after="120"/>
        <w:ind w:left="567" w:hanging="567"/>
        <w:jc w:val="left"/>
      </w:pPr>
      <w:r>
        <w:rPr>
          <w:sz w:val="21"/>
          <w:szCs w:val="21"/>
        </w:rPr>
        <w:t xml:space="preserve">OECD (2025a), </w:t>
      </w:r>
      <w:r>
        <w:rPr>
          <w:i/>
          <w:iCs/>
          <w:sz w:val="21"/>
          <w:szCs w:val="21"/>
        </w:rPr>
        <w:t xml:space="preserve">Education at a Glance 2025: OECD Indicators</w:t>
      </w:r>
      <w:r>
        <w:rPr>
          <w:sz w:val="21"/>
          <w:szCs w:val="21"/>
        </w:rPr>
        <w:t xml:space="preserve">, OECD Publishing, Paris, https://doi.org/10.1787/1c0d9c79-en (accessed on 5 August 2026).</w:t>
      </w:r>
    </w:p>
    <w:p>
      <w:pPr>
        <w:spacing w:after="120"/>
        <w:ind w:left="567" w:hanging="567"/>
        <w:jc w:val="left"/>
      </w:pPr>
      <w:r>
        <w:rPr>
          <w:sz w:val="21"/>
          <w:szCs w:val="21"/>
        </w:rPr>
        <w:t xml:space="preserve">OECD (2025b), </w:t>
      </w:r>
      <w:r>
        <w:rPr>
          <w:i/>
          <w:iCs/>
          <w:sz w:val="21"/>
          <w:szCs w:val="21"/>
        </w:rPr>
        <w:t xml:space="preserve">Results from TALIS 2024: The State of Teaching</w:t>
      </w:r>
      <w:r>
        <w:rPr>
          <w:sz w:val="21"/>
          <w:szCs w:val="21"/>
        </w:rPr>
        <w:t xml:space="preserve">, TALIS, OECD Publishing, Paris, https://doi.org/10.1787/90df6235-en (accessed on 5 August 2026).</w:t>
      </w:r>
    </w:p>
    <w:p>
      <w:pPr>
        <w:spacing w:after="120"/>
        <w:ind w:left="567" w:hanging="567"/>
        <w:jc w:val="left"/>
      </w:pPr>
      <w:r>
        <w:rPr>
          <w:sz w:val="21"/>
          <w:szCs w:val="21"/>
        </w:rPr>
        <w:t xml:space="preserve">Ontario Ministry of Education (2022), </w:t>
      </w:r>
      <w:r>
        <w:rPr>
          <w:i/>
          <w:iCs/>
          <w:sz w:val="21"/>
          <w:szCs w:val="21"/>
        </w:rPr>
        <w:t xml:space="preserve">Memorandum 2022:SB01 – Temporary Amendment to the Ontario Teachers' Pension Plan (OTPP) 95 Day Re-Employment Rule for the 2021-22 School Year – Reporting Requirements</w:t>
      </w:r>
      <w:r>
        <w:rPr>
          <w:sz w:val="21"/>
          <w:szCs w:val="21"/>
        </w:rPr>
        <w:t xml:space="preserve">, 24 January 2022, https://efis.fma.csc.gov.on.ca/faab/Memos/SB2022/SB01_EN.pdf (accessed on 4 August 2026).</w:t>
      </w:r>
    </w:p>
    <w:p>
      <w:pPr>
        <w:spacing w:after="120"/>
        <w:ind w:left="567" w:hanging="567"/>
        <w:jc w:val="left"/>
      </w:pPr>
      <w:r>
        <w:rPr>
          <w:sz w:val="21"/>
          <w:szCs w:val="21"/>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1"/>
          <w:szCs w:val="21"/>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1"/>
          <w:szCs w:val="21"/>
        </w:rPr>
        <w:t xml:space="preserve">Rechnungshof (2025), </w:t>
      </w:r>
      <w:r>
        <w:rPr>
          <w:i/>
          <w:iCs/>
          <w:sz w:val="21"/>
          <w:szCs w:val="21"/>
        </w:rPr>
        <w:t xml:space="preserve">Lehrpersonaleinsatz</w:t>
      </w:r>
      <w:r>
        <w:rPr>
          <w:sz w:val="21"/>
          <w:szCs w:val="21"/>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1"/>
          <w:szCs w:val="21"/>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1"/>
          <w:szCs w:val="21"/>
        </w:rPr>
        <w:t xml:space="preserve">Resch, K. (2025), "Retired teachers return to school to tackle teacher shortages in Austrian schools. An untapped reserve or emergency response?", </w:t>
      </w:r>
      <w:r>
        <w:rPr>
          <w:i/>
          <w:iCs/>
          <w:sz w:val="21"/>
          <w:szCs w:val="21"/>
        </w:rPr>
        <w:t xml:space="preserve">European Journal of Teacher Education</w:t>
      </w:r>
      <w:r>
        <w:rPr>
          <w:sz w:val="21"/>
          <w:szCs w:val="21"/>
        </w:rPr>
        <w:t xml:space="preserve">, advance online publication, 10 July 2025, https://doi.org/10.1080/02619768.2025.2531930 (accessed on 5 August 2026).</w:t>
      </w:r>
    </w:p>
    <w:p>
      <w:pPr>
        <w:spacing w:after="120"/>
        <w:ind w:left="567" w:hanging="567"/>
        <w:jc w:val="left"/>
      </w:pPr>
      <w:r>
        <w:rPr>
          <w:sz w:val="21"/>
          <w:szCs w:val="21"/>
        </w:rPr>
        <w:t xml:space="preserve">Rolfhus, E., R. Gersten, B. Clarke, L. E. Decker, C. Wilkins and J. Dimino (2012), </w:t>
      </w:r>
      <w:r>
        <w:rPr>
          <w:i/>
          <w:iCs/>
          <w:sz w:val="21"/>
          <w:szCs w:val="21"/>
        </w:rPr>
        <w:t xml:space="preserve">An Evaluation of Number Rockets: A Tier-2 Intervention for Grade 1 Students at Risk for Difficulties in Mathematics</w:t>
      </w:r>
      <w:r>
        <w:rPr>
          <w:sz w:val="21"/>
          <w:szCs w:val="21"/>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1"/>
          <w:szCs w:val="21"/>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1"/>
          <w:szCs w:val="21"/>
        </w:rPr>
        <w:t xml:space="preserve">SÁBADO (2024), "Continuam a faltar médicos e professores. Porque estão a falhar as medidas do Governo?", sabado.pt, 6 December 2024, https://www.sabado.pt/portugal/detalhe/continuam-a-faltar-medicos-e-professores-porque-falharam-a-medidas-do-governo (accessed on 4 August 2026).</w:t>
      </w:r>
    </w:p>
    <w:p>
      <w:pPr>
        <w:spacing w:after="120"/>
        <w:ind w:left="567" w:hanging="567"/>
        <w:jc w:val="left"/>
      </w:pPr>
      <w:r>
        <w:rPr>
          <w:sz w:val="21"/>
          <w:szCs w:val="21"/>
        </w:rPr>
        <w:t xml:space="preserve">Sakuma, A. and N. Shimazaki (2024), "'Why are We Running Short of Teachers Even as the Birthrate Declines?': A Case Study of the Teacher Shortage in Public Schools in X Prefecture in Japan", </w:t>
      </w:r>
      <w:r>
        <w:rPr>
          <w:i/>
          <w:iCs/>
          <w:sz w:val="21"/>
          <w:szCs w:val="21"/>
        </w:rPr>
        <w:t xml:space="preserve">Educational Studies in Japan: International Yearbook</w:t>
      </w:r>
      <w:r>
        <w:rPr>
          <w:sz w:val="21"/>
          <w:szCs w:val="21"/>
        </w:rPr>
        <w:t xml:space="preserve">, No. 18, pp. 191-210, https://files.eric.ed.gov/fulltext/EJ1433887.pdf (accessed on 5 August 2026).</w:t>
      </w:r>
    </w:p>
    <w:p>
      <w:pPr>
        <w:spacing w:after="120"/>
        <w:ind w:left="567" w:hanging="567"/>
        <w:jc w:val="left"/>
      </w:pPr>
      <w:r>
        <w:rPr>
          <w:sz w:val="21"/>
          <w:szCs w:val="21"/>
        </w:rPr>
        <w:t xml:space="preserve">Scafidi, B., D. L. Sjoquist and T. R. Stinebrickner (2006), "Do Teachers Really Leave for Higher Paying Jobs in Alternative Occupations?", </w:t>
      </w:r>
      <w:r>
        <w:rPr>
          <w:i/>
          <w:iCs/>
          <w:sz w:val="21"/>
          <w:szCs w:val="21"/>
        </w:rPr>
        <w:t xml:space="preserve">The B.E. Journal of Economic Analysis &amp; Policy (Advances)</w:t>
      </w:r>
      <w:r>
        <w:rPr>
          <w:sz w:val="21"/>
          <w:szCs w:val="21"/>
        </w:rPr>
        <w:t xml:space="preserve">, Vol. 6/1, Article 8, https://ideas.repec.org/a/bpj/bejeap/vadvances.6y2006i1n8.html.</w:t>
      </w:r>
    </w:p>
    <w:p>
      <w:pPr>
        <w:spacing w:after="120"/>
        <w:ind w:left="567" w:hanging="567"/>
        <w:jc w:val="left"/>
      </w:pPr>
      <w:r>
        <w:rPr>
          <w:sz w:val="21"/>
          <w:szCs w:val="21"/>
        </w:rPr>
        <w:t xml:space="preserve">Sims, S., H. Lowes-Belk and C. Routledge (2026), "Why do people choose to enter and exit the teaching profession? An interdisciplinary quantitative synthesis", </w:t>
      </w:r>
      <w:r>
        <w:rPr>
          <w:i/>
          <w:iCs/>
          <w:sz w:val="21"/>
          <w:szCs w:val="21"/>
        </w:rPr>
        <w:t xml:space="preserve">British Educational Research Journal</w:t>
      </w:r>
      <w:r>
        <w:rPr>
          <w:sz w:val="21"/>
          <w:szCs w:val="21"/>
        </w:rPr>
        <w:t xml:space="preserve">, Vol. 52/3, pp. 1652-1676, published online 24 October 2025, https://doi.org/10.1002/berj.70027 (accessed on 5 August 2026).</w:t>
      </w:r>
    </w:p>
    <w:p>
      <w:pPr>
        <w:spacing w:after="120"/>
        <w:ind w:left="567" w:hanging="567"/>
        <w:jc w:val="left"/>
      </w:pPr>
      <w:r>
        <w:rPr>
          <w:sz w:val="21"/>
          <w:szCs w:val="21"/>
        </w:rPr>
        <w:t xml:space="preserve">Somers, M., L. Fleck, W. Groot and F. van Merode (2024a), </w:t>
      </w:r>
      <w:r>
        <w:rPr>
          <w:i/>
          <w:iCs/>
          <w:sz w:val="21"/>
          <w:szCs w:val="21"/>
        </w:rPr>
        <w:t xml:space="preserve">The Hidden Reserve of Nurses and Teachers in the Netherlands</w:t>
      </w:r>
      <w:r>
        <w:rPr>
          <w:sz w:val="21"/>
          <w:szCs w:val="21"/>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1"/>
          <w:szCs w:val="21"/>
        </w:rPr>
        <w:t xml:space="preserve">Somers, M., W. Groot and F. van Merode (2024b), "Stille reserve voldoende om personeelstekort onderwijs op te lossen", </w:t>
      </w:r>
      <w:r>
        <w:rPr>
          <w:i/>
          <w:iCs/>
          <w:sz w:val="21"/>
          <w:szCs w:val="21"/>
        </w:rPr>
        <w:t xml:space="preserve">ESB (Economisch Statistische Berichten)</w:t>
      </w:r>
      <w:r>
        <w:rPr>
          <w:sz w:val="21"/>
          <w:szCs w:val="21"/>
        </w:rPr>
        <w:t xml:space="preserve">, 28 February 2024, https://esb.nu/stille-reserve-voldoende-om-personeelstekort-onderwijs-op-te-lossen/ (accessed on 4 August 2026).</w:t>
      </w:r>
    </w:p>
    <w:p>
      <w:pPr>
        <w:spacing w:after="120"/>
        <w:ind w:left="567" w:hanging="567"/>
        <w:jc w:val="left"/>
      </w:pPr>
      <w:r>
        <w:rPr>
          <w:sz w:val="21"/>
          <w:szCs w:val="21"/>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1"/>
          <w:szCs w:val="21"/>
        </w:rPr>
        <w:t xml:space="preserve">Stinebrickner, T. R. (2002), "An Analysis of Occupational Change and Departure from the Labor Force: Evidence of the Reasons that Teachers Leave", </w:t>
      </w:r>
      <w:r>
        <w:rPr>
          <w:i/>
          <w:iCs/>
          <w:sz w:val="21"/>
          <w:szCs w:val="21"/>
        </w:rPr>
        <w:t xml:space="preserve">Journal of Human Resources</w:t>
      </w:r>
      <w:r>
        <w:rPr>
          <w:sz w:val="21"/>
          <w:szCs w:val="21"/>
        </w:rPr>
        <w:t xml:space="preserve">, Vol. 37/1, pp. 192-216, https://ideas.repec.org/a/uwp/jhriss/v37y2002i1p192-216.html.</w:t>
      </w:r>
    </w:p>
    <w:p>
      <w:pPr>
        <w:spacing w:after="120"/>
        <w:ind w:left="567" w:hanging="567"/>
        <w:jc w:val="left"/>
      </w:pPr>
      <w:r>
        <w:rPr>
          <w:sz w:val="21"/>
          <w:szCs w:val="21"/>
        </w:rPr>
        <w:t xml:space="preserve">Sutcher, L., L. Darling-Hammond and D. Carver-Thomas (2016), </w:t>
      </w:r>
      <w:r>
        <w:rPr>
          <w:i/>
          <w:iCs/>
          <w:sz w:val="21"/>
          <w:szCs w:val="21"/>
        </w:rPr>
        <w:t xml:space="preserve">A Coming Crisis in Teaching? Teacher Supply, Demand, and Shortages in the U.S.</w:t>
      </w:r>
      <w:r>
        <w:rPr>
          <w:sz w:val="21"/>
          <w:szCs w:val="21"/>
        </w:rPr>
        <w:t xml:space="preserve">, Learning Policy Institute, Palo Alto, CA, https://learningpolicyinstitute.org/product/coming-crisis-teaching-brief.</w:t>
      </w:r>
    </w:p>
    <w:p>
      <w:pPr>
        <w:spacing w:after="120"/>
        <w:ind w:left="567" w:hanging="567"/>
        <w:jc w:val="left"/>
      </w:pPr>
      <w:r>
        <w:rPr>
          <w:sz w:val="21"/>
          <w:szCs w:val="21"/>
        </w:rPr>
        <w:t xml:space="preserve">Tan, T., W. Wei, D. Carver-Thomas and E. García (2026), </w:t>
      </w:r>
      <w:r>
        <w:rPr>
          <w:i/>
          <w:iCs/>
          <w:sz w:val="21"/>
          <w:szCs w:val="21"/>
        </w:rPr>
        <w:t xml:space="preserve">Teacher Turnover in the United States: Who Moves, Who Leaves, and Why</w:t>
      </w:r>
      <w:r>
        <w:rPr>
          <w:sz w:val="21"/>
          <w:szCs w:val="21"/>
        </w:rPr>
        <w:t xml:space="preserve">, Learning Policy Institute, 17 March 2026, https://doi.org/10.54300/248.479 (report page: https://learningpolicyinstitute.org/product/teacher-turnover-united-states-report) (accessed on 5 August 2026).</w:t>
      </w:r>
    </w:p>
    <w:p>
      <w:pPr>
        <w:spacing w:after="120"/>
        <w:ind w:left="567" w:hanging="567"/>
        <w:jc w:val="left"/>
      </w:pPr>
      <w:r>
        <w:rPr>
          <w:sz w:val="21"/>
          <w:szCs w:val="21"/>
        </w:rPr>
        <w:t xml:space="preserve">Teachers' Pensions (n.d.), "Return to work — Once retired", https://www.teacherspensions.co.uk/members/once-retired/return-to-work.aspx (accessed on 5 August 2026).</w:t>
      </w:r>
    </w:p>
    <w:p>
      <w:pPr>
        <w:spacing w:after="120"/>
        <w:ind w:left="567" w:hanging="567"/>
        <w:jc w:val="left"/>
      </w:pPr>
      <w:r>
        <w:rPr>
          <w:sz w:val="21"/>
          <w:szCs w:val="21"/>
        </w:rPr>
        <w:t xml:space="preserve">Teachers Retirement System of Georgia (2026), "Legislative Update", 5 May 2026, https://www.trsga.com/legislation/legislative-update/ (accessed on 4 August 2026).</w:t>
      </w:r>
    </w:p>
    <w:p>
      <w:pPr>
        <w:spacing w:after="120"/>
        <w:ind w:left="567" w:hanging="567"/>
        <w:jc w:val="left"/>
      </w:pPr>
      <w:r>
        <w:rPr>
          <w:sz w:val="21"/>
          <w:szCs w:val="21"/>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1"/>
          <w:szCs w:val="21"/>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1"/>
          <w:szCs w:val="21"/>
        </w:rPr>
        <w:t xml:space="preserve">Teaching Council of Aotearoa New Zealand (2026), </w:t>
      </w:r>
      <w:r>
        <w:rPr>
          <w:i/>
          <w:iCs/>
          <w:sz w:val="21"/>
          <w:szCs w:val="21"/>
        </w:rPr>
        <w:t xml:space="preserve">Requirements for Teacher Registration, Practising Certificates and Limited Authority to Teach</w:t>
      </w:r>
      <w:r>
        <w:rPr>
          <w:sz w:val="21"/>
          <w:szCs w:val="21"/>
        </w:rPr>
        <w:t xml:space="preserve">, registration policy (2026 Teacher Education Refresh update), January 2026 version, Teaching Council of Aotearoa New Zealand, Wellington.</w:t>
      </w:r>
    </w:p>
    <w:p>
      <w:pPr>
        <w:spacing w:after="120"/>
        <w:ind w:left="567" w:hanging="567"/>
        <w:jc w:val="left"/>
      </w:pPr>
      <w:r>
        <w:rPr>
          <w:sz w:val="21"/>
          <w:szCs w:val="21"/>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1"/>
          <w:szCs w:val="21"/>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1"/>
          <w:szCs w:val="21"/>
        </w:rPr>
        <w:t xml:space="preserve">UK Parliament (2026), "Teacher Workforce", written statement HCWS171, House of Commons, 1 July 2026, https://questions-statements.parliament.uk/written-statements/detail/2026-07-01/hcws171.</w:t>
      </w:r>
    </w:p>
    <w:p>
      <w:pPr>
        <w:spacing w:after="120"/>
        <w:ind w:left="567" w:hanging="567"/>
        <w:jc w:val="left"/>
      </w:pPr>
      <w:r>
        <w:rPr>
          <w:sz w:val="21"/>
          <w:szCs w:val="21"/>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1"/>
          <w:szCs w:val="21"/>
        </w:rPr>
        <w:t xml:space="preserve">Walker, A. (2022), "DfE scheme to lure back physics teachers recruits just 23 in two years", </w:t>
      </w:r>
      <w:r>
        <w:rPr>
          <w:i/>
          <w:iCs/>
          <w:sz w:val="21"/>
          <w:szCs w:val="21"/>
        </w:rPr>
        <w:t xml:space="preserve">Schools Week</w:t>
      </w:r>
      <w:r>
        <w:rPr>
          <w:sz w:val="21"/>
          <w:szCs w:val="21"/>
        </w:rPr>
        <w:t xml:space="preserve">, 13 September 2022, https://schoolsweek.co.uk/dfe-scheme-to-lure-back-physics-teachers-recruits-just-23-in-two-years/.</w:t>
      </w:r>
    </w:p>
    <w:p>
      <w:pPr>
        <w:spacing w:after="120"/>
        <w:ind w:left="567" w:hanging="567"/>
        <w:jc w:val="left"/>
      </w:pPr>
      <w:r>
        <w:rPr>
          <w:sz w:val="21"/>
          <w:szCs w:val="21"/>
        </w:rPr>
        <w:t xml:space="preserve">Watt, H. M. G., P. W. Richardson, U. Klusmann, M. Kunter, B. Beyer, U. Trautwein and J. Baumert (2012), "Motivations for choosing teaching as a career: An international comparison using the FIT-Choice scale", </w:t>
      </w:r>
      <w:r>
        <w:rPr>
          <w:i/>
          <w:iCs/>
          <w:sz w:val="21"/>
          <w:szCs w:val="21"/>
        </w:rPr>
        <w:t xml:space="preserve">Teaching and Teacher Education</w:t>
      </w:r>
      <w:r>
        <w:rPr>
          <w:sz w:val="21"/>
          <w:szCs w:val="21"/>
        </w:rPr>
        <w:t xml:space="preserve">, Vol. 28/6, pp. 791-805, https://www.sciencedirect.com/science/article/abs/pii/S0742051X12000479.</w:t>
      </w:r>
    </w:p>
    <w:p>
      <w:pPr>
        <w:spacing w:after="120"/>
        <w:ind w:left="567" w:hanging="567"/>
        <w:jc w:val="left"/>
      </w:pPr>
      <w:r>
        <w:rPr>
          <w:sz w:val="21"/>
          <w:szCs w:val="21"/>
        </w:rPr>
        <w:t xml:space="preserve">What Works Clearinghouse (2019), </w:t>
      </w:r>
      <w:r>
        <w:rPr>
          <w:i/>
          <w:iCs/>
          <w:sz w:val="21"/>
          <w:szCs w:val="21"/>
        </w:rPr>
        <w:t xml:space="preserve">Review of Individual Study: DeCesare, McClelland and Randel (2017)</w:t>
      </w:r>
      <w:r>
        <w:rPr>
          <w:sz w:val="21"/>
          <w:szCs w:val="21"/>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1"/>
          <w:szCs w:val="21"/>
        </w:rPr>
        <w:t xml:space="preserve">Will, M. (2022), "Could Retired Teachers Be the Answer to Shortages? It's Complicated", </w:t>
      </w:r>
      <w:r>
        <w:rPr>
          <w:i/>
          <w:iCs/>
          <w:sz w:val="21"/>
          <w:szCs w:val="21"/>
        </w:rPr>
        <w:t xml:space="preserve">Education Week</w:t>
      </w:r>
      <w:r>
        <w:rPr>
          <w:sz w:val="21"/>
          <w:szCs w:val="21"/>
        </w:rPr>
        <w:t xml:space="preserve">, 11 October 2022, https://www.edweek.org/leadership/could-retired-teachers-be-the-answer-to-shortages-its-complicated/2022/10 (accessed on 4 August 2026).</w:t>
      </w:r>
    </w:p>
    <w:p>
      <w:pPr>
        <w:spacing w:after="120"/>
        <w:ind w:left="567" w:hanging="567"/>
        <w:jc w:val="left"/>
      </w:pPr>
      <w:r>
        <w:rPr>
          <w:sz w:val="21"/>
          <w:szCs w:val="21"/>
        </w:rPr>
        <w:t xml:space="preserve">Worth, J. (2023), </w:t>
      </w:r>
      <w:r>
        <w:rPr>
          <w:i/>
          <w:iCs/>
          <w:sz w:val="21"/>
          <w:szCs w:val="21"/>
        </w:rPr>
        <w:t xml:space="preserve">Short Supply: Addressing the Post-Pandemic Teacher Supply Challenge in England</w:t>
      </w:r>
      <w:r>
        <w:rPr>
          <w:sz w:val="21"/>
          <w:szCs w:val="21"/>
        </w:rPr>
        <w:t xml:space="preserve">, National Foundation for Educational Research, Slough, https://files.eric.ed.gov/fulltext/ED627679.pdf (accessed on 4 August 2026).</w:t>
      </w:r>
    </w:p>
    <w:p>
      <w:pPr>
        <w:spacing w:after="120"/>
        <w:ind w:left="567" w:hanging="567"/>
        <w:jc w:val="left"/>
      </w:pPr>
      <w:r>
        <w:rPr>
          <w:sz w:val="21"/>
          <w:szCs w:val="21"/>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1"/>
          <w:szCs w:val="21"/>
        </w:rPr>
        <w:t xml:space="preserve">Worth, J., S. Bamford and B. Durbin (2015), </w:t>
      </w:r>
      <w:r>
        <w:rPr>
          <w:i/>
          <w:iCs/>
          <w:sz w:val="21"/>
          <w:szCs w:val="21"/>
        </w:rPr>
        <w:t xml:space="preserve">Should I Stay or Should I Go? NFER Analysis of Teachers Joining and Leaving the Profession</w:t>
      </w:r>
      <w:r>
        <w:rPr>
          <w:sz w:val="21"/>
          <w:szCs w:val="21"/>
        </w:rPr>
        <w:t xml:space="preserve">, National Foundation for Educational Research, Slough, https://www.nfer.ac.uk/publications/should-i-stay-or-should-i-go-nfer-analysis-of-teachers-joining-and-leaving-the-profession/.</w:t>
      </w:r>
    </w:p>
    <w:p>
      <w:pPr>
        <w:spacing w:after="120"/>
        <w:ind w:left="567" w:hanging="567"/>
        <w:jc w:val="left"/>
      </w:pPr>
      <w:r>
        <w:rPr>
          <w:sz w:val="21"/>
          <w:szCs w:val="21"/>
        </w:rPr>
        <w:t xml:space="preserve">ZNS Bahamas (2026), "The Ministry of Education Aiming to Attract More Bahamian Teachers", ZNS Bahamas (Broadcasting Corporation of The Bahamas), 17 July 2026, https://znsbahamas.com/the-ministry-of-education-aiming-to-attract-more-bahamian-teachers/.</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WORKING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2026-08-18T12:40:07.118Z</dcterms:created>
  <dcterms:modified xsi:type="dcterms:W3CDTF">2026-08-18T12:40:07.119Z</dcterms:modified>
</cp:coreProperties>
</file>

<file path=docProps/custom.xml><?xml version="1.0" encoding="utf-8"?>
<Properties xmlns="http://schemas.openxmlformats.org/officeDocument/2006/custom-properties" xmlns:vt="http://schemas.openxmlformats.org/officeDocument/2006/docPropsVTypes"/>
</file>