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color w:val="595959"/>
          <w:sz w:val="22"/>
          <w:szCs w:val="22"/>
        </w:rPr>
        <w:t xml:space="preserve">OECD EDUCATION WORKING PAPERS  No. [XX]</w:t>
      </w:r>
    </w:p>
    <w:p>
      <w:pPr>
        <w:pBdr>
          <w:bottom w:val="single" w:color="04629A" w:sz="8"/>
        </w:pBdr>
        <w:spacing w:after="60"/>
      </w:pPr>
      <w:r>
        <w:rPr>
          <w:sz w:val="8"/>
          <w:szCs w:val="8"/>
        </w:rPr>
        <w:t xml:space="preserve"> </w:t>
      </w:r>
    </w:p>
    <w:p>
      <w:pPr>
        <w:spacing w:after="200" w:before="2200"/>
      </w:pPr>
      <w:r>
        <w:rPr>
          <w:b/>
          <w:bCs/>
          <w:color w:val="04629A"/>
          <w:sz w:val="52"/>
          <w:szCs w:val="52"/>
        </w:rPr>
        <w:t xml:space="preserve">Former Teachers: Barriers, Incentives and Policy Lessons for Re-entry</w:t>
      </w:r>
    </w:p>
    <w:p>
      <w:pPr>
        <w:spacing w:after="1200"/>
      </w:pPr>
      <w:r>
        <w:rPr>
          <w:color w:val="404040"/>
          <w:sz w:val="26"/>
          <w:szCs w:val="26"/>
        </w:rPr>
        <w:t xml:space="preserve">[Author name(s)], Directorate for Education and Skills</w:t>
      </w:r>
    </w:p>
    <w:p>
      <w:pPr>
        <w:spacing w:after="120"/>
      </w:pPr>
      <w:r>
        <w:rPr>
          <w:color w:val="595959"/>
          <w:sz w:val="24"/>
          <w:szCs w:val="24"/>
        </w:rPr>
        <w:t xml:space="preserve">WORKING DRAFT — August 2026</w:t>
      </w:r>
    </w:p>
    <w:p>
      <w:pPr>
        <w:spacing w:after="0"/>
      </w:pPr>
      <w:r>
        <w:rPr>
          <w:color w:val="8C8C8C"/>
          <w:sz w:val="20"/>
          <w:szCs w:val="20"/>
        </w:rPr>
        <w:t xml:space="preserve">[Document code]  ·  [JT code]</w:t>
      </w:r>
    </w:p>
    <w:p>
      <w:pPr>
        <w:pageBreakBefore/>
        <w:spacing w:after="200" w:before="400"/>
      </w:pPr>
      <w:r>
        <w:rPr>
          <w:b/>
          <w:bCs/>
          <w:color w:val="04629A"/>
          <w:sz w:val="26"/>
          <w:szCs w:val="26"/>
        </w:rPr>
        <w:t xml:space="preserve">OECD Education Working Papers</w:t>
      </w:r>
    </w:p>
    <w:p>
      <w:pPr>
        <w:spacing w:after="200"/>
      </w:pPr>
      <w:r>
        <w:rPr>
          <w:i/>
          <w:iCs/>
          <w:color w:val="8C8C8C"/>
        </w:rPr>
        <w:t xml:space="preserve">[Series disclaimer: This series is designed to make available to a wider readership selected studies drawn from the work of the OECD Directorate for Education and Skills…]</w:t>
      </w:r>
    </w:p>
    <w:p>
      <w:pPr>
        <w:spacing w:after="200"/>
      </w:pPr>
      <w:r>
        <w:rPr>
          <w:i/>
          <w:iCs/>
          <w:color w:val="8C8C8C"/>
        </w:rPr>
        <w:t xml:space="preserve">[Opinions disclaimer: The opinions expressed and arguments employed herein are those of the author(s) and do not necessarily reflect the official views of the OECD or of its member countries.]</w:t>
      </w:r>
    </w:p>
    <w:p>
      <w:pPr>
        <w:spacing w:after="200"/>
      </w:pPr>
      <w:r>
        <w:rPr>
          <w:i/>
          <w:iCs/>
          <w:color w:val="8C8C8C"/>
        </w:rPr>
        <w:t xml:space="preserve">[Territorial disclaimers]</w:t>
      </w:r>
    </w:p>
    <w:p>
      <w:pPr>
        <w:spacing w:after="200"/>
      </w:pPr>
      <w:r>
        <w:rPr>
          <w:i/>
          <w:iCs/>
          <w:color w:val="8C8C8C"/>
        </w:rPr>
        <w:t xml:space="preserve">[Copyright notice — © OECD 2026 — Attribution 4.0 International (CC BY 4.0)]</w:t>
      </w:r>
    </w:p>
    <w:p>
      <w:pPr>
        <w:spacing w:after="200"/>
      </w:pPr>
      <w:r>
        <w:rPr>
          <w:i/>
          <w:iCs/>
          <w:color w:val="8C8C8C"/>
        </w:rPr>
        <w:t xml:space="preserve">[Comments on Working Papers are welcome and may be sent to: edu.contact@oecd.org]</w:t>
      </w:r>
    </w:p>
    <w:p>
      <w:pPr>
        <w:pStyle w:val="Heading1"/>
        <w:pageBreakBefore/>
        <w:spacing w:after="220" w:before="0"/>
      </w:pPr>
      <w:r>
        <w:rPr>
          <w:rFonts w:ascii="Garamond" w:cs="Garamond" w:eastAsia="Garamond" w:hAnsi="Garamond"/>
          <w:b/>
          <w:bCs/>
          <w:color w:val="04629A"/>
          <w:sz w:val="30"/>
          <w:szCs w:val="30"/>
        </w:rPr>
        <w:t xml:space="preserve">Abstract</w:t>
      </w:r>
    </w:p>
    <w:p>
      <w:pPr>
        <w:spacing w:after="200"/>
      </w:pPr>
      <w:r>
        <w:rPr>
          <w:i/>
          <w:iCs/>
          <w:color w:val="8C8C8C"/>
        </w:rPr>
        <w:t xml:space="preserve">[Abstract — fewer than 150 words, followed by Keywords and JEL codes.]</w:t>
      </w:r>
    </w:p>
    <w:p>
      <w:pPr>
        <w:pStyle w:val="Heading1"/>
        <w:spacing w:after="220" w:before="340"/>
      </w:pPr>
      <w:r>
        <w:rPr>
          <w:rFonts w:ascii="Garamond" w:cs="Garamond" w:eastAsia="Garamond" w:hAnsi="Garamond"/>
          <w:b/>
          <w:bCs/>
          <w:color w:val="04629A"/>
          <w:sz w:val="30"/>
          <w:szCs w:val="30"/>
        </w:rPr>
        <w:t xml:space="preserve">Résumé</w:t>
      </w:r>
    </w:p>
    <w:p>
      <w:pPr>
        <w:spacing w:after="200"/>
      </w:pPr>
      <w:r>
        <w:rPr>
          <w:i/>
          <w:iCs/>
          <w:color w:val="8C8C8C"/>
        </w:rPr>
        <w:t xml:space="preserve">[Résumé en français.]</w:t>
      </w:r>
    </w:p>
    <w:p>
      <w:pPr>
        <w:pStyle w:val="Heading1"/>
        <w:pageBreakBefore/>
        <w:spacing w:after="220" w:before="0"/>
      </w:pPr>
      <w:r>
        <w:rPr>
          <w:rFonts w:ascii="Garamond" w:cs="Garamond" w:eastAsia="Garamond" w:hAnsi="Garamond"/>
          <w:b/>
          <w:bCs/>
          <w:color w:val="04629A"/>
          <w:sz w:val="30"/>
          <w:szCs w:val="30"/>
        </w:rPr>
        <w:t xml:space="preserve">Acknowledgements</w:t>
      </w:r>
    </w:p>
    <w:p>
      <w:pPr>
        <w:spacing w:after="200"/>
      </w:pPr>
      <w:r>
        <w:rPr>
          <w:i/>
          <w:iCs/>
          <w:color w:val="8C8C8C"/>
        </w:rPr>
        <w:t xml:space="preserve">[Acknowledgements to colleagues, reviewers and data providers.]</w:t>
      </w:r>
    </w:p>
    <w:p>
      <w:pPr>
        <w:pStyle w:val="Heading1"/>
        <w:pageBreakBefore/>
        <w:spacing w:after="220" w:before="0"/>
      </w:pPr>
      <w:r>
        <w:rPr>
          <w:rFonts w:ascii="Garamond" w:cs="Garamond" w:eastAsia="Garamond" w:hAnsi="Garamond"/>
          <w:b/>
          <w:bCs/>
          <w:color w:val="04629A"/>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220" w:before="0"/>
      </w:pPr>
      <w:r>
        <w:rPr>
          <w:rFonts w:ascii="Garamond" w:cs="Garamond" w:eastAsia="Garamond" w:hAnsi="Garamond"/>
          <w:b/>
          <w:bCs/>
          <w:color w:val="04629A"/>
          <w:sz w:val="30"/>
          <w:szCs w:val="30"/>
        </w:rPr>
        <w:t xml:space="preserve">1. Introduction</w:t>
      </w:r>
    </w:p>
    <w:p>
      <w:pPr>
        <w:spacing w:after="200"/>
      </w:pPr>
      <w:r>
        <w:rPr>
          <w:i/>
          <w:iCs/>
          <w:color w:val="8C8C8C"/>
        </w:rPr>
        <w:t xml:space="preserve">[To be written last, distilled from the finished text.]</w:t>
      </w:r>
    </w:p>
    <w:p>
      <w:pPr>
        <w:pStyle w:val="Heading1"/>
        <w:pageBreakBefore/>
        <w:spacing w:after="220" w:before="0"/>
      </w:pPr>
      <w:r>
        <w:rPr>
          <w:rFonts w:ascii="Garamond" w:cs="Garamond" w:eastAsia="Garamond" w:hAnsi="Garamond"/>
          <w:b/>
          <w:bCs/>
          <w:color w:val="04629A"/>
          <w:sz w:val="30"/>
          <w:szCs w:val="30"/>
        </w:rPr>
        <w:t xml:space="preserve">2. Why teachers leave</w:t>
      </w:r>
    </w:p>
    <w:p>
      <w:pPr>
        <w:spacing w:after="160" w:line="264"/>
        <w:jc w:val="both"/>
      </w:pPr>
      <w:r>
        <w:t xml:space="preserve">Policies that seek to bring former teachers back to the classroom can succeed only if they rest on the reasons for which those teachers left, and respond to them. The reasons determine who is reachable, at what cost and with which instrument. A financial offer addressed to people who left because the conditions of the work had become unmanageable, or a licensing concession addressed to people who retired when their pension rules made it rational to do so, is addressed to a population that is not there. This section therefore reviews what is known about why teachers leave, before the paper turns to the policies that have tried to bring them back.</w:t>
      </w:r>
    </w:p>
    <w:p>
      <w:pPr>
        <w:spacing w:after="160" w:line="264"/>
        <w:jc w:val="both"/>
      </w:pPr>
      <w:r>
        <w:t xml:space="preserve">The departures themselves can be grouped broadly into resignations towards other employment, withdrawals from the labour market and retirements. The distinction matters for what follows because the person behind each of them faces a different return decision. A teacher who resigned for another job has an employer to leave; a teacher who withdrew to care for a child has a household arrangement to renegotiate; a retired teacher has a pension whose rules may penalise re-employment. Each responds to different instruments, and the balance among the three differs sharply across countries, as this section shows.</w:t>
      </w:r>
    </w:p>
    <w:p>
      <w:pPr>
        <w:spacing w:after="160" w:line="264"/>
        <w:jc w:val="both"/>
      </w:pPr>
      <w:r>
        <w:t xml:space="preserve">How much any given reason weighs in these decisions varies from one system to another with the institutions that govern it, among them the design of pensions and the age at which they can be drawn, the pay of teachers relative to other tertiary-educated workers, the effective right to work part-time, parental leave and the reservation of the post, the inspection regime and the rules of licensure. A reason that dominates departures in one country can be nearly absent in another that has legislated it away, which is why the evidence below is presented together with the institutional setting in which it was produced.</w:t>
      </w:r>
    </w:p>
    <w:p>
      <w:pPr>
        <w:spacing w:after="160" w:line="264"/>
        <w:jc w:val="both"/>
      </w:pPr>
      <w:r>
        <w:t xml:space="preserve">The reasons studied in the research literature fall into six areas, and the evidence behind them is distributed unevenly. Causal or quasi-experimental estimates exist for pay, for pensions and for inspection, because these are set centrally and their reforms create discontinuities that research can exploit. School leadership and pupil behaviour are supported by evidence on observed departures, though almost never by designs that isolate them from everything else a school is. Professional purpose, standing and family reasons rest almost entirely on what teachers themselves report. The imbalance runs through the whole of this section, and it matters for policy, since an area rich in testimony and poor in identification invites confident intervention on weak ground.</w:t>
      </w:r>
    </w:p>
    <w:p>
      <w:pPr>
        <w:pStyle w:val="Heading2"/>
        <w:spacing w:after="140" w:before="260"/>
      </w:pPr>
      <w:r>
        <w:rPr>
          <w:rFonts w:ascii="Garamond" w:cs="Garamond" w:eastAsia="Garamond" w:hAnsi="Garamond"/>
          <w:b/>
          <w:bCs/>
          <w:color w:val="04629A"/>
          <w:sz w:val="25"/>
          <w:szCs w:val="25"/>
        </w:rPr>
        <w:t xml:space="preserve">2.1 Patterns of departure</w:t>
      </w:r>
    </w:p>
    <w:p>
      <w:pPr>
        <w:spacing w:after="160" w:line="264"/>
        <w:jc w:val="both"/>
      </w:pPr>
      <w:r>
        <w:t xml:space="preserve">Teachers leave everywhere, at rates that differ several-fold between systems. Across the 19 OECD education systems with comparable data, 6.5% of fully qualified teachers left the profession in 2022/23, from around 2% in Israel, Ireland, France and Greece to around 12% in Lithuania and Denmark </w:t>
      </w:r>
      <w:r>
        <w:rPr>
          <w:color w:val="0563C1"/>
        </w:rPr>
        <w:t xml:space="preserve">(OECD, 2025a)</w:t>
      </w:r>
      <w:r>
        <w:t xml:space="preserve">.</w:t>
      </w:r>
      <w:r>
        <w:rPr>
          <w:rStyle w:val="FootnoteReference"/>
        </w:rPr>
        <w:footnoteReference w:id="1"/>
      </w:r>
      <w:r>
        <w:t xml:space="preserve"> A range of that width is itself informative. Attrition of 2% is compatible with a workforce that renews itself through retirement alone, while attrition above 10% forces a system to replace a substantial share of its stock every year, and the two situations call for different readings of every result reported below.</w:t>
      </w:r>
    </w:p>
    <w:p>
      <w:pPr>
        <w:spacing w:after="160" w:line="264"/>
        <w:jc w:val="both"/>
      </w:pPr>
      <w:r>
        <w:t xml:space="preserve">Departure also follows the shape of the career. It is most frequent in the first years of teaching, falls through mid-career and rises again as retirement approaches, a profile documented across the 46 studies of an early systematic review </w:t>
      </w:r>
      <w:r>
        <w:rPr>
          <w:color w:val="0563C1"/>
        </w:rPr>
        <w:t xml:space="preserve">(Guarino, Santibañez and Daley, 2006)</w:t>
      </w:r>
      <w:r>
        <w:t xml:space="preserve">. The early peak reflects sorting, as entrants discover whether the job matches what they trained for, and the late peak reflects the pension rules examined later in this section. Between the two sits a long stretch of comparatively stable mid-career service, which is where most of the potential returner population accumulates.</w:t>
      </w:r>
    </w:p>
    <w:p>
      <w:pPr>
        <w:spacing w:after="160" w:line="264"/>
        <w:jc w:val="both"/>
      </w:pPr>
      <w:r>
        <w:t xml:space="preserve">Where a teacher works predicts departure better than who the teacher is. Pooling 120 studies, school working conditions are more strongly associated with attrition than teachers' personal characteristics; teachers in schools with better conditions face roughly half the odds of leaving, and class size, the variable policy debates return to most readily, shows no association at all </w:t>
      </w:r>
      <w:r>
        <w:rPr>
          <w:color w:val="0563C1"/>
        </w:rPr>
        <w:t xml:space="preserve">(Nguyen et al., 2020)</w:t>
      </w:r>
      <w:r>
        <w:t xml:space="preserve">. Within those conditions, the support of the school's leadership counts for more than material resources. In England, the leadership factor halves an experienced teacher's annual probability of leaving the profession </w:t>
      </w:r>
      <w:r>
        <w:rPr>
          <w:color w:val="0563C1"/>
        </w:rPr>
        <w:t xml:space="preserve">(Sims and Jerrim, 2020)</w:t>
      </w:r>
      <w:r>
        <w:t xml:space="preserve">, and in New York City, schools that improved their leadership, expectations and safety over time saw turnover fall within the same school, in a panel design that holds the school's fixed characteristics constant </w:t>
      </w:r>
      <w:r>
        <w:rPr>
          <w:color w:val="0563C1"/>
        </w:rPr>
        <w:t xml:space="preserve">(Kraft, Marinell and Shen-Wei Yee, 2016)</w:t>
      </w:r>
      <w:r>
        <w:t xml:space="preserve">. None of this evidence is experimental, and the caution recurs below, but the direction is consistent wherever conditions and departures have been measured together.</w:t>
      </w:r>
    </w:p>
    <w:p>
      <w:pPr>
        <w:spacing w:after="160" w:line="264"/>
        <w:jc w:val="both"/>
      </w:pPr>
      <w:r>
        <w:t xml:space="preserve">The reasons teachers give in surveys, finally, do not always coincide with the ones that predict their observed departure. The gap is the one to be expected between stated and revealed preferences </w:t>
      </w:r>
      <w:r>
        <w:rPr>
          <w:color w:val="0563C1"/>
        </w:rPr>
        <w:t xml:space="preserve">(Samuelson, 1938)</w:t>
      </w:r>
      <w:r>
        <w:t xml:space="preserve">. What a person reports about a decision and what the decision itself reveals are different measurements of different objects, and neither replaces the other. The distinction organises much of what follows, and Section 2.4 examines it directly.</w:t>
      </w:r>
    </w:p>
    <w:p>
      <w:pPr>
        <w:pStyle w:val="Heading2"/>
        <w:spacing w:after="140" w:before="260"/>
      </w:pPr>
      <w:r>
        <w:rPr>
          <w:rFonts w:ascii="Garamond" w:cs="Garamond" w:eastAsia="Garamond" w:hAnsi="Garamond"/>
          <w:b/>
          <w:bCs/>
          <w:color w:val="04629A"/>
          <w:sz w:val="25"/>
          <w:szCs w:val="25"/>
        </w:rPr>
        <w:t xml:space="preserve">2.2 Classifying the reasons</w:t>
      </w:r>
    </w:p>
    <w:p>
      <w:pPr>
        <w:spacing w:after="160" w:line="264"/>
        <w:jc w:val="both"/>
      </w:pPr>
      <w:r>
        <w:t xml:space="preserve">The literature offers no single classification of these reasons. Some work separates what pushes a teacher out of the classroom from what attracts them towards other employment, a scheme inherited from the study of migration. Other work distinguishes what belongs to the teacher's life, what depends on the school and what is fixed by general rules, such as pay or pensions. The schemes serve the questions they were built for, and none was built for the question of return, which needs to know why a person left and which authority could alter the reason.</w:t>
      </w:r>
    </w:p>
    <w:p>
      <w:pPr>
        <w:spacing w:after="160" w:line="264"/>
        <w:jc w:val="both"/>
      </w:pPr>
      <w:r>
        <w:t xml:space="preserve">Drawing on that literature, this paper orders the reasons into six areas, defined by the domain to which each belongs and by the authority with the capacity to intervene in it. Table 1 lists them. The remainder of the section examines each area together with the institutional variation that gives it more or less weight in a given country, in the order in which the areas appear in the table.</w:t>
      </w:r>
    </w:p>
    <w:p>
      <w:pPr>
        <w:spacing w:after="160" w:line="264"/>
        <w:jc w:val="both"/>
      </w:pPr>
      <w:r>
        <w:rPr>
          <w:b/>
          <w:bCs/>
        </w:rPr>
        <w:t xml:space="preserve">Table 1. Reasons for leaving teaching, by area</w:t>
      </w:r>
    </w:p>
    <w:tbl>
      <w:tblPr>
        <w:tblW w:type="pct" w:w="100%"/>
        <w:tblBorders>
          <w:top w:val="single" w:color="888888" w:sz="6"/>
          <w:left w:val="none"/>
          <w:bottom w:val="single" w:color="888888" w:sz="6"/>
          <w:right w:val="none"/>
          <w:insideH w:val="single" w:color="CCCCCC" w:sz="2"/>
          <w:insideV w:val="none"/>
        </w:tblBorders>
      </w:tblPr>
      <w:tblGrid>
        <w:gridCol w:w="100"/>
        <w:gridCol w:w="100"/>
      </w:tblGrid>
      <w:tr>
        <w:tc>
          <w:tcPr>
            <w:shd w:fill="E8EEF4"/>
            <w:tcMar>
              <w:top w:type="dxa" w:w="60"/>
              <w:left w:type="dxa" w:w="80"/>
              <w:bottom w:type="dxa" w:w="60"/>
              <w:right w:type="dxa" w:w="80"/>
            </w:tcMar>
          </w:tcPr>
          <w:p>
            <w:pPr>
              <w:spacing w:after="40"/>
            </w:pPr>
            <w:r>
              <w:rPr>
                <w:b/>
                <w:bCs/>
                <w:sz w:val="17"/>
                <w:szCs w:val="17"/>
              </w:rPr>
              <w:t xml:space="preserve">Area</w:t>
            </w:r>
          </w:p>
        </w:tc>
        <w:tc>
          <w:tcPr>
            <w:shd w:fill="E8EEF4"/>
            <w:tcMar>
              <w:top w:type="dxa" w:w="60"/>
              <w:left w:type="dxa" w:w="80"/>
              <w:bottom w:type="dxa" w:w="60"/>
              <w:right w:type="dxa" w:w="80"/>
            </w:tcMar>
          </w:tcPr>
          <w:p>
            <w:pPr>
              <w:spacing w:after="40"/>
            </w:pPr>
            <w:r>
              <w:rPr>
                <w:b/>
                <w:bCs/>
                <w:sz w:val="17"/>
                <w:szCs w:val="17"/>
              </w:rPr>
              <w:t xml:space="preserve">Reasons</w:t>
            </w:r>
          </w:p>
        </w:tc>
      </w:tr>
      <w:tr>
        <w:tc>
          <w:tcPr>
            <w:tcMar>
              <w:top w:type="dxa" w:w="60"/>
              <w:left w:type="dxa" w:w="80"/>
              <w:bottom w:type="dxa" w:w="60"/>
              <w:right w:type="dxa" w:w="80"/>
            </w:tcMar>
          </w:tcPr>
          <w:p>
            <w:pPr>
              <w:spacing w:after="40"/>
            </w:pPr>
            <w:r>
              <w:rPr>
                <w:b w:val="false"/>
                <w:bCs w:val="false"/>
                <w:sz w:val="17"/>
                <w:szCs w:val="17"/>
              </w:rPr>
              <w:t xml:space="preserve">Professional factors</w:t>
            </w:r>
          </w:p>
        </w:tc>
        <w:tc>
          <w:tcPr>
            <w:tcMar>
              <w:top w:type="dxa" w:w="60"/>
              <w:left w:type="dxa" w:w="80"/>
              <w:bottom w:type="dxa" w:w="60"/>
              <w:right w:type="dxa" w:w="80"/>
            </w:tcMar>
          </w:tcPr>
          <w:p>
            <w:pPr>
              <w:spacing w:after="40"/>
            </w:pPr>
            <w:r>
              <w:rPr>
                <w:b w:val="false"/>
                <w:bCs w:val="false"/>
                <w:sz w:val="17"/>
                <w:szCs w:val="17"/>
              </w:rPr>
              <w:t xml:space="preserve">Loss of professional purpose; limited autonomy over the work; professional standing; exposure to parental complaint and legal risk</w:t>
            </w:r>
          </w:p>
        </w:tc>
      </w:tr>
      <w:tr>
        <w:tc>
          <w:tcPr>
            <w:tcMar>
              <w:top w:type="dxa" w:w="60"/>
              <w:left w:type="dxa" w:w="80"/>
              <w:bottom w:type="dxa" w:w="60"/>
              <w:right w:type="dxa" w:w="80"/>
            </w:tcMar>
          </w:tcPr>
          <w:p>
            <w:pPr>
              <w:spacing w:after="40"/>
            </w:pPr>
            <w:r>
              <w:rPr>
                <w:b w:val="false"/>
                <w:bCs w:val="false"/>
                <w:sz w:val="17"/>
                <w:szCs w:val="17"/>
              </w:rPr>
              <w:t xml:space="preserve">Working conditions</w:t>
            </w:r>
          </w:p>
        </w:tc>
        <w:tc>
          <w:tcPr>
            <w:tcMar>
              <w:top w:type="dxa" w:w="60"/>
              <w:left w:type="dxa" w:w="80"/>
              <w:bottom w:type="dxa" w:w="60"/>
              <w:right w:type="dxa" w:w="80"/>
            </w:tcMar>
          </w:tcPr>
          <w:p>
            <w:pPr>
              <w:spacing w:after="40"/>
            </w:pPr>
            <w:r>
              <w:rPr>
                <w:b w:val="false"/>
                <w:bCs w:val="false"/>
                <w:sz w:val="17"/>
                <w:szCs w:val="17"/>
              </w:rPr>
              <w:t xml:space="preserve">Hours and total workload; pupil behaviour and classroom discipline; administrative and documentation demands; limited access to reduced hours; burnout and exhaustion</w:t>
            </w:r>
          </w:p>
        </w:tc>
      </w:tr>
      <w:tr>
        <w:tc>
          <w:tcPr>
            <w:tcMar>
              <w:top w:type="dxa" w:w="60"/>
              <w:left w:type="dxa" w:w="80"/>
              <w:bottom w:type="dxa" w:w="60"/>
              <w:right w:type="dxa" w:w="80"/>
            </w:tcMar>
          </w:tcPr>
          <w:p>
            <w:pPr>
              <w:spacing w:after="40"/>
            </w:pPr>
            <w:r>
              <w:rPr>
                <w:b w:val="false"/>
                <w:bCs w:val="false"/>
                <w:sz w:val="17"/>
                <w:szCs w:val="17"/>
              </w:rPr>
              <w:t xml:space="preserve">Organisational factors</w:t>
            </w:r>
          </w:p>
        </w:tc>
        <w:tc>
          <w:tcPr>
            <w:tcMar>
              <w:top w:type="dxa" w:w="60"/>
              <w:left w:type="dxa" w:w="80"/>
              <w:bottom w:type="dxa" w:w="60"/>
              <w:right w:type="dxa" w:w="80"/>
            </w:tcMar>
          </w:tcPr>
          <w:p>
            <w:pPr>
              <w:spacing w:after="40"/>
            </w:pPr>
            <w:r>
              <w:rPr>
                <w:b w:val="false"/>
                <w:bCs w:val="false"/>
                <w:sz w:val="17"/>
                <w:szCs w:val="17"/>
              </w:rPr>
              <w:t xml:space="preserve">School leadership; collegial support and team structure</w:t>
            </w:r>
          </w:p>
        </w:tc>
      </w:tr>
      <w:tr>
        <w:tc>
          <w:tcPr>
            <w:tcMar>
              <w:top w:type="dxa" w:w="60"/>
              <w:left w:type="dxa" w:w="80"/>
              <w:bottom w:type="dxa" w:w="60"/>
              <w:right w:type="dxa" w:w="80"/>
            </w:tcMar>
          </w:tcPr>
          <w:p>
            <w:pPr>
              <w:spacing w:after="40"/>
            </w:pPr>
            <w:r>
              <w:rPr>
                <w:b w:val="false"/>
                <w:bCs w:val="false"/>
                <w:sz w:val="17"/>
                <w:szCs w:val="17"/>
              </w:rPr>
              <w:t xml:space="preserve">Accountability and regulation</w:t>
            </w:r>
          </w:p>
        </w:tc>
        <w:tc>
          <w:tcPr>
            <w:tcMar>
              <w:top w:type="dxa" w:w="60"/>
              <w:left w:type="dxa" w:w="80"/>
              <w:bottom w:type="dxa" w:w="60"/>
              <w:right w:type="dxa" w:w="80"/>
            </w:tcMar>
          </w:tcPr>
          <w:p>
            <w:pPr>
              <w:spacing w:after="40"/>
            </w:pPr>
            <w:r>
              <w:rPr>
                <w:b w:val="false"/>
                <w:bCs w:val="false"/>
                <w:sz w:val="17"/>
                <w:szCs w:val="17"/>
              </w:rPr>
              <w:t xml:space="preserve">External inspection and its consequences; certification and licensing requirements</w:t>
            </w:r>
          </w:p>
        </w:tc>
      </w:tr>
      <w:tr>
        <w:tc>
          <w:tcPr>
            <w:tcMar>
              <w:top w:type="dxa" w:w="60"/>
              <w:left w:type="dxa" w:w="80"/>
              <w:bottom w:type="dxa" w:w="60"/>
              <w:right w:type="dxa" w:w="80"/>
            </w:tcMar>
          </w:tcPr>
          <w:p>
            <w:pPr>
              <w:spacing w:after="40"/>
            </w:pPr>
            <w:r>
              <w:rPr>
                <w:b w:val="false"/>
                <w:bCs w:val="false"/>
                <w:sz w:val="17"/>
                <w:szCs w:val="17"/>
              </w:rPr>
              <w:t xml:space="preserve">Financial factors</w:t>
            </w:r>
          </w:p>
        </w:tc>
        <w:tc>
          <w:tcPr>
            <w:tcMar>
              <w:top w:type="dxa" w:w="60"/>
              <w:left w:type="dxa" w:w="80"/>
              <w:bottom w:type="dxa" w:w="60"/>
              <w:right w:type="dxa" w:w="80"/>
            </w:tcMar>
          </w:tcPr>
          <w:p>
            <w:pPr>
              <w:spacing w:after="40"/>
            </w:pPr>
            <w:r>
              <w:rPr>
                <w:b w:val="false"/>
                <w:bCs w:val="false"/>
                <w:sz w:val="17"/>
                <w:szCs w:val="17"/>
              </w:rPr>
              <w:t xml:space="preserve">Pay relative to outside options; pension design and its timing incentives; contract insecurity</w:t>
            </w:r>
          </w:p>
        </w:tc>
      </w:tr>
      <w:tr>
        <w:tc>
          <w:tcPr>
            <w:tcMar>
              <w:top w:type="dxa" w:w="60"/>
              <w:left w:type="dxa" w:w="80"/>
              <w:bottom w:type="dxa" w:w="60"/>
              <w:right w:type="dxa" w:w="80"/>
            </w:tcMar>
          </w:tcPr>
          <w:p>
            <w:pPr>
              <w:spacing w:after="40"/>
            </w:pPr>
            <w:r>
              <w:rPr>
                <w:b w:val="false"/>
                <w:bCs w:val="false"/>
                <w:sz w:val="17"/>
                <w:szCs w:val="17"/>
              </w:rPr>
              <w:t xml:space="preserve">Personal and life-course factors</w:t>
            </w:r>
          </w:p>
        </w:tc>
        <w:tc>
          <w:tcPr>
            <w:tcMar>
              <w:top w:type="dxa" w:w="60"/>
              <w:left w:type="dxa" w:w="80"/>
              <w:bottom w:type="dxa" w:w="60"/>
              <w:right w:type="dxa" w:w="80"/>
            </w:tcMar>
          </w:tcPr>
          <w:p>
            <w:pPr>
              <w:spacing w:after="40"/>
            </w:pPr>
            <w:r>
              <w:rPr>
                <w:b w:val="false"/>
                <w:bCs w:val="false"/>
                <w:sz w:val="17"/>
                <w:szCs w:val="17"/>
              </w:rPr>
              <w:t xml:space="preserve">Family formation and care; health and incapacity; relocation and a partner's circumstances; retirement and career stage</w:t>
            </w:r>
          </w:p>
        </w:tc>
      </w:tr>
    </w:tbl>
    <w:p>
      <w:pPr>
        <w:spacing w:after="60" w:line="264"/>
        <w:jc w:val="both"/>
      </w:pPr>
      <w:r>
        <w:rPr>
          <w:sz w:val="17"/>
          <w:szCs w:val="17"/>
        </w:rPr>
        <w:t xml:space="preserve">Source: Authors' elaboration on the literature reviewed in this section.</w:t>
      </w:r>
    </w:p>
    <w:p>
      <w:pPr>
        <w:pStyle w:val="Heading2"/>
        <w:spacing w:after="140" w:before="260"/>
      </w:pPr>
      <w:r>
        <w:rPr>
          <w:rFonts w:ascii="Garamond" w:cs="Garamond" w:eastAsia="Garamond" w:hAnsi="Garamond"/>
          <w:b/>
          <w:bCs/>
          <w:color w:val="04629A"/>
          <w:sz w:val="25"/>
          <w:szCs w:val="25"/>
        </w:rPr>
        <w:t xml:space="preserve">2.3 The reasons and their institutional setting</w:t>
      </w:r>
    </w:p>
    <w:p>
      <w:pPr>
        <w:spacing w:after="160" w:line="264"/>
        <w:jc w:val="both"/>
      </w:pPr>
      <w:r>
        <w:t xml:space="preserve">Asked in their own words, the reason leavers name most often is the loss of commitment to the work itself. In Finland, a longitudinal survey that followed teachers over five years found a lack of professional commitment named ahead of workload and interpersonal difficulty among those declaring an intention to leave, far more often by men, while women cited workload and conflicts </w:t>
      </w:r>
      <w:r>
        <w:rPr>
          <w:color w:val="0563C1"/>
        </w:rPr>
        <w:t xml:space="preserve">(Räsänen et al., 2020)</w:t>
      </w:r>
      <w:r>
        <w:t xml:space="preserve">.</w:t>
      </w:r>
      <w:r>
        <w:rPr>
          <w:rStyle w:val="FootnoteReference"/>
        </w:rPr>
        <w:footnoteReference w:id="2"/>
      </w:r>
      <w:r>
        <w:t xml:space="preserve"> The Finnish setting makes the reading unusually clean. Finnish teachers hold wide professional autonomy and are paid adequately by national standards, so the complaint that remains once material grievances are subtracted concerns the work's purpose, and it persists in a system that has removed most of the conditions other countries' teachers cite.</w:t>
      </w:r>
    </w:p>
    <w:p>
      <w:pPr>
        <w:spacing w:after="160" w:line="264"/>
        <w:jc w:val="both"/>
      </w:pPr>
      <w:r>
        <w:t xml:space="preserve">Professional standing, and the exposure that accompanies its loss, pushes departures in some systems with a force the aggregate statistics only partly capture. In Korea, early retirements of teachers rose from 869 in 2005 to 6 594 in 2021, a rise official research attributes above all to the infringement of teachers' rights, including exposure to parental complaint and legal action </w:t>
      </w:r>
      <w:r>
        <w:rPr>
          <w:color w:val="0563C1"/>
        </w:rPr>
        <w:t xml:space="preserve">(KEDI, 2023)</w:t>
      </w:r>
      <w:r>
        <w:t xml:space="preserve">.</w:t>
      </w:r>
      <w:r>
        <w:rPr>
          <w:rStyle w:val="FootnoteReference"/>
        </w:rPr>
        <w:footnoteReference w:id="3"/>
      </w:r>
      <w:r>
        <w:t xml:space="preserve"> The legislature treated the diagnosis as accurate, amending four statutes on the protection of teachers' educational activities in September 2023 </w:t>
      </w:r>
      <w:r>
        <w:rPr>
          <w:color w:val="0563C1"/>
        </w:rPr>
        <w:t xml:space="preserve">(Republic of Korea, 2023)</w:t>
      </w:r>
      <w:r>
        <w:t xml:space="preserve">, although no evaluation yet connects the reform to retention.</w:t>
      </w:r>
    </w:p>
    <w:p>
      <w:pPr>
        <w:spacing w:after="160" w:line="264"/>
        <w:jc w:val="both"/>
      </w:pPr>
      <w:r>
        <w:t xml:space="preserve">Workload is the reason most declared nearly everywhere the question is asked. Among Dutch teachers who had recently left, 47% named workload, stress and burden ahead of every other category </w:t>
      </w:r>
      <w:r>
        <w:rPr>
          <w:color w:val="0563C1"/>
        </w:rPr>
        <w:t xml:space="preserve">(Van Casteren et al., 2023)</w:t>
      </w:r>
      <w:r>
        <w:t xml:space="preserve">, and workload ranks first among Swedish leavers and second among Australian ones </w:t>
      </w:r>
      <w:r>
        <w:rPr>
          <w:color w:val="0563C1"/>
        </w:rPr>
        <w:t xml:space="preserve">(Statistics Sweden, 2023; Brandenburg et al., 2024)</w:t>
      </w:r>
      <w:r>
        <w:t xml:space="preserve">. How much of that load a teacher can lawfully shed, though, varies enormously between systems, and the variation changes what the declaration means. A Dutch employer must grant a request for fewer hours unless a weighty business interest prevents it, and two thirds of Dutch lower-secondary teachers work part-time; Japanese teachers, who hold no such entitlement, are at 7% </w:t>
      </w:r>
      <w:r>
        <w:rPr>
          <w:color w:val="0563C1"/>
        </w:rPr>
        <w:t xml:space="preserve">(OECD, 2025c)</w:t>
      </w:r>
      <w:r>
        <w:t xml:space="preserve">; an English teacher holds a right to ask that a school may refuse on eight statutory grounds </w:t>
      </w:r>
      <w:r>
        <w:rPr>
          <w:color w:val="0563C1"/>
        </w:rPr>
        <w:t xml:space="preserve">(United Kingdom, 1996)</w:t>
      </w:r>
      <w:r>
        <w:t xml:space="preserve">.</w:t>
      </w:r>
      <w:r>
        <w:rPr>
          <w:rStyle w:val="FootnoteReference"/>
        </w:rPr>
        <w:footnoteReference w:id="4"/>
      </w:r>
      <w:r>
        <w:t xml:space="preserve"> Where hours can be reduced, an overloaded teacher can buy relief without resigning; where they cannot, the same complaint has only one margin left. No study yet estimates what part-time access does to teacher exit, which leaves one of the most widespread working-conditions instruments without an evaluated effect.</w:t>
      </w:r>
    </w:p>
    <w:p>
      <w:pPr>
        <w:spacing w:after="160" w:line="264"/>
        <w:jc w:val="both"/>
      </w:pPr>
      <w:r>
        <w:t xml:space="preserve">Within workload, what predicts departure is not what the declarations emphasise. In England, TALIS 2018 responses were linked to the administrative register of the school workforce to study the effective determinants of departure, and not only the declared ones, by observing who had left the profession a year after answering the survey.</w:t>
      </w:r>
      <w:r>
        <w:rPr>
          <w:rStyle w:val="FootnoteReference"/>
        </w:rPr>
        <w:footnoteReference w:id="5"/>
      </w:r>
      <w:r>
        <w:t xml:space="preserve"> Experienced teachers who work in schools with worse discipline leave more, and the magnitude is considerable, since a one-standard-deviation improvement in the school's discipline climate is associated with a halving of the annual probability of leaving the profession, while self-reported working hours, the motive most cited in surveys, do not predict departure robustly </w:t>
      </w:r>
      <w:r>
        <w:rPr>
          <w:color w:val="0563C1"/>
        </w:rPr>
        <w:t xml:space="preserve">(Sims and Jerrim, 2020)</w:t>
      </w:r>
      <w:r>
        <w:t xml:space="preserve">. The discipline measure captures whether rules are applied consistently, whether disruption is contained and whether teachers are free of intimidation, which suggests that the load that expels is not the volume of work but the conditions under which it must be done.</w:t>
      </w:r>
    </w:p>
    <w:p>
      <w:pPr>
        <w:spacing w:after="160" w:line="264"/>
        <w:jc w:val="both"/>
      </w:pPr>
      <w:r>
        <w:t xml:space="preserve">School leadership is the reason most often associated with departure and among the hardest to isolate, because head teachers are not assigned to schools at random, schools with better heads differ in pupils, resources and staff, and teachers who choose to stay tend to rate their head more favourably. Among the contextual factors measured in New York City, teachers' perceptions of the school administration carry the greatest influence on retention decisions </w:t>
      </w:r>
      <w:r>
        <w:rPr>
          <w:color w:val="0563C1"/>
        </w:rPr>
        <w:t xml:space="preserve">(Boyd et al., 2011)</w:t>
      </w:r>
      <w:r>
        <w:t xml:space="preserve">, and the panel evidence cited above, which follows change within the same school over time, is the closest the field has come to separating the leadership effect from the school around it </w:t>
      </w:r>
      <w:r>
        <w:rPr>
          <w:color w:val="0563C1"/>
        </w:rPr>
        <w:t xml:space="preserve">(Kraft, Marinell and Shen-Wei Yee, 2016)</w:t>
      </w:r>
      <w:r>
        <w:t xml:space="preserve">. No study anywhere estimates what changing a school's leadership does to retention, so the most replicated association in the field remains unpriced as an instrument.</w:t>
      </w:r>
    </w:p>
    <w:p>
      <w:pPr>
        <w:spacing w:after="160" w:line="264"/>
        <w:jc w:val="both"/>
      </w:pPr>
      <w:r>
        <w:t xml:space="preserve">Young teachers are more likely to remain in their school if they are mentored by an older teacher at the start of their career. In observational research, those who receive mentoring leave less often, with the odds of departure at about three quarters of those of unmentored colleagues </w:t>
      </w:r>
      <w:r>
        <w:rPr>
          <w:color w:val="0563C1"/>
        </w:rPr>
        <w:t xml:space="preserve">(Nguyen et al., 2020)</w:t>
      </w:r>
      <w:r>
        <w:t xml:space="preserve">, and England's evaluation of the Early Career Framework, which entitles every new teacher to two years of structured mentoring, estimated 4.4 additional percentage points of retention in the original school after two years </w:t>
      </w:r>
      <w:r>
        <w:rPr>
          <w:color w:val="0563C1"/>
        </w:rPr>
        <w:t xml:space="preserve">(Walker et al., 2024)</w:t>
      </w:r>
      <w:r>
        <w:t xml:space="preserve">.</w:t>
      </w:r>
    </w:p>
    <w:p>
      <w:pPr>
        <w:spacing w:after="160" w:line="264"/>
        <w:jc w:val="both"/>
      </w:pPr>
      <w:r>
        <w:t xml:space="preserve">Whether to keep teaching is a decision each teacher takes by comparing what the post offers with the best that same person could obtain outside it. That outside option differs with the subject taught, the qualification held and the local labour market, which is why a single pay scale produces very different exit rates across subjects and regions, and why the shortages most systems report are shortages of physics, mathematics and computing teachers before they are shortages of teachers in general. Where pay has been tested causally, money retains. A Norwegian premium of about 10% for schools with recruitment difficulties cut voluntary quits by around a third of their level </w:t>
      </w:r>
      <w:r>
        <w:rPr>
          <w:color w:val="0563C1"/>
        </w:rPr>
        <w:t xml:space="preserve">(Falch, 2011)</w:t>
      </w:r>
      <w:r>
        <w:t xml:space="preserve">; English payments of GBP 2 000 a year after tax made eligible mathematics and physics teachers 23% less likely to leave </w:t>
      </w:r>
      <w:r>
        <w:rPr>
          <w:color w:val="0563C1"/>
        </w:rPr>
        <w:t xml:space="preserve">(Sims and Benhenda, 2022)</w:t>
      </w:r>
      <w:r>
        <w:t xml:space="preserve">; a North Carolina bonus for mathematics, science and special-education teachers in high-poverty schools lowered turnover in the target group by about 17% </w:t>
      </w:r>
      <w:r>
        <w:rPr>
          <w:color w:val="0563C1"/>
        </w:rPr>
        <w:t xml:space="preserve">(Clotfelter et al., 2008)</w:t>
      </w:r>
      <w:r>
        <w:t xml:space="preserve">. The reductions run from 9% to 23% across these programmes, though the effect has lasted only as long as the payment itself </w:t>
      </w:r>
      <w:r>
        <w:rPr>
          <w:color w:val="0563C1"/>
        </w:rPr>
        <w:t xml:space="preserve">(See et al., 2020)</w:t>
      </w:r>
      <w:r>
        <w:t xml:space="preserve">. Behind those margins sits the level. In most OECD countries primary teachers earn less than the average tertiary-educated worker, at 83% of that benchmark on average, from 63% in the United States to 128% in Portugal (Figure 1).</w:t>
      </w:r>
      <w:r>
        <w:rPr>
          <w:rStyle w:val="FootnoteReference"/>
        </w:rPr>
        <w:footnoteReference w:id="6"/>
      </w:r>
    </w:p>
    <w:p>
      <w:pPr>
        <w:spacing w:after="160" w:line="264"/>
        <w:jc w:val="both"/>
      </w:pPr>
      <w:r>
        <w:rPr>
          <w:b/>
          <w:bCs/>
        </w:rPr>
        <w:t xml:space="preserve">Figure 1. Primary teachers earn less than other tertiary-educated workers in most countries</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19500"/>
                    </a:xfrm>
                    <a:prstGeom prst="rect">
                      <a:avLst/>
                    </a:prstGeom>
                  </pic:spPr>
                </pic:pic>
              </a:graphicData>
            </a:graphic>
          </wp:inline>
        </w:drawing>
      </w:r>
    </w:p>
    <w:p>
      <w:pPr>
        <w:spacing w:after="60" w:line="264"/>
        <w:jc w:val="both"/>
      </w:pPr>
      <w:r>
        <w:rPr>
          <w:sz w:val="17"/>
          <w:szCs w:val="17"/>
        </w:rPr>
        <w:t xml:space="preserve">Note: Ratio of the annual average actual salary of full-time primary teachers in public institutions, including bonuses and allowances, to the earnings of full-time, full-year workers with tertiary education aged 25 to 64. Countries absent from the chart do not report the series. Data refer to 2024 or the nearest available year.</w:t>
      </w:r>
    </w:p>
    <w:p>
      <w:pPr>
        <w:spacing w:after="60" w:line="264"/>
        <w:jc w:val="both"/>
      </w:pPr>
      <w:r>
        <w:rPr>
          <w:sz w:val="17"/>
          <w:szCs w:val="17"/>
        </w:rPr>
        <w:t xml:space="preserve">Source: </w:t>
      </w:r>
      <w:r>
        <w:rPr>
          <w:color w:val="0563C1"/>
          <w:sz w:val="17"/>
          <w:szCs w:val="17"/>
        </w:rPr>
        <w:t xml:space="preserve">OECD (2025)</w:t>
      </w:r>
      <w:r>
        <w:rPr>
          <w:sz w:val="17"/>
          <w:szCs w:val="17"/>
        </w:rPr>
        <w:t xml:space="preserve">, Education at a Glance 2025, Table D3.2.</w:t>
      </w:r>
    </w:p>
    <w:p>
      <w:pPr>
        <w:spacing w:after="160" w:line="264"/>
        <w:jc w:val="both"/>
      </w:pPr>
      <w:r>
        <w:t xml:space="preserve">Salary trajectories after leaving differ systematically by destination, and the distinction reads directly on the outside option. Those who remain within the education sector, the majority everywhere this has been measured, experience small salary changes; those who abandon the sector face a far more dispersed distribution of outcomes, with thick tails at both ends, and the upper tail is concentrated among men and among shortage specialisations. United States tax records show mean earnings still slightly below pre-exit teaching pay eight years after departure, with about one fifth of leavers not employed at all, the bottom quartile of employed leavers under USD 20 000 a year and the top quartile out-earning nearly all of those who stayed </w:t>
      </w:r>
      <w:r>
        <w:rPr>
          <w:color w:val="0563C1"/>
        </w:rPr>
        <w:t xml:space="preserve">(Brummet et al., 2024)</w:t>
      </w:r>
      <w:r>
        <w:t xml:space="preserve">.</w:t>
      </w:r>
      <w:r>
        <w:rPr>
          <w:rStyle w:val="FootnoteReference"/>
        </w:rPr>
        <w:footnoteReference w:id="7"/>
      </w:r>
      <w:r>
        <w:t xml:space="preserve"> Florida records give the same shape by destination, with the ratio of the ninetieth to the fiftieth percentile of earnings rising from 1.3 to 1.8 among leavers to other industries and unchanged among those who moved within the sector </w:t>
      </w:r>
      <w:r>
        <w:rPr>
          <w:color w:val="0563C1"/>
        </w:rPr>
        <w:t xml:space="preserve">(Chingos and West, 2012)</w:t>
      </w:r>
      <w:r>
        <w:t xml:space="preserve">, and the earlier state studies of Georgia and Missouri concluded that very few exiting teachers took jobs paying more than their teaching salaries </w:t>
      </w:r>
      <w:r>
        <w:rPr>
          <w:color w:val="0563C1"/>
        </w:rPr>
        <w:t xml:space="preserve">(Scafidi, Sjoquist and Stinebrickner, 2006; Podgursky, Monroe and Watson, 2004)</w:t>
      </w:r>
      <w:r>
        <w:t xml:space="preserve">. Danish register data and Australian panel data agree in direction, at around 6% below previous pay </w:t>
      </w:r>
      <w:r>
        <w:rPr>
          <w:color w:val="0563C1"/>
        </w:rPr>
        <w:t xml:space="preserve">(ROCKWOOL Fonden, 2025; Cuervo and Vera-Toscano, 2025)</w:t>
      </w:r>
      <w:r>
        <w:t xml:space="preserve">. England is the partial exception, where leavers out-earn their own last teaching salary by 7% after one year and 21% after ten, and still fall behind comparable teachers who stayed, whose earnings grew 37% over the same decade </w:t>
      </w:r>
      <w:r>
        <w:rPr>
          <w:color w:val="0563C1"/>
        </w:rPr>
        <w:t xml:space="preserve">(Worth and McLean, 2022)</w:t>
      </w:r>
      <w:r>
        <w:t xml:space="preserve">.</w:t>
      </w:r>
    </w:p>
    <w:p>
      <w:pPr>
        <w:spacing w:after="160" w:line="264"/>
        <w:jc w:val="both"/>
      </w:pPr>
      <w:r>
        <w:t xml:space="preserve">In most pension schemes covering teachers, retiring before the age the rules set reduces the pension, and retiring later barely increases it. Teacher retirements therefore cluster around that age, which is a parameter of the regulation and not of individual preferences. The mechanism is the shape of accrual. Pension wealth does not accumulate at the same pace across a career; in defined-benefit schemes it grows slowly through most of the career, very fast in the years immediately before the full-pension age, and hardly at all afterwards, so that one more year of work can be worth a great deal at 54 and almost nothing at 60 </w:t>
      </w:r>
      <w:r>
        <w:rPr>
          <w:color w:val="0563C1"/>
        </w:rPr>
        <w:t xml:space="preserve">(Costrell and Podgursky, 2009)</w:t>
      </w:r>
      <w:r>
        <w:t xml:space="preserve">. The profile is not particular to the United States. Accrual concentrated around rule-set ages is documented in the civil-service teacher schemes of Germany, France, Spain, Portugal and Austria and in the legacy schemes of England and Ontario, while notional and funded defined-contribution systems, as in Sweden, Australia and post-reform Norway, are close to actuarially neutral and spread retirements accordingly </w:t>
      </w:r>
      <w:r>
        <w:rPr>
          <w:color w:val="0563C1"/>
        </w:rPr>
        <w:t xml:space="preserve">(OECD, 2025e)</w:t>
      </w:r>
      <w:r>
        <w:t xml:space="preserve">.</w:t>
      </w:r>
      <w:r>
        <w:rPr>
          <w:rStyle w:val="FootnoteReference"/>
        </w:rPr>
        <w:footnoteReference w:id="8"/>
      </w:r>
      <w:r>
        <w:t xml:space="preserve"> Teachers anticipate these incentives, and retirements concentrate at the ages from which retiring stops being penalised; structural estimates on administrative records reproduce the observed retirement spikes as forward-looking responses to the rules </w:t>
      </w:r>
      <w:r>
        <w:rPr>
          <w:color w:val="0563C1"/>
        </w:rPr>
        <w:t xml:space="preserve">(Ni and Podgursky, 2016)</w:t>
      </w:r>
      <w:r>
        <w:t xml:space="preserve">.</w:t>
      </w:r>
    </w:p>
    <w:p>
      <w:pPr>
        <w:spacing w:after="160" w:line="264"/>
        <w:jc w:val="both"/>
      </w:pPr>
      <w:r>
        <w:t xml:space="preserve">When early retirement carries a pension reduction, teachers postpone it. France's 2003 reform priced early claiming for public servants, and retirement at ages 60 and 61 among secondary teachers fell by around 9 percentage points in the study that exploits the reform's discontinuity </w:t>
      </w:r>
      <w:r>
        <w:rPr>
          <w:color w:val="0563C1"/>
        </w:rPr>
        <w:t xml:space="preserve">(Baraton, Beffy and Fougère, 2011)</w:t>
      </w:r>
      <w:r>
        <w:t xml:space="preserve">; Dutch public employees born after a cut-off date that lowered pension wealth postponed their expected retirement </w:t>
      </w:r>
      <w:r>
        <w:rPr>
          <w:color w:val="0563C1"/>
        </w:rPr>
        <w:t xml:space="preserve">(Montizaan, Cörvers and de Grip, 2010)</w:t>
      </w:r>
      <w:r>
        <w:t xml:space="preserve">. Germany offers the same picture descriptively. After deductions of up to 10.8% were introduced in 2001 for incapacity retirement before the age of 63, the share of teacher retirements taken on incapacity grounds fell from 64% to 28% within three years, and the mean retirement age of teachers rose by three years to 62 </w:t>
      </w:r>
      <w:r>
        <w:rPr>
          <w:color w:val="0563C1"/>
        </w:rPr>
        <w:t xml:space="preserve">(Statistisches Bundesamt, 2005)</w:t>
      </w:r>
      <w:r>
        <w:t xml:space="preserve">, although the series records a coincidence in time with the reform and not an estimated effect.</w:t>
      </w:r>
    </w:p>
    <w:p>
      <w:pPr>
        <w:spacing w:after="160" w:line="264"/>
        <w:jc w:val="both"/>
      </w:pPr>
      <w:r>
        <w:t xml:space="preserve">From an economic perspective, a teacher's lifetime income has two parts, the salary collected while working and the pension collected after retirement. The future pension is an incentive to remain in teaching only to the extent that the teacher values it today, and that valuation and the cost of funding the promise need not coincide. If teachers heavily discount income that lies decades ahead, the state pays dearly for an instrument that retains little, and the same money would retain more if paid as current salary. The evidence leaves the valuation open. When Illinois teachers were offered the chance to buy additional pension rights at a stated price, their willingness to pay was about 20 cents per dollar of present value </w:t>
      </w:r>
      <w:r>
        <w:rPr>
          <w:color w:val="0563C1"/>
        </w:rPr>
        <w:t xml:space="preserve">(Fitzpatrick, 2015)</w:t>
      </w:r>
      <w:r>
        <w:t xml:space="preserve">, while following the same cohort to retirement points to a much higher valuation </w:t>
      </w:r>
      <w:r>
        <w:rPr>
          <w:color w:val="0563C1"/>
        </w:rPr>
        <w:t xml:space="preserve">(Ni, Podgursky and Wang, 2022)</w:t>
      </w:r>
      <w:r>
        <w:t xml:space="preserve">.</w:t>
      </w:r>
      <w:r>
        <w:rPr>
          <w:rStyle w:val="FootnoteReference"/>
        </w:rPr>
        <w:footnoteReference w:id="9"/>
      </w:r>
      <w:r>
        <w:t xml:space="preserve"> What the quasi-experimental record does establish is that pension generosity retains selectively. Enhancements and cuts to deferred benefits move separations little among younger public employees, and teachers have been the least responsive occupation studied </w:t>
      </w:r>
      <w:r>
        <w:rPr>
          <w:color w:val="0563C1"/>
        </w:rPr>
        <w:t xml:space="preserve">(Koedel and Xiang, 2017; Quinby and Wettstein, 2021)</w:t>
      </w:r>
      <w:r>
        <w:t xml:space="preserve">, which is consistent with deferred pay binding those close to the accrual spike and doing little, per unit of cost, for the early-career teachers among whom attrition is highest.</w:t>
      </w:r>
    </w:p>
    <w:p>
      <w:pPr>
        <w:spacing w:after="160" w:line="264"/>
        <w:jc w:val="both"/>
      </w:pPr>
      <w:r>
        <w:t xml:space="preserve">The birth of a child is one of the main reasons female teachers leave. In England, where the workforce census can follow teachers after maternity leave, between 17% and 20% of those who return leave the profession within a year, double the rate of comparable teachers, and women aged 30 to 39 form the largest group among those who leave </w:t>
      </w:r>
      <w:r>
        <w:rPr>
          <w:color w:val="0563C1"/>
        </w:rPr>
        <w:t xml:space="preserve">(Department for Education, 2023)</w:t>
      </w:r>
      <w:r>
        <w:t xml:space="preserve">.</w:t>
      </w:r>
      <w:r>
        <w:rPr>
          <w:rStyle w:val="FootnoteReference"/>
        </w:rPr>
        <w:footnoteReference w:id="10"/>
      </w:r>
      <w:r>
        <w:t xml:space="preserve"> Structural modelling attributes much of the fall in teachers' labour-force participation after certification to marriage and fertility, and two thirds of exiting female teachers left the labour market altogether </w:t>
      </w:r>
      <w:r>
        <w:rPr>
          <w:color w:val="0563C1"/>
        </w:rPr>
        <w:t xml:space="preserve">(Stinebrickner, 2001; Stinebrickner, 2002)</w:t>
      </w:r>
      <w:r>
        <w:t xml:space="preserve">. Where the law makes hours adjustable, the same event shows up inside the profession instead of at its exit, as in Germany, where 43% of teachers work part-time, or the Netherlands, where about a quarter of female primary teachers work full-time </w:t>
      </w:r>
      <w:r>
        <w:rPr>
          <w:color w:val="0563C1"/>
        </w:rPr>
        <w:t xml:space="preserve">(Destatis, 2024; CBS, 2023)</w:t>
      </w:r>
      <w:r>
        <w:t xml:space="preserve">. A causal estimate of the effect of childbirth on teacher exit and return does not yet exist in any OECD system, and the gap is immediate for a paper about re-entry, because a teacher on a career break and a teacher permanently gone cannot at present be told apart in the data.</w:t>
      </w:r>
    </w:p>
    <w:p>
      <w:pPr>
        <w:spacing w:after="160" w:line="264"/>
        <w:jc w:val="both"/>
      </w:pPr>
      <w:r>
        <w:t xml:space="preserve">Paid maternity leave and the reservation of the post vary considerably across countries. A Spanish teacher on a permanent public contract has nineteen weeks of paid leave and may take up to three years of childcare leave per child, the first two with her post reserved </w:t>
      </w:r>
      <w:r>
        <w:rPr>
          <w:color w:val="0563C1"/>
        </w:rPr>
        <w:t xml:space="preserve">(Government of Spain, 2015; Government of Spain, 2025)</w:t>
      </w:r>
      <w:r>
        <w:t xml:space="preserve">; a teacher in the United States is guaranteed twelve unpaid weeks under federal law, and fewer than one in five large districts pay parental leave </w:t>
      </w:r>
      <w:r>
        <w:rPr>
          <w:color w:val="0563C1"/>
        </w:rPr>
        <w:t xml:space="preserve">(United States, 2013; National Council on Teacher Quality, 2026)</w:t>
      </w:r>
      <w:r>
        <w:t xml:space="preserve">.</w:t>
      </w:r>
      <w:r>
        <w:rPr>
          <w:rStyle w:val="FootnoteReference"/>
        </w:rPr>
        <w:footnoteReference w:id="11"/>
      </w:r>
      <w:r>
        <w:t xml:space="preserve"> In the Spanish design, childbirth interrupts a teaching career without ending it, and the returner population is by construction on leave; in the American design, the same event forces an exit that the system then has to reverse through re-employment.</w:t>
      </w:r>
    </w:p>
    <w:p>
      <w:pPr>
        <w:spacing w:after="160" w:line="264"/>
        <w:jc w:val="both"/>
      </w:pPr>
      <w:r>
        <w:t xml:space="preserve">The proportion between resignations and retirements, finally, varies widely across countries. In the 19 OECD systems with comparable data, resignations account for 51% of departures; they exceed 80% in Denmark, England and Estonia, and retirements predominate in France, Greece, Ireland and Israel </w:t>
      </w:r>
      <w:r>
        <w:rPr>
          <w:color w:val="0563C1"/>
        </w:rPr>
        <w:t xml:space="preserve">(OECD, 2025a)</w:t>
      </w:r>
      <w:r>
        <w:t xml:space="preserve">. The thesis that retirement is a minor component of attrition comes from the Anglophone systems and does not generalise. For a paper about return, the composition matters as much as the level, because a system losing mid-career resigners and a system losing retirees hold reserves of former teachers with different ages, different licences and different reasons to come back.</w:t>
      </w:r>
    </w:p>
    <w:p>
      <w:pPr>
        <w:pStyle w:val="Heading2"/>
        <w:spacing w:after="140" w:before="260"/>
      </w:pPr>
      <w:r>
        <w:rPr>
          <w:rFonts w:ascii="Garamond" w:cs="Garamond" w:eastAsia="Garamond" w:hAnsi="Garamond"/>
          <w:b/>
          <w:bCs/>
          <w:color w:val="04629A"/>
          <w:sz w:val="25"/>
          <w:szCs w:val="25"/>
        </w:rPr>
        <w:t xml:space="preserve">2.4 Stated and revealed preferences</w:t>
      </w:r>
    </w:p>
    <w:p>
      <w:pPr>
        <w:spacing w:after="160" w:line="264"/>
        <w:jc w:val="both"/>
      </w:pPr>
      <w:r>
        <w:t xml:space="preserve">Teachers who leave declare workload and personal circumstances as their principal motives and place salary in the middle of the list. Teachers who are considering leaving place salary at or near the top. Observed decisions respond strongly to salary variation. Among American leavers surveyed after departure, higher pay is the fourth most-cited main reason, at 9.5%, behind retirement, personal life and another job </w:t>
      </w:r>
      <w:r>
        <w:rPr>
          <w:color w:val="0563C1"/>
        </w:rPr>
        <w:t xml:space="preserve">(NCES, 2024)</w:t>
      </w:r>
      <w:r>
        <w:t xml:space="preserve">; among serving teachers considering departure it is second, at 60% </w:t>
      </w:r>
      <w:r>
        <w:rPr>
          <w:color w:val="0563C1"/>
        </w:rPr>
        <w:t xml:space="preserve">(Doan et al., 2023)</w:t>
      </w:r>
      <w:r>
        <w:t xml:space="preserve">.</w:t>
      </w:r>
      <w:r>
        <w:rPr>
          <w:rStyle w:val="FootnoteReference"/>
        </w:rPr>
        <w:footnoteReference w:id="12"/>
      </w:r>
      <w:r>
        <w:t xml:space="preserve"> English leavers cite pay at 25% to 34% against 74% to 84% for workload </w:t>
      </w:r>
      <w:r>
        <w:rPr>
          <w:color w:val="0563C1"/>
        </w:rPr>
        <w:t xml:space="preserve">(Department for Education, 2024)</w:t>
      </w:r>
      <w:r>
        <w:t xml:space="preserve">, and Dutch leavers rank it sixth at 22% </w:t>
      </w:r>
      <w:r>
        <w:rPr>
          <w:color w:val="0563C1"/>
        </w:rPr>
        <w:t xml:space="preserve">(Van Casteren et al., 2023)</w:t>
      </w:r>
      <w:r>
        <w:t xml:space="preserve">. Set against those declarations, across twelve discrete-choice experiments in eight countries a 10% pay increase raises the probability of choosing a post by 5 to 12 percentage points </w:t>
      </w:r>
      <w:r>
        <w:rPr>
          <w:color w:val="0563C1"/>
        </w:rPr>
        <w:t xml:space="preserve">(Sims, Lowes-Belk and Routledge, 2026)</w:t>
      </w:r>
      <w:r>
        <w:t xml:space="preserve">, and Dutch part-time teachers require a 23% increase in net hourly pay before accepting a full-time post </w:t>
      </w:r>
      <w:r>
        <w:rPr>
          <w:color w:val="0563C1"/>
        </w:rPr>
        <w:t xml:space="preserve">(Somers et al., 2024a)</w:t>
      </w:r>
      <w:r>
        <w:t xml:space="preserve">. The three measurements are not in contradiction; they measure the narrative a person gives, the plan a person holds and the choice a person makes, and pay weighs least in the first and most in the last. The contrast between stated and revealed preferences is therefore drawn in this paper on realised exits, and not on plans.</w:t>
      </w:r>
    </w:p>
    <w:p>
      <w:pPr>
        <w:spacing w:after="160" w:line="264"/>
        <w:jc w:val="both"/>
      </w:pPr>
      <w:r>
        <w:t xml:space="preserve">Many more teachers say they will leave than do. Where intention and behaviour have been measured on the same people, one leaves for every three or four who declare the intention. In a nationally representative American survey of 102 970 teachers linked to the following year's behaviour, 32.5% of those intending to leave as soon as possible had left a year later, against 6.8% of everyone else, and two thirds of them were still teaching </w:t>
      </w:r>
      <w:r>
        <w:rPr>
          <w:color w:val="0563C1"/>
        </w:rPr>
        <w:t xml:space="preserve">(Nguyen et al., 2025)</w:t>
      </w:r>
      <w:r>
        <w:t xml:space="preserve">.</w:t>
      </w:r>
      <w:r>
        <w:rPr>
          <w:rStyle w:val="FootnoteReference"/>
        </w:rPr>
        <w:footnoteReference w:id="13"/>
      </w:r>
      <w:r>
        <w:t xml:space="preserve"> Intention data still have a use, since they locate dissatisfaction across countries and school types, but they do not forecast supply. The 17% of teachers across TALIS systems who intend to leave within five years cannot for that reason be read against the 6.5% annual rate of departure; the two measure different things </w:t>
      </w:r>
      <w:r>
        <w:rPr>
          <w:color w:val="0563C1"/>
        </w:rPr>
        <w:t xml:space="preserve">(OECD, 2025b; OECD, 2025a)</w:t>
      </w:r>
      <w:r>
        <w:t xml:space="preserve">.</w:t>
      </w:r>
    </w:p>
    <w:p>
      <w:pPr>
        <w:pStyle w:val="Heading2"/>
        <w:spacing w:after="140" w:before="260"/>
      </w:pPr>
      <w:r>
        <w:rPr>
          <w:rFonts w:ascii="Garamond" w:cs="Garamond" w:eastAsia="Garamond" w:hAnsi="Garamond"/>
          <w:b/>
          <w:bCs/>
          <w:color w:val="04629A"/>
          <w:sz w:val="25"/>
          <w:szCs w:val="25"/>
        </w:rPr>
        <w:t xml:space="preserve">2.5 Destinations after leaving</w:t>
      </w:r>
    </w:p>
    <w:p>
      <w:pPr>
        <w:spacing w:after="160" w:line="264"/>
        <w:jc w:val="both"/>
      </w:pPr>
      <w:r>
        <w:t xml:space="preserve">Most of those who leave teaching keep working in the education sector, and former teachers are therefore locatable through the records of employers and regulators. In the United States, linked tax records show more than half of leavers still in education broadly defined and about one fifth out of the labour force </w:t>
      </w:r>
      <w:r>
        <w:rPr>
          <w:color w:val="0563C1"/>
        </w:rPr>
        <w:t xml:space="preserve">(Brummet et al., 2024)</w:t>
      </w:r>
      <w:r>
        <w:t xml:space="preserve">; the first-year composition is similar in Australia, where over two fifths of leavers hold jobs in school education or in other education, health and social assistance work </w:t>
      </w:r>
      <w:r>
        <w:rPr>
          <w:color w:val="0563C1"/>
        </w:rPr>
        <w:t xml:space="preserve">(Cuervo and Vera-Toscano, 2025)</w:t>
      </w:r>
      <w:r>
        <w:t xml:space="preserve">, and most English leavers who do not retire take education-sector jobs </w:t>
      </w:r>
      <w:r>
        <w:rPr>
          <w:color w:val="0563C1"/>
        </w:rPr>
        <w:t xml:space="preserve">(Worth, Bamford and Durbin, 2015)</w:t>
      </w:r>
      <w:r>
        <w:t xml:space="preserve">. The modern former teacher is usually still employed, often nearby, and reachable through the same administrative systems that already pay or license them.</w:t>
      </w:r>
    </w:p>
    <w:p>
      <w:pPr>
        <w:spacing w:after="160" w:line="264"/>
        <w:jc w:val="both"/>
      </w:pPr>
      <w:r>
        <w:t xml:space="preserve">The population of former teachers is large wherever it has been counted, and the gross count overstates the usable reserve, which discounts expired certificates and specialisations without vacancies. Michigan holds 141 810 certified teachers, of whom 61 252 do not teach in a public school, and half of those hold expired certificates, against 6% of active teachers </w:t>
      </w:r>
      <w:r>
        <w:rPr>
          <w:color w:val="0563C1"/>
        </w:rPr>
        <w:t xml:space="preserve">(Lindsay, Gnedko-Berry and Wan, 2021)</w:t>
      </w:r>
      <w:r>
        <w:t xml:space="preserve">; the Netherlands counts some 62 000 qualified teachers outside education, four times its measured secondary shortage </w:t>
      </w:r>
      <w:r>
        <w:rPr>
          <w:color w:val="0563C1"/>
        </w:rPr>
        <w:t xml:space="preserve">(Somers et al., 2024b)</w:t>
      </w:r>
      <w:r>
        <w:t xml:space="preserve">.</w:t>
      </w:r>
      <w:r>
        <w:rPr>
          <w:rStyle w:val="FootnoteReference"/>
        </w:rPr>
        <w:footnoteReference w:id="14"/>
      </w:r>
      <w:r>
        <w:t xml:space="preserve"> What a return offer can expect depends on why each person left. In Scotland, most of the teachers interviewed at length had left after an accumulation of pressures with no single trigger, and with their vocational commitment intact </w:t>
      </w:r>
      <w:r>
        <w:rPr>
          <w:color w:val="0563C1"/>
        </w:rPr>
        <w:t xml:space="preserve">(Hulme et al., 2026)</w:t>
      </w:r>
      <w:r>
        <w:t xml:space="preserve">, which suggests that the reserve contains people for whom the question is the conditions of a return and people for whom it is closed. It is to that population, and to the instruments aimed at it, that the next section turns.</w:t>
      </w:r>
    </w:p>
    <w:p>
      <w:pPr>
        <w:pStyle w:val="Heading1"/>
        <w:pageBreakBefore/>
        <w:spacing w:after="220" w:before="0"/>
      </w:pPr>
      <w:r>
        <w:rPr>
          <w:rFonts w:ascii="Garamond" w:cs="Garamond" w:eastAsia="Garamond" w:hAnsi="Garamond"/>
          <w:b/>
          <w:bCs/>
          <w:color w:val="04629A"/>
          <w:sz w:val="30"/>
          <w:szCs w:val="30"/>
        </w:rPr>
        <w:t xml:space="preserve">3. The policies</w:t>
      </w:r>
    </w:p>
    <w:p>
      <w:pPr>
        <w:spacing w:after="200"/>
      </w:pPr>
      <w:r>
        <w:rPr>
          <w:i/>
          <w:iCs/>
          <w:color w:val="8C8C8C"/>
        </w:rPr>
        <w:t xml:space="preserve">[The body of the paper: the international record of re-attraction policies.]</w:t>
      </w:r>
    </w:p>
    <w:p>
      <w:pPr>
        <w:pStyle w:val="Heading1"/>
        <w:pageBreakBefore/>
        <w:spacing w:after="220" w:before="0"/>
      </w:pPr>
      <w:r>
        <w:rPr>
          <w:rFonts w:ascii="Garamond" w:cs="Garamond" w:eastAsia="Garamond" w:hAnsi="Garamond"/>
          <w:b/>
          <w:bCs/>
          <w:color w:val="04629A"/>
          <w:sz w:val="30"/>
          <w:szCs w:val="30"/>
        </w:rPr>
        <w:t xml:space="preserve">4. Conclusions</w:t>
      </w:r>
    </w:p>
    <w:p>
      <w:pPr>
        <w:spacing w:after="200"/>
      </w:pPr>
      <w:r>
        <w:rPr>
          <w:i/>
          <w:iCs/>
          <w:color w:val="8C8C8C"/>
        </w:rPr>
        <w:t xml:space="preserve">[Conclusions under their own numbered section heading.]</w:t>
      </w:r>
    </w:p>
    <w:p>
      <w:pPr>
        <w:pStyle w:val="Heading2"/>
        <w:spacing w:after="140" w:before="260"/>
      </w:pPr>
      <w:r>
        <w:rPr>
          <w:rFonts w:ascii="Garamond" w:cs="Garamond" w:eastAsia="Garamond" w:hAnsi="Garamond"/>
          <w:b/>
          <w:bCs/>
          <w:color w:val="04629A"/>
          <w:sz w:val="25"/>
          <w:szCs w:val="25"/>
        </w:rPr>
        <w:t xml:space="preserve">References</w:t>
      </w:r>
    </w:p>
    <w:p>
      <w:pPr>
        <w:spacing w:after="70"/>
        <w:ind w:left="280" w:hanging="280"/>
      </w:pPr>
      <w:r>
        <w:rPr>
          <w:sz w:val="20"/>
          <w:szCs w:val="20"/>
        </w:rPr>
        <w:t xml:space="preserve">Baraton, M., M. Beffy and D. Fougère (2011), "Une évaluation de l'effet de la réforme de 2003 sur les départs en retraite : Le cas des enseignants du second degré public", *Économie et Statistique*, No. 441-442, pp. 55-78, https://doi.org/10.3406/estat.2011.9615.</w:t>
      </w:r>
    </w:p>
    <w:p>
      <w:pPr>
        <w:spacing w:after="70"/>
        <w:ind w:left="280" w:hanging="280"/>
      </w:pPr>
      <w:r>
        <w:rPr>
          <w:sz w:val="20"/>
          <w:szCs w:val="20"/>
        </w:rPr>
        <w:t xml:space="preserve">Boyd, D. et al. (2011), "The influence of school administrators on teacher retention decisions", *American Educational Research Journal*, Vol. 48/2, pp. 303-333, https://doi.org/10.3102/0002831210380788.</w:t>
      </w:r>
    </w:p>
    <w:p>
      <w:pPr>
        <w:spacing w:after="70"/>
        <w:ind w:left="280" w:hanging="280"/>
      </w:pPr>
      <w:r>
        <w:rPr>
          <w:sz w:val="20"/>
          <w:szCs w:val="20"/>
        </w:rPr>
        <w:t xml:space="preserve">Brandenburg, R. et al. (2024), "'I left the teaching profession... and this is what I am doing now': A national study of teacher attrition", *The Australian Educational Researcher*, Vol. 51, pp. 2381-2400, https://doi.org/10.1007/s13384-024-00697-1.</w:t>
      </w:r>
    </w:p>
    <w:p>
      <w:pPr>
        <w:spacing w:after="70"/>
        <w:ind w:left="280" w:hanging="280"/>
      </w:pPr>
      <w:r>
        <w:rPr>
          <w:sz w:val="20"/>
          <w:szCs w:val="20"/>
        </w:rPr>
        <w:t xml:space="preserve">Brummet, Q., E. K. Penner, N. Pharris-Ciurej and S. R. Porter (2024), "The earnings and labor market trajectories of teachers who leave the profession", *Educational Evaluation and Policy Analysis*, Vol. 47/2, pp. 503-531, https://doi.org/10.3102/01623737241227906.</w:t>
      </w:r>
    </w:p>
    <w:p>
      <w:pPr>
        <w:spacing w:after="70"/>
        <w:ind w:left="280" w:hanging="280"/>
      </w:pPr>
      <w:r>
        <w:rPr>
          <w:sz w:val="20"/>
          <w:szCs w:val="20"/>
        </w:rPr>
        <w:t xml:space="preserve">CBS (2023), *Werken in het onderwijs: Deeltijd en voltijd*, Centraal Bureau voor de Statistiek, The Hague, https://www.cbs.nl/.</w:t>
      </w:r>
    </w:p>
    <w:p>
      <w:pPr>
        <w:spacing w:after="70"/>
        <w:ind w:left="280" w:hanging="280"/>
      </w:pPr>
      <w:r>
        <w:rPr>
          <w:sz w:val="20"/>
          <w:szCs w:val="20"/>
        </w:rPr>
        <w:t xml:space="preserve">Chingos, M. M. and M. R. West (2012), "Do more effective teachers earn more outside the classroom?", *Education Finance and Policy*, Vol. 7/1, pp. 8-43, https://doi.org/10.1162/EDFP_a_00052.</w:t>
      </w:r>
    </w:p>
    <w:p>
      <w:pPr>
        <w:spacing w:after="70"/>
        <w:ind w:left="280" w:hanging="280"/>
      </w:pPr>
      <w:r>
        <w:rPr>
          <w:sz w:val="20"/>
          <w:szCs w:val="20"/>
        </w:rPr>
        <w:t xml:space="preserve">Clotfelter, C., E. Glennie, H. Ladd and J. Vigdor (2008), "Would higher salaries keep teachers in high-poverty schools? Evidence from a policy intervention in North Carolina", *Journal of Public Economics*, Vol. 92/5-6, pp. 1352-1370, https://doi.org/10.1016/j.jpubeco.2007.07.003.</w:t>
      </w:r>
    </w:p>
    <w:p>
      <w:pPr>
        <w:spacing w:after="70"/>
        <w:ind w:left="280" w:hanging="280"/>
      </w:pPr>
      <w:r>
        <w:rPr>
          <w:sz w:val="20"/>
          <w:szCs w:val="20"/>
        </w:rPr>
        <w:t xml:space="preserve">Costrell, R. M. and M. Podgursky (2009), "Peaks, cliffs, and valleys: The peculiar incentives in teacher retirement systems and their consequences for school staffing", *Education Finance and Policy*, Vol. 4/2, pp. 175-211, https://doi.org/10.1162/edfp.2009.4.2.175.</w:t>
      </w:r>
    </w:p>
    <w:p>
      <w:pPr>
        <w:spacing w:after="70"/>
        <w:ind w:left="280" w:hanging="280"/>
      </w:pPr>
      <w:r>
        <w:rPr>
          <w:sz w:val="20"/>
          <w:szCs w:val="20"/>
        </w:rPr>
        <w:t xml:space="preserve">Cuervo, H. and E. Vera-Toscano (2025), "Teacher attrition in Australia: Evidence of labour market and wage outcomes from longitudinal data", *Australian Journal of Education*, https://doi.org/10.1177/00049441251341603.</w:t>
      </w:r>
    </w:p>
    <w:p>
      <w:pPr>
        <w:spacing w:after="70"/>
        <w:ind w:left="280" w:hanging="280"/>
      </w:pPr>
      <w:r>
        <w:rPr>
          <w:sz w:val="20"/>
          <w:szCs w:val="20"/>
        </w:rPr>
        <w:t xml:space="preserve">Department for Education (2023), *School Workforce in England: Ad Hoc Statistics on Maternity Leave and Returns*, Department for Education, London. [Release to be verified before publication.]</w:t>
      </w:r>
    </w:p>
    <w:p>
      <w:pPr>
        <w:spacing w:after="70"/>
        <w:ind w:left="280" w:hanging="280"/>
      </w:pPr>
      <w:r>
        <w:rPr>
          <w:sz w:val="20"/>
          <w:szCs w:val="20"/>
        </w:rPr>
        <w:t xml:space="preserve">Department for Education (2024), *Working Lives of Teachers and Leaders: Wave 3 and Wave 4 Reports*, Department for Education, London, https://www.gov.uk/government/publications/working-lives-of-teachers-and-leaders.</w:t>
      </w:r>
    </w:p>
    <w:p>
      <w:pPr>
        <w:spacing w:after="70"/>
        <w:ind w:left="280" w:hanging="280"/>
      </w:pPr>
      <w:r>
        <w:rPr>
          <w:sz w:val="20"/>
          <w:szCs w:val="20"/>
        </w:rPr>
        <w:t xml:space="preserve">Destatis (2024), *Schuljahr 2023/24: 43,1% der Lehrkräfte arbeiteten in Teilzeit*, Statistisches Bundesamt, Wiesbaden, https://www.destatis.de/.</w:t>
      </w:r>
    </w:p>
    <w:p>
      <w:pPr>
        <w:spacing w:after="70"/>
        <w:ind w:left="280" w:hanging="280"/>
      </w:pPr>
      <w:r>
        <w:rPr>
          <w:sz w:val="20"/>
          <w:szCs w:val="20"/>
        </w:rPr>
        <w:t xml:space="preserve">Doan, S., E. D. Steiner, R. Pandey and A. Woo (2023), *Teacher Well-Being and Intentions to Leave: Findings from the 2023 State of the American Teacher Survey*, RR-A1108-8, RAND Corporation, Santa Monica, CA, https://www.rand.org/pubs/research_reports/RRA1108-8.html.</w:t>
      </w:r>
    </w:p>
    <w:p>
      <w:pPr>
        <w:spacing w:after="70"/>
        <w:ind w:left="280" w:hanging="280"/>
      </w:pPr>
      <w:r>
        <w:rPr>
          <w:sz w:val="20"/>
          <w:szCs w:val="20"/>
        </w:rPr>
        <w:t xml:space="preserve">Falch, T. (2011), "Teacher mobility responses to wage changes: Evidence from a quasi-natural experiment", *American Economic Review*, Vol. 101/3, pp. 460-465, https://doi.org/10.1257/aer.101.3.460.</w:t>
      </w:r>
    </w:p>
    <w:p>
      <w:pPr>
        <w:spacing w:after="70"/>
        <w:ind w:left="280" w:hanging="280"/>
      </w:pPr>
      <w:r>
        <w:rPr>
          <w:sz w:val="20"/>
          <w:szCs w:val="20"/>
        </w:rPr>
        <w:t xml:space="preserve">Fitzpatrick, M. D. (2015), "How much are public school teachers willing to pay for their retirement benefits?", *American Economic Journal: Economic Policy*, Vol. 7/4, pp. 165-188, https://doi.org/10.1257/pol.20140087.</w:t>
      </w:r>
    </w:p>
    <w:p>
      <w:pPr>
        <w:spacing w:after="70"/>
        <w:ind w:left="280" w:hanging="280"/>
      </w:pPr>
      <w:r>
        <w:rPr>
          <w:sz w:val="20"/>
          <w:szCs w:val="20"/>
        </w:rPr>
        <w:t xml:space="preserve">Government of Spain (2015), *Real Decreto Legislativo 5/2015, de 30 de octubre, por el que se aprueba el texto refundido de la Ley del Estatuto Básico del Empleado Público*, Articles 49 and 89, Boletín Oficial del Estado, Madrid, https://www.boe.es/eli/es/rdlg/2015/10/30/5/con.</w:t>
      </w:r>
    </w:p>
    <w:p>
      <w:pPr>
        <w:spacing w:after="70"/>
        <w:ind w:left="280" w:hanging="280"/>
      </w:pPr>
      <w:r>
        <w:rPr>
          <w:sz w:val="20"/>
          <w:szCs w:val="20"/>
        </w:rPr>
        <w:t xml:space="preserve">Government of Spain (2025), *Real Decreto-ley 9/2025, de 29 de julio, por el que se amplía el permiso por nacimiento y cuidado del menor*, Boletín Oficial del Estado, Madrid.</w:t>
      </w:r>
    </w:p>
    <w:p>
      <w:pPr>
        <w:spacing w:after="70"/>
        <w:ind w:left="280" w:hanging="280"/>
      </w:pPr>
      <w:r>
        <w:rPr>
          <w:sz w:val="20"/>
          <w:szCs w:val="20"/>
        </w:rPr>
        <w:t xml:space="preserve">Guarino, C. M., L. Santibañez and G. A. Daley (2006), "Teacher recruitment and retention: A review of the recent empirical literature", *Review of Educational Research*, Vol. 76/2, pp. 173-208, https://doi.org/10.3102/00346543076002173.</w:t>
      </w:r>
    </w:p>
    <w:p>
      <w:pPr>
        <w:spacing w:after="70"/>
        <w:ind w:left="280" w:hanging="280"/>
      </w:pPr>
      <w:r>
        <w:rPr>
          <w:sz w:val="20"/>
          <w:szCs w:val="20"/>
        </w:rPr>
        <w:t xml:space="preserve">Hulme, M. et al. (2026), "Teacher turnover in Scotland: Reluctant leavers, downscaling, and the limits of voluntary exit", *Oxford Review of Education*, https://doi.org/10.1080/03054985.2026.2709882.</w:t>
      </w:r>
    </w:p>
    <w:p>
      <w:pPr>
        <w:spacing w:after="70"/>
        <w:ind w:left="280" w:hanging="280"/>
      </w:pPr>
      <w:r>
        <w:rPr>
          <w:sz w:val="20"/>
          <w:szCs w:val="20"/>
        </w:rPr>
        <w:t xml:space="preserve">KEDI (2023), *Survey Evidence on Teacher Attrition and the Infringement of Teachers' Rights*, Korean Educational Development Institute, Jincheon. [Full bibliographic details to be completed before publication.]</w:t>
      </w:r>
    </w:p>
    <w:p>
      <w:pPr>
        <w:spacing w:after="70"/>
        <w:ind w:left="280" w:hanging="280"/>
      </w:pPr>
      <w:r>
        <w:rPr>
          <w:sz w:val="20"/>
          <w:szCs w:val="20"/>
        </w:rPr>
        <w:t xml:space="preserve">Koedel, C. and P. B. Xiang (2017), "Pension enhancements and the retention of public employees", *ILR Review*, Vol. 70/2, pp. 519-551, https://doi.org/10.1177/0019793916650452.</w:t>
      </w:r>
    </w:p>
    <w:p>
      <w:pPr>
        <w:spacing w:after="70"/>
        <w:ind w:left="280" w:hanging="280"/>
      </w:pPr>
      <w:r>
        <w:rPr>
          <w:sz w:val="20"/>
          <w:szCs w:val="20"/>
        </w:rPr>
        <w:t xml:space="preserve">Kraft, M. A., W. H. Marinell and D. Shen-Wei Yee (2016), "School organizational contexts, teacher turnover, and student achievement: Evidence from panel data", *American Educational Research Journal*, Vol. 53/5, pp. 1411-1449, https://doi.org/10.3102/0002831216667478.</w:t>
      </w:r>
    </w:p>
    <w:p>
      <w:pPr>
        <w:spacing w:after="70"/>
        <w:ind w:left="280" w:hanging="280"/>
      </w:pPr>
      <w:r>
        <w:rPr>
          <w:sz w:val="20"/>
          <w:szCs w:val="20"/>
        </w:rPr>
        <w:t xml:space="preserve">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pPr>
        <w:spacing w:after="70"/>
        <w:ind w:left="280" w:hanging="280"/>
      </w:pPr>
      <w:r>
        <w:rPr>
          <w:sz w:val="20"/>
          <w:szCs w:val="20"/>
        </w:rPr>
        <w:t xml:space="preserve">Montizaan, R., F. Cörvers and A. de Grip (2010), "The effects of pension rights and retirement age on training participation: Evidence from a natural experiment", *Labour Economics*, Vol. 17/1, pp. 240-247, https://doi.org/10.1016/j.labeco.2009.09.002.</w:t>
      </w:r>
    </w:p>
    <w:p>
      <w:pPr>
        <w:spacing w:after="70"/>
        <w:ind w:left="280" w:hanging="280"/>
      </w:pPr>
      <w:r>
        <w:rPr>
          <w:sz w:val="20"/>
          <w:szCs w:val="20"/>
        </w:rPr>
        <w:t xml:space="preserve">National Council on Teacher Quality (2026), *Paid Parental Leave for Teachers: State and District Policies*, NCTQ, Washington, DC, https://www.nctq.org/research-insights/how-many-school-districts-offer-paid-parental-leave/.</w:t>
      </w:r>
    </w:p>
    <w:p>
      <w:pPr>
        <w:spacing w:after="70"/>
        <w:ind w:left="280" w:hanging="280"/>
      </w:pPr>
      <w:r>
        <w:rPr>
          <w:sz w:val="20"/>
          <w:szCs w:val="20"/>
        </w:rPr>
        <w:t xml:space="preserve">NCES (2024), *Teacher Attrition and Mobility: Results from the 2021-22 Teacher Follow-up Survey*, National Center for Education Statistics, Washington, DC, https://nces.ed.gov/pubsearch/pubsinfo.asp?pubid=2024039.</w:t>
      </w:r>
    </w:p>
    <w:p>
      <w:pPr>
        <w:spacing w:after="70"/>
        <w:ind w:left="280" w:hanging="280"/>
      </w:pPr>
      <w:r>
        <w:rPr>
          <w:sz w:val="20"/>
          <w:szCs w:val="20"/>
        </w:rPr>
        <w:t xml:space="preserve">Nguyen, T. D., L. D. Pham, M. Crouch and M. G. Springer (2020), "The correlates of teacher turnover: An updated and expanded meta-analysis of the literature", *Educational Research Review*, Vol. 31, 100355, https://doi.org/10.1016/j.edurev.2020.100355.</w:t>
      </w:r>
    </w:p>
    <w:p>
      <w:pPr>
        <w:spacing w:after="70"/>
        <w:ind w:left="280" w:hanging="280"/>
      </w:pPr>
      <w:r>
        <w:rPr>
          <w:sz w:val="20"/>
          <w:szCs w:val="20"/>
        </w:rPr>
        <w:t xml:space="preserve">Nguyen, T. D. et al. (2025), "Teacher turnover intentions and actual turnover: Evidence from nationally representative data", *AERA Open*. [Full bibliographic details to be completed before publication.]</w:t>
      </w:r>
    </w:p>
    <w:p>
      <w:pPr>
        <w:spacing w:after="70"/>
        <w:ind w:left="280" w:hanging="280"/>
      </w:pPr>
      <w:r>
        <w:rPr>
          <w:sz w:val="20"/>
          <w:szCs w:val="20"/>
        </w:rPr>
        <w:t xml:space="preserve">Ni, S. and M. Podgursky (2016), "How teachers respond to pension system incentives: New estimates and policy applications", *Journal of Labor Economics*, Vol. 34/4, pp. 1075-1104, https://doi.org/10.1086/686263.</w:t>
      </w:r>
    </w:p>
    <w:p>
      <w:pPr>
        <w:spacing w:after="70"/>
        <w:ind w:left="280" w:hanging="280"/>
      </w:pPr>
      <w:r>
        <w:rPr>
          <w:sz w:val="20"/>
          <w:szCs w:val="20"/>
        </w:rPr>
        <w:t xml:space="preserve">Ni, S., M. Podgursky and F. Wang (2022), "How much are public school teachers willing to pay for their retirement benefits? Comment", *American Economic Journal: Economic Policy*, Vol. 14/3, pp. 478-493, https://doi.org/10.1257/pol.20200763.</w:t>
      </w:r>
    </w:p>
    <w:p>
      <w:pPr>
        <w:spacing w:after="70"/>
        <w:ind w:left="280" w:hanging="280"/>
      </w:pPr>
      <w:r>
        <w:rPr>
          <w:sz w:val="20"/>
          <w:szCs w:val="20"/>
        </w:rPr>
        <w:t xml:space="preserve">OECD (2025a), "What is the profile of the teaching workforce and how has it evolved?", in *Education at a Glance 2025: OECD Indicators*, Indicator D8, Table D8.4, OECD Publishing, Paris, https://doi.org/10.1787/f7b0b326-en.</w:t>
      </w:r>
    </w:p>
    <w:p>
      <w:pPr>
        <w:spacing w:after="70"/>
        <w:ind w:left="280" w:hanging="280"/>
      </w:pPr>
      <w:r>
        <w:rPr>
          <w:sz w:val="20"/>
          <w:szCs w:val="20"/>
        </w:rPr>
        <w:t xml:space="preserve">OECD (2025b), *Results from TALIS 2024*, OECD Publishing, Paris.</w:t>
      </w:r>
    </w:p>
    <w:p>
      <w:pPr>
        <w:spacing w:after="70"/>
        <w:ind w:left="280" w:hanging="280"/>
      </w:pPr>
      <w:r>
        <w:rPr>
          <w:sz w:val="20"/>
          <w:szCs w:val="20"/>
        </w:rPr>
        <w:t xml:space="preserve">OECD (2025c), *Results from TALIS 2024, Country Notes: Japan, France and the Netherlands*, OECD Publishing, Paris, https://doi.org/10.1787/e127f9e2-en.</w:t>
      </w:r>
    </w:p>
    <w:p>
      <w:pPr>
        <w:spacing w:after="70"/>
        <w:ind w:left="280" w:hanging="280"/>
      </w:pPr>
      <w:r>
        <w:rPr>
          <w:sz w:val="20"/>
          <w:szCs w:val="20"/>
        </w:rPr>
        <w:t xml:space="preserve">OECD (2025d), "How much are teachers and school heads paid?", in *Education at a Glance 2025: OECD Indicators*, Indicator D3, Table D3.2, OECD Publishing, Paris, https://doi.org/10.1787/1c0d9c79-en.</w:t>
      </w:r>
    </w:p>
    <w:p>
      <w:pPr>
        <w:spacing w:after="70"/>
        <w:ind w:left="280" w:hanging="280"/>
      </w:pPr>
      <w:r>
        <w:rPr>
          <w:sz w:val="20"/>
          <w:szCs w:val="20"/>
        </w:rPr>
        <w:t xml:space="preserve">OECD (2025e), *Pensions at a Glance 2025: OECD and G20 Indicators*, OECD Publishing, Paris.</w:t>
      </w:r>
    </w:p>
    <w:p>
      <w:pPr>
        <w:spacing w:after="70"/>
        <w:ind w:left="280" w:hanging="280"/>
      </w:pPr>
      <w:r>
        <w:rPr>
          <w:sz w:val="20"/>
          <w:szCs w:val="20"/>
        </w:rPr>
        <w:t xml:space="preserve">Podgursky, M., R. Monroe and D. Watson (2004), "The academic quality of public school teachers: An analysis of entry and exit behavior", *Economics of Education Review*, Vol. 23/5, pp. 507-518, https://doi.org/10.1016/j.econedurev.2004.01.005.</w:t>
      </w:r>
    </w:p>
    <w:p>
      <w:pPr>
        <w:spacing w:after="70"/>
        <w:ind w:left="280" w:hanging="280"/>
      </w:pPr>
      <w:r>
        <w:rPr>
          <w:sz w:val="20"/>
          <w:szCs w:val="20"/>
        </w:rPr>
        <w:t xml:space="preserve">Quinby, L. and G. Wettstein (2021), "Do deferred benefit cuts for current employees increase separation?", *Labour Economics*, Vol. 73, 102081, https://doi.org/10.1016/j.labeco.2021.102081.</w:t>
      </w:r>
    </w:p>
    <w:p>
      <w:pPr>
        <w:spacing w:after="70"/>
        <w:ind w:left="280" w:hanging="280"/>
      </w:pPr>
      <w:r>
        <w:rPr>
          <w:sz w:val="20"/>
          <w:szCs w:val="20"/>
        </w:rPr>
        <w:t xml:space="preserve">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pPr>
        <w:spacing w:after="70"/>
        <w:ind w:left="280" w:hanging="280"/>
      </w:pPr>
      <w:r>
        <w:rPr>
          <w:sz w:val="20"/>
          <w:szCs w:val="20"/>
        </w:rPr>
        <w:t xml:space="preserve">Republic of Korea (2023), *Special Act on the Improvement of Teachers' Status and the Protection of Their Educational Activities*, as amended by Act No. 19735 of 27 September 2023, Korea Legislation Research Institute, Seoul, https://elaw.klri.re.kr/eng_mobile/viewer.do?hseq=69754.</w:t>
      </w:r>
    </w:p>
    <w:p>
      <w:pPr>
        <w:spacing w:after="70"/>
        <w:ind w:left="280" w:hanging="280"/>
      </w:pPr>
      <w:r>
        <w:rPr>
          <w:sz w:val="20"/>
          <w:szCs w:val="20"/>
        </w:rPr>
        <w:t xml:space="preserve">ROCKWOOL Fonden (2025), *Folkeskolelærere, der forlader deres job, går ned i løn og søger mod job med færre sygemeldinger*, ROCKWOOL Fondens Forskningsenhed, Copenhagen, https://rockwoolfonden.dk/. [Full working-paper reference to be confirmed.]</w:t>
      </w:r>
    </w:p>
    <w:p>
      <w:pPr>
        <w:spacing w:after="70"/>
        <w:ind w:left="280" w:hanging="280"/>
      </w:pPr>
      <w:r>
        <w:rPr>
          <w:sz w:val="20"/>
          <w:szCs w:val="20"/>
        </w:rPr>
        <w:t xml:space="preserve">Samuelson, P. A. (1938), "A note on the pure theory of consumer's behaviour", *Economica*, Vol. 5/17, pp. 61-71, https://doi.org/10.2307/2548836.</w:t>
      </w:r>
    </w:p>
    <w:p>
      <w:pPr>
        <w:spacing w:after="70"/>
        <w:ind w:left="280" w:hanging="280"/>
      </w:pPr>
      <w:r>
        <w:rPr>
          <w:sz w:val="20"/>
          <w:szCs w:val="20"/>
        </w:rPr>
        <w:t xml:space="preserve">Scafidi, B., D. L. Sjoquist and T. R. Stinebrickner (2006), "Do teachers really leave for higher paying jobs in alternative occupations?", *The B.E. Journal of Economic Analysis and Policy*, Vol. 6/1, https://doi.org/10.2202/1538-0645.1604.</w:t>
      </w:r>
    </w:p>
    <w:p>
      <w:pPr>
        <w:spacing w:after="70"/>
        <w:ind w:left="280" w:hanging="280"/>
      </w:pPr>
      <w:r>
        <w:rPr>
          <w:sz w:val="20"/>
          <w:szCs w:val="20"/>
        </w:rPr>
        <w:t xml:space="preserve">See, B. H., R. Morris, S. Gorard and N. El Soufi (2020), "Teacher recruitment and retention: A critical review of international evidence of most promising interventions", *Education Sciences*, Vol. 10/10, 262, https://doi.org/10.3390/educsci10100262.</w:t>
      </w:r>
    </w:p>
    <w:p>
      <w:pPr>
        <w:spacing w:after="70"/>
        <w:ind w:left="280" w:hanging="280"/>
      </w:pPr>
      <w:r>
        <w:rPr>
          <w:sz w:val="20"/>
          <w:szCs w:val="20"/>
        </w:rPr>
        <w:t xml:space="preserve">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pPr>
        <w:spacing w:after="70"/>
        <w:ind w:left="280" w:hanging="280"/>
      </w:pPr>
      <w:r>
        <w:rPr>
          <w:sz w:val="20"/>
          <w:szCs w:val="20"/>
        </w:rPr>
        <w:t xml:space="preserve">Sims, S. and J. Jerrim (2020), *TALIS 2018: Teacher Working Conditions, Turnover and Attrition*, Statistical Working Paper, Department for Education, London, https://www.gov.uk/government/publications/talis-2018-teacher-working-conditions-turnover-and-attrition.</w:t>
      </w:r>
    </w:p>
    <w:p>
      <w:pPr>
        <w:spacing w:after="70"/>
        <w:ind w:left="280" w:hanging="280"/>
      </w:pPr>
      <w:r>
        <w:rPr>
          <w:sz w:val="20"/>
          <w:szCs w:val="20"/>
        </w:rPr>
        <w:t xml:space="preserve">Sims, S., B. Lowes-Belk and A. Routledge (2026), "Teacher preferences for pay and working conditions: A systematic review of discrete-choice experiments", *Economics of Education Review*. [Full bibliographic details to be completed before publication.]</w:t>
      </w:r>
    </w:p>
    <w:p>
      <w:pPr>
        <w:spacing w:after="70"/>
        <w:ind w:left="280" w:hanging="280"/>
      </w:pPr>
      <w:r>
        <w:rPr>
          <w:sz w:val="20"/>
          <w:szCs w:val="20"/>
        </w:rPr>
        <w:t xml:space="preserve">Somers, M. et al. (2024a), *Loont het om leraren financieel te prikkelen? De voltijdbonus onderzocht*, ROA, Maastricht University, Maastricht, https://roa.maastrichtuniversity.nl/.</w:t>
      </w:r>
    </w:p>
    <w:p>
      <w:pPr>
        <w:spacing w:after="70"/>
        <w:ind w:left="280" w:hanging="280"/>
      </w:pPr>
      <w:r>
        <w:rPr>
          <w:sz w:val="20"/>
          <w:szCs w:val="20"/>
        </w:rPr>
        <w:t xml:space="preserve">Somers, M. et al. (2024b), *De stille reserve aan leraren buiten het onderwijs*, ROA, Maastricht University, Maastricht, https://roa.maastrichtuniversity.nl/.</w:t>
      </w:r>
    </w:p>
    <w:p>
      <w:pPr>
        <w:spacing w:after="70"/>
        <w:ind w:left="280" w:hanging="280"/>
      </w:pPr>
      <w:r>
        <w:rPr>
          <w:sz w:val="20"/>
          <w:szCs w:val="20"/>
        </w:rPr>
        <w:t xml:space="preserve">Statistics Sweden (2023), *Lärare utanför yrket 2022/2023*, Statistiska centralbyrån, Stockholm, https://www.scb.se/.</w:t>
      </w:r>
    </w:p>
    <w:p>
      <w:pPr>
        <w:spacing w:after="70"/>
        <w:ind w:left="280" w:hanging="280"/>
      </w:pPr>
      <w:r>
        <w:rPr>
          <w:sz w:val="20"/>
          <w:szCs w:val="20"/>
        </w:rPr>
        <w:t xml:space="preserve">Statistisches Bundesamt (2005), *Lehrkräfte gehen mit durchschnittlich 62 Jahren in Pension*, press release, Destatis, Wiesbaden. [Archived release to be obtained before publication.]</w:t>
      </w:r>
    </w:p>
    <w:p>
      <w:pPr>
        <w:spacing w:after="70"/>
        <w:ind w:left="280" w:hanging="280"/>
      </w:pPr>
      <w:r>
        <w:rPr>
          <w:sz w:val="20"/>
          <w:szCs w:val="20"/>
        </w:rPr>
        <w:t xml:space="preserve">Stinebrickner, T. R. (2001), "A dynamic model of teacher labor supply", *Journal of Labor Economics*, Vol. 19/1, pp. 196-230, https://doi.org/10.1086/209985.</w:t>
      </w:r>
    </w:p>
    <w:p>
      <w:pPr>
        <w:spacing w:after="70"/>
        <w:ind w:left="280" w:hanging="280"/>
      </w:pPr>
      <w:r>
        <w:rPr>
          <w:sz w:val="20"/>
          <w:szCs w:val="20"/>
        </w:rPr>
        <w:t xml:space="preserve">Stinebrickner, T. R. (2002), "An analysis of occupational change and departure from the labor force: Evidence of the reasons that teachers leave", *Journal of Human Resources*, Vol. 37/1, pp. 192-216, https://doi.org/10.2307/3069608.</w:t>
      </w:r>
    </w:p>
    <w:p>
      <w:pPr>
        <w:spacing w:after="70"/>
        <w:ind w:left="280" w:hanging="280"/>
      </w:pPr>
      <w:r>
        <w:rPr>
          <w:sz w:val="20"/>
          <w:szCs w:val="20"/>
        </w:rPr>
        <w:t xml:space="preserve">United Kingdom (1996), *Employment Rights Act 1996*, Part 8A (Flexible Working), sections 80F-80G, as amended, London, https://www.legislation.gov.uk/ukpga/1996/18/part/8A.</w:t>
      </w:r>
    </w:p>
    <w:p>
      <w:pPr>
        <w:spacing w:after="70"/>
        <w:ind w:left="280" w:hanging="280"/>
      </w:pPr>
      <w:r>
        <w:rPr>
          <w:sz w:val="20"/>
          <w:szCs w:val="20"/>
        </w:rPr>
        <w:t xml:space="preserve">United States (2013), *Family and Medical Leave Act Regulations*, 29 CFR Part 825, Subpart F, Washington, DC, https://www.ecfr.gov/current/title-29/subtitle-B/chapter-V/subchapter-C/part-825/subpart-F.</w:t>
      </w:r>
    </w:p>
    <w:p>
      <w:pPr>
        <w:spacing w:after="70"/>
        <w:ind w:left="280" w:hanging="280"/>
      </w:pPr>
      <w:r>
        <w:rPr>
          <w:sz w:val="20"/>
          <w:szCs w:val="20"/>
        </w:rPr>
        <w:t xml:space="preserve">Van Casteren, W. et al. (2023), *Vertrekredenen leraren en docenten in het po, vo en mbo*, ResearchNed, Nijmegen, https://www.voion.nl/publicaties/vertrekredenen-leraren-en-docenten-in-het-po-vo-en-mbo/.</w:t>
      </w:r>
    </w:p>
    <w:p>
      <w:pPr>
        <w:spacing w:after="70"/>
        <w:ind w:left="280" w:hanging="280"/>
      </w:pPr>
      <w:r>
        <w:rPr>
          <w:sz w:val="20"/>
          <w:szCs w:val="20"/>
        </w:rPr>
        <w:t xml:space="preserve">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pPr>
        <w:spacing w:after="70"/>
        <w:ind w:left="280" w:hanging="280"/>
      </w:pPr>
      <w:r>
        <w:rPr>
          <w:sz w:val="20"/>
          <w:szCs w:val="20"/>
        </w:rPr>
        <w:t xml:space="preserve">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pPr>
        <w:spacing w:after="70"/>
        <w:ind w:left="280" w:hanging="280"/>
      </w:pPr>
      <w:r>
        <w:rPr>
          <w:sz w:val="20"/>
          <w:szCs w:val="20"/>
        </w:rPr>
        <w:t xml:space="preserve">Worth, J. and D. McLean (2022), *Teacher Labour Market in England: Annual Report and Earnings Analysis*, National Foundation for Educational Research, Slough, https://www.nfer.ac.uk/. [Exact report title to be confirmed against the earnings analysis cited.]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FOR OFFICIAL USE — DRAFT, NOT FOR CIRCULATION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60"/>
        <w:jc w:val="both"/>
      </w:pPr>
      <w:r>
        <w:rPr>
          <w:rStyle w:val="FootnoteReference"/>
        </w:rPr>
        <w:footnoteRef/>
      </w:r>
      <w:r>
        <w:rPr>
          <w:sz w:val="18"/>
          <w:szCs w:val="18"/>
        </w:rPr>
        <w:t xml:space="preserve">Table D8.4 measures departure from the profession, defined as fully qualified teachers who left by resigning or retiring during the reference year. It excludes movement between schools, so these rates are not comparable with turnover statistics, which combine leavers with movers and therefore run higher.</w:t>
      </w:r>
    </w:p>
  </w:footnote>
  <w:footnote w:id="2">
    <w:p>
      <w:pPr>
        <w:spacing w:after="60"/>
        <w:jc w:val="both"/>
      </w:pPr>
      <w:r>
        <w:rPr>
          <w:rStyle w:val="FootnoteReference"/>
        </w:rPr>
        <w:footnoteRef/>
      </w:r>
      <w:r>
        <w:rPr>
          <w:sz w:val="18"/>
          <w:szCs w:val="18"/>
        </w:rPr>
        <w:t xml:space="preserve">The survey followed Finnish comprehensive-school teachers over five years and measured turnover intentions and their stated reasons, not observed exits. About half of respondents reported turnover intentions at some point, and the reason a teacher gave was unstable, since fewer than half of those with persistent intentions named the same factor five years apart.</w:t>
      </w:r>
    </w:p>
  </w:footnote>
  <w:footnote w:id="3">
    <w:p>
      <w:pPr>
        <w:spacing w:after="60"/>
        <w:jc w:val="both"/>
      </w:pPr>
      <w:r>
        <w:rPr>
          <w:rStyle w:val="FootnoteReference"/>
        </w:rPr>
        <w:footnoteRef/>
      </w:r>
      <w:r>
        <w:rPr>
          <w:sz w:val="18"/>
          <w:szCs w:val="18"/>
        </w:rPr>
        <w:t xml:space="preserve">The KEDI series reached this review through official Korean reporting; the full bibliographic details of the underlying survey remain to be completed before publication.</w:t>
      </w:r>
    </w:p>
  </w:footnote>
  <w:footnote w:id="4">
    <w:p>
      <w:pPr>
        <w:spacing w:after="60"/>
        <w:jc w:val="both"/>
      </w:pPr>
      <w:r>
        <w:rPr>
          <w:rStyle w:val="FootnoteReference"/>
        </w:rPr>
        <w:footnoteRef/>
      </w:r>
      <w:r>
        <w:rPr>
          <w:sz w:val="18"/>
          <w:szCs w:val="18"/>
        </w:rPr>
        <w:t xml:space="preserve">The Dutch entitlement rests on the Wet flexibel werken, under which a request left unanswered past the statutory deadline is deemed granted. The English right to request flexible working sits in Part 8A of the Employment Rights Act 1996, and the eight permissible grounds of refusal include the burden of additional costs and the inability to reorganise work among existing staff.</w:t>
      </w:r>
    </w:p>
  </w:footnote>
  <w:footnote w:id="5">
    <w:p>
      <w:pPr>
        <w:spacing w:after="60"/>
        <w:jc w:val="both"/>
      </w:pPr>
      <w:r>
        <w:rPr>
          <w:rStyle w:val="FootnoteReference"/>
        </w:rPr>
        <w:footnoteRef/>
      </w:r>
      <w:r>
        <w:rPr>
          <w:sz w:val="18"/>
          <w:szCs w:val="18"/>
        </w:rPr>
        <w:t xml:space="preserve">TALIS is the OECD's international survey of teachers and school leaders in primary and lower secondary education. In its 2018 round, 73% of surveyed English teachers consented to having their responses linked to the School Workforce Census, the annual administrative register of the staff of England's state-funded schools, and the matching produced 2 684 linked records at a match rate of 84%. The analysis, commissioned by the Department for Education, is </w:t>
      </w:r>
      <w:r>
        <w:rPr>
          <w:color w:val="0563C1"/>
          <w:sz w:val="18"/>
          <w:szCs w:val="18"/>
        </w:rPr>
        <w:t xml:space="preserve">Sims and Jerrim (2020)</w:t>
      </w:r>
      <w:r>
        <w:rPr>
          <w:sz w:val="18"/>
          <w:szCs w:val="18"/>
        </w:rPr>
        <w:t xml:space="preserve">, available at https://www.gov.uk/government/publications/talis-2018-teacher-working-conditions-turnover-and-attrition.</w:t>
      </w:r>
    </w:p>
  </w:footnote>
  <w:footnote w:id="6">
    <w:p>
      <w:pPr>
        <w:spacing w:after="60"/>
        <w:jc w:val="both"/>
      </w:pPr>
      <w:r>
        <w:rPr>
          <w:rStyle w:val="FootnoteReference"/>
        </w:rPr>
        <w:footnoteRef/>
      </w:r>
      <w:r>
        <w:rPr>
          <w:sz w:val="18"/>
          <w:szCs w:val="18"/>
        </w:rPr>
        <w:t xml:space="preserve">Indicator D3 compares the average serving teacher's salary with the earnings of the average tertiary-educated worker. It measures the standing of the occupation, not the outside option of any individual teacher, and its methodological notes warn that it divides a mean teacher salary by a median comparator figure in some countries, a difference worth up to 14% where both can be computed </w:t>
      </w:r>
      <w:r>
        <w:rPr>
          <w:color w:val="0563C1"/>
          <w:sz w:val="18"/>
          <w:szCs w:val="18"/>
        </w:rPr>
        <w:t xml:space="preserve">(OECD, 2025d)</w:t>
      </w:r>
      <w:r>
        <w:rPr>
          <w:sz w:val="18"/>
          <w:szCs w:val="18"/>
        </w:rPr>
        <w:t xml:space="preserve">.</w:t>
      </w:r>
    </w:p>
  </w:footnote>
  <w:footnote w:id="7">
    <w:p>
      <w:pPr>
        <w:spacing w:after="60"/>
        <w:jc w:val="both"/>
      </w:pPr>
      <w:r>
        <w:rPr>
          <w:rStyle w:val="FootnoteReference"/>
        </w:rPr>
        <w:footnoteRef/>
      </w:r>
      <w:r>
        <w:rPr>
          <w:sz w:val="18"/>
          <w:szCs w:val="18"/>
        </w:rPr>
        <w:t xml:space="preserve">The study links the human-resources records of a large urban school district over twelve years of leavers to federal tax records held at the United States Census Bureau, and is the only United States evidence that observes leavers who disappear from employer records entirely, which is why its mean sits below studies that condition on employment.</w:t>
      </w:r>
    </w:p>
  </w:footnote>
  <w:footnote w:id="8">
    <w:p>
      <w:pPr>
        <w:spacing w:after="60"/>
        <w:jc w:val="both"/>
      </w:pPr>
      <w:r>
        <w:rPr>
          <w:rStyle w:val="FootnoteReference"/>
        </w:rPr>
        <w:footnoteRef/>
      </w:r>
      <w:r>
        <w:rPr>
          <w:sz w:val="18"/>
          <w:szCs w:val="18"/>
        </w:rPr>
        <w:t xml:space="preserve">Causal evidence that teacher retirement timing responds to these incentives exists for the United States, France and the Netherlands, with Germany documented descriptively; for the remaining systems the scheme parameters are documented but the behavioural response is not.</w:t>
      </w:r>
    </w:p>
  </w:footnote>
  <w:footnote w:id="9">
    <w:p>
      <w:pPr>
        <w:spacing w:after="60"/>
        <w:jc w:val="both"/>
      </w:pPr>
      <w:r>
        <w:rPr>
          <w:rStyle w:val="FootnoteReference"/>
        </w:rPr>
        <w:footnoteRef/>
      </w:r>
      <w:r>
        <w:rPr>
          <w:sz w:val="18"/>
          <w:szCs w:val="18"/>
        </w:rPr>
        <w:t xml:space="preserve">The two estimates bracket the question without resolving it. The willingness-to-pay figure comes from take-up of a real upgrade offer priced against present value; the later study follows the same cohort to retirement and finds that most teachers eventually bought the upgrade and that decliners faced a negative net return given their retirement timing, which implies a valuation far above 20 cents.</w:t>
      </w:r>
    </w:p>
  </w:footnote>
  <w:footnote w:id="10">
    <w:p>
      <w:pPr>
        <w:spacing w:after="60"/>
        <w:jc w:val="both"/>
      </w:pPr>
      <w:r>
        <w:rPr>
          <w:rStyle w:val="FootnoteReference"/>
        </w:rPr>
        <w:footnoteRef/>
      </w:r>
      <w:r>
        <w:rPr>
          <w:sz w:val="18"/>
          <w:szCs w:val="18"/>
        </w:rPr>
        <w:t xml:space="preserve">The maternity-return figures are Department for Education ad hoc statistics for 2016-2019 reported to Parliament; the original statistical release should be verified before publication. In 2022/23, women aged 30 to 39 leaving state-funded schools in England numbered over 9 000, against roughly 3 400 men of the same age.</w:t>
      </w:r>
    </w:p>
  </w:footnote>
  <w:footnote w:id="11">
    <w:p>
      <w:pPr>
        <w:spacing w:after="60"/>
        <w:jc w:val="both"/>
      </w:pPr>
      <w:r>
        <w:rPr>
          <w:rStyle w:val="FootnoteReference"/>
        </w:rPr>
        <w:footnoteRef/>
      </w:r>
      <w:r>
        <w:rPr>
          <w:sz w:val="18"/>
          <w:szCs w:val="18"/>
        </w:rPr>
        <w:t xml:space="preserve">The Spanish provisions are Article 49 </w:t>
      </w:r>
      <w:r>
        <w:rPr>
          <w:color w:val="0563C1"/>
          <w:sz w:val="18"/>
          <w:szCs w:val="18"/>
        </w:rPr>
        <w:t xml:space="preserve">(paid leave, extended to nineteen weeks in 2025)</w:t>
      </w:r>
      <w:r>
        <w:rPr>
          <w:sz w:val="18"/>
          <w:szCs w:val="18"/>
        </w:rPr>
        <w:t xml:space="preserve"> and Article 89.4 (childcare leave with post reservation) of the consolidated public-employment statute; the American floor is the Family and Medical Leave Act, whose school-specific regulations allow a district to keep a teacher on leave until the end of a term in defined circumstances.</w:t>
      </w:r>
    </w:p>
  </w:footnote>
  <w:footnote w:id="12">
    <w:p>
      <w:pPr>
        <w:spacing w:after="60"/>
        <w:jc w:val="both"/>
      </w:pPr>
      <w:r>
        <w:rPr>
          <w:rStyle w:val="FootnoteReference"/>
        </w:rPr>
        <w:footnoteRef/>
      </w:r>
      <w:r>
        <w:rPr>
          <w:sz w:val="18"/>
          <w:szCs w:val="18"/>
        </w:rPr>
        <w:t xml:space="preserve">The two American sources measure different populations with different instruments. The National Center for Education Statistics figure comes from the Teacher Follow-up Survey of 2021-22 former teachers, who choose one main reason; the 60% figure comes from the RAND State of the American Teacher survey of serving teachers, who select all reasons for considering departure, among whom pay ranks first for early-career and Black teachers. A Michigan survey of intending leavers likewise places pay at the top jointly with workload, which illustrates how intention surveys and leaver surveys order the same motives differently.</w:t>
      </w:r>
    </w:p>
  </w:footnote>
  <w:footnote w:id="13">
    <w:p>
      <w:pPr>
        <w:spacing w:after="60"/>
        <w:jc w:val="both"/>
      </w:pPr>
      <w:r>
        <w:rPr>
          <w:rStyle w:val="FootnoteReference"/>
        </w:rPr>
        <w:footnoteRef/>
      </w:r>
      <w:r>
        <w:rPr>
          <w:sz w:val="18"/>
          <w:szCs w:val="18"/>
        </w:rPr>
        <w:t xml:space="preserve">The correlation between stated intention and observed departure in the same data is 0.15.</w:t>
      </w:r>
    </w:p>
  </w:footnote>
  <w:footnote w:id="14">
    <w:p>
      <w:pPr>
        <w:spacing w:after="60"/>
        <w:jc w:val="both"/>
      </w:pPr>
      <w:r>
        <w:rPr>
          <w:rStyle w:val="FootnoteReference"/>
        </w:rPr>
        <w:footnoteRef/>
      </w:r>
      <w:r>
        <w:rPr>
          <w:sz w:val="18"/>
          <w:szCs w:val="18"/>
        </w:rPr>
        <w:t xml:space="preserve">The Michigan count refers to certificates in force in 2018-19; the Dutch estimate defines the silent reserve as qualified teachers below retirement age employed outside education altogether.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FORMER TEACHERS — WORKING DRAFT  |  </w:t>
    </w:r>
    <w:r>
      <w:rPr>
        <w:color w:val="8C8C8C"/>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94ce49220f10738fe877badb562e3def4bba5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2026-08-27T06:58:26.821Z</dcterms:created>
  <dcterms:modified xsi:type="dcterms:W3CDTF">2026-08-27T06:58:26.832Z</dcterms:modified>
</cp:coreProperties>
</file>

<file path=docProps/custom.xml><?xml version="1.0" encoding="utf-8"?>
<Properties xmlns="http://schemas.openxmlformats.org/officeDocument/2006/custom-properties" xmlns:vt="http://schemas.openxmlformats.org/officeDocument/2006/docPropsVTypes"/>
</file>