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Pendiente de escribir (al final de todo).</w:t>
      </w:r>
    </w:p>
    <w:p>
      <w:pPr>
        <w:pStyle w:val="Heading1"/>
        <w:pageBreakBefore/>
        <w:spacing w:after="220" w:before="0"/>
      </w:pPr>
      <w:r>
        <w:rPr>
          <w:rFonts w:ascii="Garamond" w:cs="Garamond" w:eastAsia="Garamond" w:hAnsi="Garamond"/>
          <w:b/>
          <w:bCs/>
          <w:color w:val="04629A"/>
          <w:sz w:val="30"/>
          <w:szCs w:val="30"/>
        </w:rPr>
        <w:t xml:space="preserve">2. Teacher leaving: patterns, determinants and destinations</w:t>
      </w:r>
    </w:p>
    <w:p>
      <w:pPr>
        <w:spacing w:after="160" w:line="264"/>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(OECD, 2025a; UNESCO, 2024; Madigan and Kim, 2021; OECD, 2025b)</w:t>
      </w:r>
      <w:r>
        <w:t xml:space="preserve">. This section therefore reviews what is known about why teachers leave, before the paper turns to the policies that have tried to bring them back.</w:t>
      </w:r>
    </w:p>
    <w:p>
      <w:pPr>
        <w:spacing w:after="160" w:line="264"/>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p>
    <w:p>
      <w:pPr>
        <w:pStyle w:val="Heading2"/>
        <w:spacing w:after="140" w:before="260"/>
      </w:pPr>
      <w:r>
        <w:rPr>
          <w:rFonts w:ascii="Garamond" w:cs="Garamond" w:eastAsia="Garamond" w:hAnsi="Garamond"/>
          <w:b/>
          <w:bCs/>
          <w:color w:val="04629A"/>
          <w:sz w:val="25"/>
          <w:szCs w:val="25"/>
        </w:rPr>
        <w:t xml:space="preserve">2.1 The teacher leaving rate and its evolution</w:t>
      </w:r>
    </w:p>
    <w:p>
      <w:pPr>
        <w:spacing w:after="160" w:line="264"/>
        <w:jc w:val="both"/>
      </w:pPr>
      <w:r>
        <w:t xml:space="preserve">The average teachers leaving rate among the OECD countries was 6.5% in 2023 </w:t>
      </w:r>
      <w:r>
        <w:rPr>
          <w:color w:val="0563C1"/>
        </w:rPr>
        <w:t xml:space="preserve">(OECD, 2025a)</w:t>
      </w:r>
      <w:r>
        <w:t xml:space="preserve">.</w:t>
      </w:r>
      <w:r>
        <w:rPr>
          <w:rStyle w:val="FootnoteReference"/>
        </w:rPr>
        <w:footnoteReference w:id="1"/>
      </w:r>
      <w:r>
        <w:t xml:space="preserve"> However, there are considerable heterogeneities among countries with available data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resignations, raising potential issues with working conditions and teacher retention and forces the system to replace a substantial share of its stock every year.</w:t>
      </w:r>
    </w:p>
    <w:p>
      <w:pPr>
        <w:spacing w:after="160" w:line="264"/>
        <w:jc w:val="both"/>
      </w:pPr>
      <w:r>
        <w:rPr>
          <w:b/>
          <w:bCs/>
        </w:rPr>
        <w:t xml:space="preserve">Figure 1. The teacher leaving rate and its composition, 2022/23</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Each bar is the share of fully qualified teachers who left the profession in 2022/23. Where the decomposition is reported, the bar splits leavers into those who resigned and those who retired; grey bars report the total rate only. Data cover pre-primary to upper secondary education.</w:t>
      </w:r>
    </w:p>
    <w:p>
      <w:pPr>
        <w:spacing w:after="60" w:line="264"/>
        <w:jc w:val="both"/>
      </w:pPr>
      <w:r>
        <w:rPr>
          <w:sz w:val="17"/>
          <w:szCs w:val="17"/>
        </w:rPr>
        <w:t xml:space="preserve">Source: </w:t>
      </w:r>
      <w:r>
        <w:rPr>
          <w:color w:val="0563C1"/>
          <w:sz w:val="17"/>
          <w:szCs w:val="17"/>
        </w:rPr>
        <w:t xml:space="preserve">OECD (2025a)</w:t>
      </w:r>
      <w:r>
        <w:rPr>
          <w:sz w:val="17"/>
          <w:szCs w:val="17"/>
        </w:rPr>
        <w:t xml:space="preserve">, Education at a Glance 2025, Table D8.4.</w:t>
      </w:r>
    </w:p>
    <w:p>
      <w:pPr>
        <w:spacing w:after="160" w:line="264"/>
        <w:jc w:val="both"/>
      </w:pPr>
      <w:r>
        <w:t xml:space="preserve">Which of the two doors carries more weight also differs across systems as much as the level does. In the 19 OECD systems with comparable data, resignations account for 51% of departures, but they exceed 80% in Denmark, England and Estonia, while retirements predominate in France, Greece, Ireland and Israel </w:t>
      </w:r>
      <w:r>
        <w:rPr>
          <w:color w:val="0563C1"/>
        </w:rPr>
        <w:t xml:space="preserve">(OECD, 2025a)</w:t>
      </w:r>
      <w:r>
        <w:t xml:space="preserve">. Part of this composition reflects the age structure of the workforce, which is ageing in most of the OECD; in Portugal and Greece the share of secondary teachers aged 50 or over has reached 56%, and in Italy 52%, so retirement will drive replacement demand in these systems whatever happens to resignations </w:t>
      </w:r>
      <w:r>
        <w:rPr>
          <w:color w:val="0563C1"/>
        </w:rPr>
        <w:t xml:space="preserve">(OECD, 2025a)</w:t>
      </w:r>
      <w:r>
        <w:t xml:space="preserv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60" w:line="264"/>
        <w:jc w:val="both"/>
      </w:pPr>
      <w:r>
        <w:t xml:space="preserve">The evolution of the leaving rate across time tends to be stable in most of the observed countries. The OECD average rate moved from 6.9% in 2015 to 6.5% in 2023 and most systems present in both years moved by less than a percentage point </w:t>
      </w:r>
      <w:r>
        <w:rPr>
          <w:color w:val="0563C1"/>
        </w:rPr>
        <w:t xml:space="preserve">(OECD, 2025a)</w:t>
      </w:r>
      <w:r>
        <w:t xml:space="preserve">.</w:t>
      </w:r>
      <w:r>
        <w:rPr>
          <w:rStyle w:val="FootnoteReference"/>
        </w:rPr>
        <w:footnoteReference w:id="2"/>
      </w:r>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r>
        <w:rPr>
          <w:color w:val="0563C1"/>
        </w:rPr>
        <w:t xml:space="preserve">(NCES, 2024)</w:t>
      </w:r>
      <w:r>
        <w:t xml:space="preserve">,</w:t>
      </w:r>
      <w:r>
        <w:rPr>
          <w:rStyle w:val="FootnoteReference"/>
        </w:rPr>
        <w:footnoteReference w:id="3"/>
      </w:r>
      <w:r>
        <w:t xml:space="preserve"> and similar patterns hold in England, New Zealand, Sweden, Israel, Iceland, Norway and Flanders </w:t>
      </w:r>
      <w:r>
        <w:rPr>
          <w:color w:val="0563C1"/>
        </w:rPr>
        <w:t xml:space="preserve">(Department for Education, 2024a; Education Counts, 2025; Adermon and Laun, 2018; CBS Israel, 2023; Björnsdóttir and Hansen, 2024; Statistics Norway, 2025; Vansteenkiste, 2025)</w:t>
      </w:r>
      <w:r>
        <w:t xml:space="preserve">.</w:t>
      </w:r>
      <w:r>
        <w:rPr>
          <w:rStyle w:val="FootnoteReference"/>
        </w:rPr>
        <w:footnoteReference w:id="4"/>
      </w:r>
    </w:p>
    <w:p>
      <w:pPr>
        <w:spacing w:after="160" w:line="264"/>
        <w:jc w:val="both"/>
      </w:pPr>
      <w:r>
        <w: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t>
      </w:r>
      <w:r>
        <w:rPr>
          <w:color w:val="0563C1"/>
        </w:rPr>
        <w:t xml:space="preserve">(Aldeman and Yi, 2025)</w:t>
      </w:r>
      <w:r>
        <w:t xml:space="preserve">, an ordering already visible in the 1990s </w:t>
      </w:r>
      <w:r>
        <w:rPr>
          <w:color w:val="0563C1"/>
        </w:rPr>
        <w:t xml:space="preserve">(Harris and Adams, 2007)</w:t>
      </w:r>
      <w:r>
        <w:t xml:space="preserve">; in Australia, a study using administrative records finds that the teacher leaving rate was the lowest among 97 occupation groups </w:t>
      </w:r>
      <w:r>
        <w:rPr>
          <w:color w:val="0563C1"/>
        </w:rPr>
        <w:t xml:space="preserve">(Buckley and Griselda, 2025)</w:t>
      </w:r>
      <w:r>
        <w:t xml:space="preserve"> and in Sweden, register data show that annual exits among teachers, preschool teachers, nurses and police are alike </w:t>
      </w:r>
      <w:r>
        <w:rPr>
          <w:color w:val="0563C1"/>
        </w:rPr>
        <w:t xml:space="preserve">(Adermon and Laun, 2018)</w:t>
      </w:r>
      <w:r>
        <w:t xml:space="preserve">.</w:t>
      </w:r>
    </w:p>
    <w:p>
      <w:pPr>
        <w:spacing w:after="160" w:line="264"/>
        <w:jc w:val="both"/>
      </w:pPr>
      <w:r>
        <w: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 xml:space="preserve">(UNESCO, 2024; Carver-Thomas and Darling-Hammond, 2019; Nguyen, Lam and Bruno, 2024)</w:t>
      </w:r>
      <w:r>
        <w:t xml:space="preserve">. The magnitude of this policy margin depends, in fact, on the baseline leaving and retirement rates, since in countries such as France, Greece, Ireland or Israel, whose low leaving rates are almost solely explained by retirement, its potential is scarce </w:t>
      </w:r>
      <w:r>
        <w:rPr>
          <w:color w:val="0563C1"/>
        </w:rPr>
        <w:t xml:space="preserve">(OECD, 2025a)</w:t>
      </w:r>
      <w:r>
        <w:t xml:space="preserve">. Nonetheless, beyond short-run relief to shortages, returners and retired teachers can bring benefits of their own, such as experience that spills over to colleagues, mentorship for beginning teachers and tutoring roles with experimental backing </w:t>
      </w:r>
      <w:r>
        <w:rPr>
          <w:color w:val="0563C1"/>
        </w:rPr>
        <w:t xml:space="preserve">(Papay et al., 2020; DeCesare et al., 2017; Nickow, Oreopoulos and Quan, 2024)</w:t>
      </w:r>
      <w:r>
        <w:t xml:space="preserve">, described in depth in Section 3.</w:t>
      </w:r>
    </w:p>
    <w:p>
      <w:pPr>
        <w:pStyle w:val="Heading2"/>
        <w:spacing w:after="140" w:before="260"/>
      </w:pPr>
      <w:r>
        <w:rPr>
          <w:rFonts w:ascii="Garamond" w:cs="Garamond" w:eastAsia="Garamond" w:hAnsi="Garamond"/>
          <w:b/>
          <w:bCs/>
          <w:color w:val="04629A"/>
          <w:sz w:val="25"/>
          <w:szCs w:val="25"/>
        </w:rPr>
        <w:t xml:space="preserve">2.2 Determinants of teachers leaving</w:t>
      </w:r>
    </w:p>
    <w:p>
      <w:pPr>
        <w:spacing w:after="160" w:line="264"/>
        <w:jc w:val="both"/>
      </w:pPr>
      <w:r>
        <w: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and in the way motives are grouped. Building on a comprehensive review of this literature and on recent meta-analyses </w:t>
      </w:r>
      <w:r>
        <w:rPr>
          <w:color w:val="0563C1"/>
        </w:rPr>
        <w:t xml:space="preserve">(Nguyen et al., 2020; Gundlach, Slemp and Hattie, 2024)</w:t>
      </w:r>
      <w:r>
        <w:t xml:space="preserve">, this paper classifies the reasons into six areas, defined by the domain to which each belongs and by the authority with the capacity to intervene in it (Table 1).</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Salary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childbirth; health and incapacity; relocation and a partner's circumstances; retirement and career stage</w:t>
            </w:r>
          </w:p>
        </w:tc>
      </w:tr>
    </w:tbl>
    <w:p>
      <w:pPr>
        <w:spacing w:after="60" w:line="264"/>
        <w:jc w:val="both"/>
      </w:pPr>
      <w:r>
        <w:rPr>
          <w:sz w:val="17"/>
          <w:szCs w:val="17"/>
        </w:rPr>
        <w:t xml:space="preserve">Source: Authors' elaboration on the literature reviewed in this section.</w:t>
      </w:r>
    </w:p>
    <w:p>
      <w:pPr>
        <w:spacing w:after="160" w:line="264"/>
        <w:jc w:val="both"/>
      </w:pPr>
      <w:r>
        <w:t xml:space="preserve">These six areas group motives that range from the meaning teachers attach to their work to the rules under which they are employed, and the evidence does not weigh them equally. In the meta-analyses that pool the correlates of observed departure, the factors attached to the school carry more weight than the personal characteristics of the teacher, and teachers in schools with better working conditions face roughly half the odds of leaving, while class size, the variable public debate returns to most readily, shows no association at all </w:t>
      </w:r>
      <w:r>
        <w:rPr>
          <w:color w:val="0563C1"/>
        </w:rPr>
        <w:t xml:space="preserve">(Nguyen et al., 2020)</w:t>
      </w:r>
      <w:r>
        <w:t xml:space="preserve">. The strength of many of these associations also changes with the outcome measured, since a factor that predicts the intention to leave does not necessarily predict the departure itself </w:t>
      </w:r>
      <w:r>
        <w:rPr>
          <w:color w:val="0563C1"/>
        </w:rPr>
        <w:t xml:space="preserve">(Gundlach, Slemp and Hattie, 2024)</w:t>
      </w:r>
      <w:r>
        <w:t xml:space="preserve">. Both regularities organise the discussion that follows, which walks through the areas in the order of Table 1 while drawing out how they run into one another.</w:t>
      </w:r>
    </w:p>
    <w:p>
      <w:pPr>
        <w:spacing w:after="160" w:line="264"/>
        <w:jc w:val="both"/>
      </w:pPr>
      <w:r>
        <w:t xml:space="preserve">The first area, professional factors, gathers the motives closest to the identity of the occupation, the sense of purpose in the work, the autonomy to exercise it, the standing of the profession and the exposure that has come to accompany it. Asked in their own words, the reason leavers name most often is the loss of commitment to the work itself. In Finland,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5"/>
      </w:r>
      <w:r>
        <w:t xml:space="preserve"> The Finnish setting makes the reading unusually clean, since Finnish teachers hold wide professional autonomy and are paid adequately by national standards, so the complaint that remains once material grievances are subtracted concerns the work's purpose. Professional standing, and the exposure that accompanies its loss, pushes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6"/>
      </w:r>
      <w:r>
        <w:t xml:space="preserve"> The legislature treated the diagnosis as accurate, amending four statutes on the protection of teachers' educational activities in September 2023 </w:t>
      </w:r>
      <w:r>
        <w:rPr>
          <w:color w:val="0563C1"/>
        </w:rPr>
        <w:t xml:space="preserve">(Republic of Korea, 2023)</w:t>
      </w:r>
      <w:r>
        <w:t xml:space="preserve">, although no evaluation yet connects the reform to retention. These are also the least measured motives of the six, resting almost entirely on what teachers themselves report, so their prominence in testimony has, for now, no counterpart in administrative data.</w:t>
      </w:r>
    </w:p>
    <w:p>
      <w:pPr>
        <w:spacing w:after="160" w:line="264"/>
        <w:jc w:val="both"/>
      </w:pPr>
      <w:r>
        <w:t xml:space="preserve">The second area, working conditions, is the most present in public debate, and workload is the reason most declared nearly everywhere the question is asked. Among Dutch teachers who had recently left, 47% named workload, stress and burden ahead of every other category </w:t>
      </w:r>
      <w:r>
        <w:rPr>
          <w:color w:val="0563C1"/>
        </w:rPr>
        <w:t xml:space="preserve">(Van Casteren et al., 2023)</w:t>
      </w:r>
      <w:r>
        <w:t xml:space="preserve">, and workload ranks first among Swedish leavers and second among Australian ones </w:t>
      </w:r>
      <w:r>
        <w:rPr>
          <w:color w:val="0563C1"/>
        </w:rPr>
        <w:t xml:space="preserve">(Statistics Sweden, 2023; Brandenburg et al., 2024)</w:t>
      </w:r>
      <w:r>
        <w:t xml:space="preserve">. What predicts departure, however,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7"/>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discipline measure captures whether rules are applied consistently, whether disruption is contained and whether teachers are free of intimidation, which suggests that the load that expels is not the volume of work but the conditions under which it must be done. It is a first instance of a gap, between what teachers state and what their behaviour reveals, that recurs throughout this section and is examined in Section 2.3.</w:t>
      </w:r>
    </w:p>
    <w:p>
      <w:pPr>
        <w:spacing w:after="160" w:line="264"/>
        <w:jc w:val="both"/>
      </w:pPr>
      <w:r>
        <w:t xml:space="preserve">How much of that load a teacher can lawfully shed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8"/>
      </w:r>
      <w:r>
        <w:t xml:space="preserve"> Where hours can be reduced, an overloaded teacher can buy relief without resigning; where they cannot, the same complaint has only one margin left. The margin matters beyond workload itself, since reduced hours are also the door through which family responsibilities and teaching are reconciled, which ties this area to the personal factors examined below. No study yet estimates what part-time access does to teacher exit, which leaves one of the most widespread working-conditions instruments without an evaluated effect.</w:t>
      </w:r>
    </w:p>
    <w:p>
      <w:pPr>
        <w:spacing w:after="160" w:line="264"/>
        <w:jc w:val="both"/>
      </w:pPr>
      <w:r>
        <w:t xml:space="preserve">Organisational factors, the third area, play a larger role than the public discussion usually assigns them. School leadership is the reason most often associated with departure across this literature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teachers' perceptions of the school administration carry the greatest influence on retention decisions </w:t>
      </w:r>
      <w:r>
        <w:rPr>
          <w:color w:val="0563C1"/>
        </w:rPr>
        <w:t xml:space="preserve">(Boyd et al., 2011)</w:t>
      </w:r>
      <w:r>
        <w:t xml:space="preserve">, and panel evidence that follows change within the same school over time, where improvements in leadership, expectations and safety were accompanied by falling turnover, is the closest the field has come to separating the leadership effect from the school around it </w:t>
      </w:r>
      <w:r>
        <w:rPr>
          <w:color w:val="0563C1"/>
        </w:rPr>
        <w:t xml:space="preserve">(Kraft, Marinell and Shen-Wei Yee, 2016)</w:t>
      </w:r>
      <w:r>
        <w:t xml:space="preserve">. Leadership also connects this area to the previous one, since the discipline climate that predicts departure in England is largely a product of how a school is run. The other organisational lever is the support given to those who start. Young teachers are more likely to remain in their school if they are mentored by an older teacher at the start of their career; in observational research, those who receive mentoring leave less often, with the odds of departure at about three quarters of those of unmentored colleagues </w:t>
      </w:r>
      <w:r>
        <w:rPr>
          <w:color w:val="0563C1"/>
        </w:rPr>
        <w:t xml:space="preserve">(Nguyen et al., 2020)</w:t>
      </w:r>
      <w:r>
        <w:t xml:space="preserve">, and England's evaluation of the Early Career Framework, which entitles every new teacher to two years of structured mentoring, estimated 4.4 additional percentage points of retention in the original school after two years </w:t>
      </w:r>
      <w:r>
        <w:rPr>
          <w:color w:val="0563C1"/>
        </w:rPr>
        <w:t xml:space="preserve">(Walker et al., 2024)</w:t>
      </w:r>
      <w:r>
        <w:t xml:space="preserve">.</w:t>
      </w:r>
    </w:p>
    <w:p>
      <w:pPr>
        <w:spacing w:after="160" w:line="264"/>
        <w:jc w:val="both"/>
      </w:pPr>
      <w:r>
        <w:t xml:space="preserve">The fourth area covers the accountability and regulation under which schools and teachers operate. External inspection is the clearest case, and England, which holds both a published inspection judgement and a linked workforce census, allows the declared and the observed weight of this motive to be compared, as 30% of surveyed teachers report having considered leaving after their last inspection </w:t>
      </w:r>
      <w:r>
        <w:rPr>
          <w:color w:val="0563C1"/>
        </w:rPr>
        <w:t xml:space="preserve">(Perryman et al., 2025)</w:t>
      </w:r>
      <w:r>
        <w:t xml:space="preserve">, whereas an inadequate judgement raises observed turnover by 3.4 percentage points, about a quarter of its average level, and an outstanding one does not reduce it </w:t>
      </w:r>
      <w:r>
        <w:rPr>
          <w:color w:val="0563C1"/>
        </w:rPr>
        <w:t xml:space="preserve">(Sims, 2016)</w:t>
      </w:r>
      <w:r>
        <w:t xml:space="preserve">. The gap between the two numbers repeats the pattern already seen with workload. Regulation also weighs at the other end of the door, since certification rules decide how costly a return is once a teacher has left; certificates lapse with time out of the classroom, and the cost of restoring them becomes part of any decision to come back, a margin that reappears in Section 2.4 and in Section 3.</w:t>
      </w:r>
    </w:p>
    <w:p>
      <w:pPr>
        <w:spacing w:after="160" w:line="264"/>
        <w:jc w:val="both"/>
      </w:pPr>
      <w:r>
        <w:t xml:space="preserve">The financial factors are the most extensively studied of the six, and the best identified, because pay and pensions are set centrally and their reforms create the discontinuities that research can exploit. 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and why the shortages most systems report are shortages of physics, mathematics and computing teachers before they are shortages of teachers in general. Where pay has been tested causally, money retains. A Norwegian premium of about 10% for schools with recruitment difficulties cut voluntary quits by around a third of their level </w:t>
      </w:r>
      <w:r>
        <w:rPr>
          <w:color w:val="0563C1"/>
        </w:rPr>
        <w:t xml:space="preserve">(Falch, 2011)</w:t>
      </w:r>
      <w:r>
        <w:t xml:space="preserve">; English payments of GBP 2 000 a year after tax made eligible mathematics and physics teachers 23% less likely to leave </w:t>
      </w:r>
      <w:r>
        <w:rPr>
          <w:color w:val="0563C1"/>
        </w:rPr>
        <w:t xml:space="preserve">(Sims and Benhenda, 2022)</w:t>
      </w:r>
      <w:r>
        <w:t xml:space="preserve">; a North Carolina bonus for mathematics, science and special-education teachers in high-poverty schools lowered turnover in the target group by about 17% </w:t>
      </w:r>
      <w:r>
        <w:rPr>
          <w:color w:val="0563C1"/>
        </w:rPr>
        <w:t xml:space="preserve">(Clotfelter et al., 2008)</w:t>
      </w:r>
      <w:r>
        <w:t xml:space="preserve">. The reductions run from 9% to 23% across these programmes,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2).</w:t>
      </w:r>
      <w:r>
        <w:rPr>
          <w:rStyle w:val="FootnoteReference"/>
        </w:rPr>
        <w:footnoteReference w:id="9"/>
      </w:r>
    </w:p>
    <w:p>
      <w:pPr>
        <w:spacing w:after="160" w:line="264"/>
        <w:jc w:val="both"/>
      </w:pPr>
      <w:r>
        <w:rPr>
          <w:b/>
          <w:bCs/>
        </w:rPr>
        <w:t xml:space="preserve">Figure 2.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line="264"/>
        <w:jc w:val="both"/>
      </w:pPr>
      <w:r>
        <w:rPr>
          <w:sz w:val="17"/>
          <w:szCs w:val="17"/>
        </w:rPr>
        <w:t xml:space="preserve">Source: </w:t>
      </w:r>
      <w:r>
        <w:rPr>
          <w:color w:val="0563C1"/>
          <w:sz w:val="17"/>
          <w:szCs w:val="17"/>
        </w:rPr>
        <w:t xml:space="preserve">OECD (2025d)</w:t>
      </w:r>
      <w:r>
        <w:rPr>
          <w:sz w:val="17"/>
          <w:szCs w:val="17"/>
        </w:rPr>
        <w:t xml:space="preserve">, Education at a Glance 2025, Table D3.2.</w:t>
      </w:r>
    </w:p>
    <w:p>
      <w:pPr>
        <w:spacing w:after="160" w:line="264"/>
        <w:jc w:val="both"/>
      </w:pPr>
      <w:r>
        <w:t xml:space="preserve">Salary trajectories after leaving differ systematically by destination, and the distinction reads directly on the outside option. Those who remain within the education sector, the majority everywhere this has been measured, experience small salary changes; those who abandon the sector face a far more dispersed distribution of outcomes, with thick tails at both ends, and the upper tail is concentrated among men and among shortage specialisations. United States tax records show mean earnings still slightly below pre-exit teaching pay eight years after departure, with about one fifth of leavers not employed at all, the bottom quartile of employed leavers under USD 20 000 a year and the top quartile out-earning nearly all of those who stayed </w:t>
      </w:r>
      <w:r>
        <w:rPr>
          <w:color w:val="0563C1"/>
        </w:rPr>
        <w:t xml:space="preserve">(Brummet et al., 2024)</w:t>
      </w:r>
      <w:r>
        <w:t xml:space="preserve">.</w:t>
      </w:r>
      <w:r>
        <w:rPr>
          <w:rStyle w:val="FootnoteReference"/>
        </w:rPr>
        <w:footnoteReference w:id="10"/>
      </w:r>
      <w:r>
        <w:t xml:space="preserve"> Florida records give the same shape by destination, with the ratio of the ninetieth to the fiftieth percentile of earnings rising from 1.3 to 1.8 among leavers to other industries and unchanged among those who moved within the sector </w:t>
      </w:r>
      <w:r>
        <w:rPr>
          <w:color w:val="0563C1"/>
        </w:rPr>
        <w:t xml:space="preserve">(Chingos and West, 2012)</w:t>
      </w:r>
      <w:r>
        <w:t xml:space="preserve">, and the earlier state studies of Georgia and Missouri concluded that very few exiting teachers took jobs paying more than their teaching salaries </w:t>
      </w:r>
      <w:r>
        <w:rPr>
          <w:color w:val="0563C1"/>
        </w:rPr>
        <w:t xml:space="preserve">(Scafidi, Sjoquist and Stinebrickner, 2006; Podgursky, Monroe and Watson, 2004)</w:t>
      </w:r>
      <w:r>
        <w:t xml:space="preserve">. Danish register data and Australian panel data agree in direction, at around 6% below previous pay </w:t>
      </w:r>
      <w:r>
        <w:rPr>
          <w:color w:val="0563C1"/>
        </w:rPr>
        <w:t xml:space="preserve">(ROCKWOOL Fonden, 2025; Cuervo and Vera-Toscano, 2025)</w:t>
      </w:r>
      <w:r>
        <w:t xml:space="preserve">. England is the partial exception, where leavers out-earn their own last teaching salary by 7% after one year and 21% after ten, and still fall behind comparable teachers who stayed, whose earnings grew 37% over the same decade </w:t>
      </w:r>
      <w:r>
        <w:rPr>
          <w:color w:val="0563C1"/>
        </w:rPr>
        <w:t xml:space="preserve">(Worth and McLean, 2022)</w:t>
      </w:r>
      <w:r>
        <w:t xml:space="preserve">.</w:t>
      </w:r>
    </w:p>
    <w:p>
      <w:pPr>
        <w:spacing w:after="160" w:line="264"/>
        <w:jc w:val="both"/>
      </w:pPr>
      <w:r>
        <w:t xml:space="preserve">Pay is only half of the financial area. In most pension schemes covering teachers, retiring before the age the rules set reduces the pension, and retiring later barely increases it, so teacher retirements cluster around that age, which is a parameter of the regulation and not of individual preferences. The mechanism is the shape of accrual. Pension wealth does not accumulate at the same pace across a career; in defined-benefit schemes it grows slowly through most of the career, very fast in the years immediately before the full-pension age, and hardly at all afterwards, so that one more year of work can be worth a great deal at 54 and almost nothing at 60 </w:t>
      </w:r>
      <w:r>
        <w:rPr>
          <w:color w:val="0563C1"/>
        </w:rPr>
        <w:t xml:space="preserve">(Costrell and Podgursky, 2009)</w:t>
      </w:r>
      <w:r>
        <w:t xml:space="preserve">. The profile is not particular to the United States. Accrual concentrated around rule-set ages is documented in the civil-service teacher schemes of Germany, France, Spain, Portugal and Austria and in the legacy schemes of England and Ontario, while notional and funded defined-contribution systems, as in Sweden, Australia and post-reform Norway, are close to actuarially neutral and spread retirements accordingly </w:t>
      </w:r>
      <w:r>
        <w:rPr>
          <w:color w:val="0563C1"/>
        </w:rPr>
        <w:t xml:space="preserve">(OECD, 2025e)</w:t>
      </w:r>
      <w:r>
        <w:t xml:space="preserve">.</w:t>
      </w:r>
      <w:r>
        <w:rPr>
          <w:rStyle w:val="FootnoteReference"/>
        </w:rPr>
        <w:footnoteReference w:id="11"/>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 The retirement peaks visible in the composition of departures in Figure 1 are, in this sense, partly a product of design.</w:t>
      </w:r>
    </w:p>
    <w:p>
      <w:pPr>
        <w:spacing w:after="160" w:line="264"/>
        <w:jc w:val="both"/>
      </w:pPr>
      <w:r>
        <w:t xml:space="preserve">When early retirement carries a pension reduction, teachers postpone it. France's 2003 reform priced early claiming for public servants, and retirement at ages 60 and 61 among secondary teachers fell by around 9 percentage points in the study that exploits the reform's discontinuity </w:t>
      </w:r>
      <w:r>
        <w:rPr>
          <w:color w:val="0563C1"/>
        </w:rPr>
        <w:t xml:space="preserve">(Baraton, Beffy and Fougère, 2011)</w:t>
      </w:r>
      <w:r>
        <w:t xml:space="preserve">; Dutch public employees born after a cut-off date that lowered pension wealth postponed their expected retirement </w:t>
      </w:r>
      <w:r>
        <w:rPr>
          <w:color w:val="0563C1"/>
        </w:rPr>
        <w:t xml:space="preserve">(Montizaan, Cörvers and de Grip, 2010)</w:t>
      </w:r>
      <w:r>
        <w:t xml:space="preserve">. Germany offers the same picture descriptively. After deductions of up to 10.8% were introduced in 2001 for incapacity retirement before the age of 63, the share of teacher retirements taken on incapacity grounds fell from 64% to 28% within three years, and the mean retirement age of teachers rose by three years to 62 </w:t>
      </w:r>
      <w:r>
        <w:rPr>
          <w:color w:val="0563C1"/>
        </w:rPr>
        <w:t xml:space="preserve">(Statistisches Bundesamt, 2005)</w:t>
      </w:r>
      <w:r>
        <w:t xml:space="preserve">, although the series records a coincidence in time with the reform and not an estimated effect.</w:t>
      </w:r>
    </w:p>
    <w:p>
      <w:pPr>
        <w:spacing w:after="160" w:line="264"/>
        <w:jc w:val="both"/>
      </w:pPr>
      <w:r>
        <w:t xml:space="preserve">From an economic perspective, a teacher's lifetime income has two parts, the salary collected while working and the pension collected after retirement. The future pension is an incentive to remain in teaching only to the extent that the teacher values it today, and that valuation and the cost of funding the promise need not coincide. If teachers heavily discount income that lies decades ahead, the state pays dearly for an instrument that retains little, and the same money would retain more if paid as current salary. The evidence leaves the valuation open. When Illinois teachers were offered the chance to buy additional pension rights at a stated price, their willingness to pay was about 20 cents per dollar of present value </w:t>
      </w:r>
      <w:r>
        <w:rPr>
          <w:color w:val="0563C1"/>
        </w:rPr>
        <w:t xml:space="preserve">(Fitzpatrick, 2015)</w:t>
      </w:r>
      <w:r>
        <w:t xml:space="preserve">, while following the same cohort to retirement points to a much higher valuation </w:t>
      </w:r>
      <w:r>
        <w:rPr>
          <w:color w:val="0563C1"/>
        </w:rPr>
        <w:t xml:space="preserve">(Ni, Podgursky and Wang, 2022)</w:t>
      </w:r>
      <w:r>
        <w:t xml:space="preserve">.</w:t>
      </w:r>
      <w:r>
        <w:rPr>
          <w:rStyle w:val="FootnoteReference"/>
        </w:rPr>
        <w:footnoteReference w:id="12"/>
      </w:r>
      <w:r>
        <w:t xml:space="preserve"> What the quasi-experimental record does establish is that pension generosity retains selectively. Enhancements and cuts to deferred benefits move separations little among younger public employees, and teachers have been the least responsive occupation studied </w:t>
      </w:r>
      <w:r>
        <w:rPr>
          <w:color w:val="0563C1"/>
        </w:rPr>
        <w:t xml:space="preserve">(Koedel and Xiang, 2017; Quinby and Wettstein, 2021)</w:t>
      </w:r>
      <w:r>
        <w:t xml:space="preserve">, which is consistent with deferred pay binding those close to the accrual spike and doing little, per unit of cost, for the early-career teachers among whom attrition is highest.</w:t>
      </w:r>
    </w:p>
    <w:p>
      <w:pPr>
        <w:spacing w:after="160" w:line="264"/>
        <w:jc w:val="both"/>
      </w:pPr>
      <w:r>
        <w:t xml:space="preserve">The last area, personal and life-course factors, is where teaching meets the rest of a life, and the birth of a child is one of the main reasons female teachers leave.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3"/>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where 43% of teachers work part-time, or the Netherlands, where about a quarter of female primary teachers work full-time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60" w:line="264"/>
        <w:jc w:val="both"/>
      </w:pPr>
      <w:r>
        <w:t xml:space="preserve">What the law does around that event varies as much as the part-time rules already discussed.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4"/>
      </w:r>
      <w:r>
        <w:t xml:space="preserve"> In the Spanish design, childbirth interrupts a teaching career without ending it, and the returner population is by construction on leave; in the American design, the same event forces an exit that the system then has to reverse through re-employment. The area also frames the career as a whole. Departure is most frequent in the first years of teaching, falls through mid-career and rises again as retirement approaches, a profile documented across the 46 studies of an early systematic review </w:t>
      </w:r>
      <w:r>
        <w:rPr>
          <w:color w:val="0563C1"/>
        </w:rPr>
        <w:t xml:space="preserve">(Guarino, Santibañez and Daley, 2006)</w:t>
      </w:r>
      <w:r>
        <w:t xml:space="preserve">. The early peak reflects sorting, as entrants discover whether the job matches what they trained for; the late peak reflects the pension rules just examined; between the two sits the long stretch of stable mid-career service where most of the potential returner population accumulates.</w:t>
      </w:r>
    </w:p>
    <w:p>
      <w:pPr>
        <w:spacing w:after="160" w:line="264"/>
        <w:jc w:val="both"/>
      </w:pPr>
      <w:r>
        <w:t xml:space="preserve">Read together, the six areas do not weigh equally, and their imbalance is itself a finding. The school-attached factors, conditions, leadership and pupil behaviour, carry the most weight in observed departures; the financial ones are the best identified and bind most strongly at particular ages; the professional and family motives dominate what teachers say and remain the hardest to verify. Nor does the ranking settle what policy should do about departure, since who leaves matters as much as how many, and the two readings pull in opposite directions. Where low-performing teachers were induced to leave, their replacements raised student achievement by 0.21 standard deviations in mathematics and 0.14 in reading </w:t>
      </w:r>
      <w:r>
        <w:rPr>
          <w:color w:val="0563C1"/>
        </w:rPr>
        <w:t xml:space="preserve">(Adnot et al., 2017)</w:t>
      </w:r>
      <w:r>
        <w:t xml:space="preserve">, while high turnover harms achievement where it clusters, in disadvantaged schools most of all </w:t>
      </w:r>
      <w:r>
        <w:rPr>
          <w:color w:val="0563C1"/>
        </w:rPr>
        <w:t xml:space="preserve">(Ronfeldt, Loeb and Wyckoff, 2013)</w:t>
      </w:r>
      <w:r>
        <w:t xml:space="preserve">. For re-entry policy, finally, the map of motives is a map of instruments, because each area points to the authority able to act on it, and Section 3 orders the policies accordingly.</w:t>
      </w:r>
    </w:p>
    <w:p>
      <w:pPr>
        <w:pStyle w:val="Heading2"/>
        <w:spacing w:after="140" w:before="260"/>
      </w:pPr>
      <w:r>
        <w:rPr>
          <w:rFonts w:ascii="Garamond" w:cs="Garamond" w:eastAsia="Garamond" w:hAnsi="Garamond"/>
          <w:b/>
          <w:bCs/>
          <w:color w:val="04629A"/>
          <w:sz w:val="25"/>
          <w:szCs w:val="25"/>
        </w:rPr>
        <w:t xml:space="preserve">2.3 Stated and revealed preferences</w:t>
      </w:r>
    </w:p>
    <w:p>
      <w:pPr>
        <w:spacing w:after="160" w:line="264"/>
        <w:jc w:val="both"/>
      </w:pPr>
      <w:r>
        <w:t xml:space="preserve">The gaps met throughout the previous section have a common structure, the one to be expected between stated and revealed preferences </w:t>
      </w:r>
      <w:r>
        <w:rPr>
          <w:color w:val="0563C1"/>
        </w:rPr>
        <w:t xml:space="preserve">(Samuelson, 1938)</w:t>
      </w:r>
      <w:r>
        <w:t xml:space="preserve">. Teachers who leave declare workload and personal circumstances as their principal motives and place salary in the middle of the list. Teachers who are considering leaving place salary at or near the top. Observed decisions respond strongly to salary variation. Among American leavers surveyed after departure, higher pay is the fourth most-cited main reason, at 9.5%, behind retirement, personal life and another job </w:t>
      </w:r>
      <w:r>
        <w:rPr>
          <w:color w:val="0563C1"/>
        </w:rPr>
        <w:t xml:space="preserve">(NCES, 2024)</w:t>
      </w:r>
      <w:r>
        <w:t xml:space="preserve">; among serving teachers considering departure it is second, at 60% </w:t>
      </w:r>
      <w:r>
        <w:rPr>
          <w:color w:val="0563C1"/>
        </w:rPr>
        <w:t xml:space="preserve">(Doan et al., 2023)</w:t>
      </w:r>
      <w:r>
        <w:t xml:space="preserve">.</w:t>
      </w:r>
      <w:r>
        <w:rPr>
          <w:rStyle w:val="FootnoteReference"/>
        </w:rPr>
        <w:footnoteReference w:id="15"/>
      </w:r>
      <w:r>
        <w:t xml:space="preserve"> English leavers cite pay at 25% to 34% against 74% to 84% for workload </w:t>
      </w:r>
      <w:r>
        <w:rPr>
          <w:color w:val="0563C1"/>
        </w:rPr>
        <w:t xml:space="preserve">(Department for Education, 2024b)</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are not in contradiction; they measure the narrative a person gives, the plan a person holds and the choice a person makes, and pay weighs least in the first and most in the last. The contrast between stated and revealed preferences is therefore drawn in this paper on realised exits, and not on plans.</w:t>
      </w:r>
    </w:p>
    <w:p>
      <w:pPr>
        <w:spacing w:after="160" w:line="264"/>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6"/>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2025b; OECD, 2025a)</w:t>
      </w:r>
      <w:r>
        <w:t xml:space="preserve">.</w:t>
      </w:r>
    </w:p>
    <w:p>
      <w:pPr>
        <w:spacing w:after="160" w:line="264"/>
        <w:jc w:val="both"/>
      </w:pPr>
      <w:r>
        <w:t xml:space="preserve">Intention data retain one comparative advantage all the same. Although only one in three or four of those declaring an intention actually leaves, TALIS collects, for every participating system, both the intention to leave and a wide set of declared factors, from sources of stress to satisfaction with pay and autonomy, so the association between motives and intended departure can be read on a single questionnaire across many systems, provided the result is treated as an upper bound on realised exits </w:t>
      </w:r>
      <w:r>
        <w:rPr>
          <w:color w:val="0563C1"/>
        </w:rPr>
        <w:t xml:space="preserve">(OECD, 2025b)</w:t>
      </w:r>
      <w:r>
        <w:t xml:space="preserve">.</w:t>
      </w:r>
    </w:p>
    <w:p>
      <w:pPr>
        <w:pStyle w:val="Heading2"/>
        <w:spacing w:after="140" w:before="260"/>
      </w:pPr>
      <w:r>
        <w:rPr>
          <w:rFonts w:ascii="Garamond" w:cs="Garamond" w:eastAsia="Garamond" w:hAnsi="Garamond"/>
          <w:b/>
          <w:bCs/>
          <w:color w:val="04629A"/>
          <w:sz w:val="25"/>
          <w:szCs w:val="25"/>
        </w:rPr>
        <w:t xml:space="preserve">2.4 Destinations after leaving</w:t>
      </w:r>
    </w:p>
    <w:p>
      <w:pPr>
        <w:spacing w:after="160" w:line="264"/>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where over two fifths of leavers hold jobs in school education or in other education, health and social assistance work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The modern former teacher is usually still employed, often nearby, and reachable through the same administrative systems that already pay or license them.</w:t>
      </w:r>
    </w:p>
    <w:p>
      <w:pPr>
        <w:spacing w:after="160" w:line="264"/>
        <w:jc w:val="both"/>
      </w:pPr>
      <w:r>
        <w:rPr>
          <w:b/>
          <w:bCs/>
        </w:rPr>
        <w:t xml:space="preserve">Box 2.1. Where American leavers go</w:t>
      </w:r>
    </w:p>
    <w:p>
      <w:pPr>
        <w:spacing w:after="160" w:line="264"/>
        <w:jc w:val="both"/>
      </w:pPr>
      <w:r>
        <w:t xml:space="preserve">The United States offers the most complete accounting of destinations, because district records can be linked to federal tax data. Followed for eight years after departure, more than half of leavers remain in education in a broad sense, in other districts, private schools or education-adjacent work; about one fifth hold no employment at all; and fewer than a quarter work outside education altogether, the group in which earnings disperse most </w:t>
      </w:r>
      <w:r>
        <w:rPr>
          <w:color w:val="0563C1"/>
        </w:rPr>
        <w:t xml:space="preserve">(Brummet et al., 2024)</w:t>
      </w:r>
      <w:r>
        <w:t xml:space="preserve">. [Figure to be inserted: destinations of United States leavers.]</w:t>
      </w:r>
    </w:p>
    <w:p>
      <w:pPr>
        <w:spacing w:after="160" w:line="264"/>
        <w:jc w:val="both"/>
      </w:pPr>
      <w:r>
        <w:t xml:space="preserve">The population of former teachers is large wherever it has been counted, and the gross count overstates the usable reserve, which discounts expired certificates and specialisations without vacancies. Michigan holds 141 810 certified teachers, of whom 61 252 do not teach in a public school, and half of those hold expired certificates, against 6% of active teachers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7"/>
      </w:r>
      <w:r>
        <w:t xml:space="preserve"> What a return offer can expect depends on why each person left. In Scotland, most of the teachers interviewed at length had left after an accumulation of pressures with no single trigger, and with their vocational commitment intact </w:t>
      </w:r>
      <w:r>
        <w:rPr>
          <w:color w:val="0563C1"/>
        </w:rPr>
        <w:t xml:space="preserve">(Hulme et al., 2026)</w:t>
      </w:r>
      <w:r>
        <w:t xml:space="preserve">, which suggests that the reserve contains people for whom the question is the conditions of a return and people for whom it is closed. It is to that population, and to the instruments aimed at it,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160" w:line="264"/>
        <w:jc w:val="both"/>
      </w:pPr>
      <w:r>
        <w:t xml:space="preserve">My proposed labeling/characterization of initiatives and policies is the following:</w:t>
      </w:r>
    </w:p>
    <w:p>
      <w:pPr>
        <w:spacing w:after="70"/>
        <w:ind w:left="280" w:hanging="280"/>
      </w:pPr>
      <w:r>
        <w:rPr>
          <w:sz w:val="20"/>
          <w:szCs w:val="20"/>
        </w:rPr>
        <w:t xml:space="preserve">Regulatory / legal</w:t>
      </w:r>
    </w:p>
    <w:p>
      <w:pPr>
        <w:spacing w:after="70"/>
        <w:ind w:left="280" w:hanging="280"/>
      </w:pPr>
      <w:r>
        <w:rPr>
          <w:sz w:val="20"/>
          <w:szCs w:val="20"/>
        </w:rPr>
        <w:t xml:space="preserve">Financial incentives</w:t>
      </w:r>
    </w:p>
    <w:p>
      <w:pPr>
        <w:spacing w:after="70"/>
        <w:ind w:left="280" w:hanging="280"/>
      </w:pPr>
      <w:r>
        <w:rPr>
          <w:sz w:val="20"/>
          <w:szCs w:val="20"/>
        </w:rPr>
        <w:t xml:space="preserve">Information &amp; nudges</w:t>
      </w:r>
    </w:p>
    <w:p>
      <w:pPr>
        <w:spacing w:after="70"/>
        <w:ind w:left="280" w:hanging="280"/>
      </w:pPr>
      <w:r>
        <w:rPr>
          <w:sz w:val="20"/>
          <w:szCs w:val="20"/>
        </w:rPr>
        <w:t xml:space="preserve">Support &amp; training</w:t>
      </w:r>
    </w:p>
    <w:p>
      <w:pPr>
        <w:spacing w:after="70"/>
        <w:ind w:left="280" w:hanging="280"/>
      </w:pPr>
      <w:r>
        <w:rPr>
          <w:sz w:val="20"/>
          <w:szCs w:val="20"/>
        </w:rPr>
        <w:t xml:space="preserve">Flexible positions</w:t>
      </w:r>
    </w:p>
    <w:p>
      <w:pPr>
        <w:spacing w:after="70"/>
        <w:ind w:left="280" w:hanging="280"/>
      </w:pPr>
      <w:r>
        <w:rPr>
          <w:sz w:val="20"/>
          <w:szCs w:val="20"/>
        </w:rPr>
        <w:t xml:space="preserve">Flexible re-certification</w:t>
      </w:r>
    </w:p>
    <w:p>
      <w:pPr>
        <w:pStyle w:val="Heading1"/>
        <w:pageBreakBefore/>
        <w:spacing w:after="220" w:before="0"/>
      </w:pPr>
      <w:r>
        <w:rPr>
          <w:rFonts w:ascii="Garamond" w:cs="Garamond" w:eastAsia="Garamond" w:hAnsi="Garamond"/>
          <w:b/>
          <w:bCs/>
          <w:color w:val="04629A"/>
          <w:sz w:val="30"/>
          <w:szCs w:val="30"/>
        </w:rPr>
        <w:t xml:space="preserve">4. Conclusions</w:t>
      </w:r>
    </w:p>
    <w:p>
      <w:pPr>
        <w:pStyle w:val="Heading2"/>
        <w:spacing w:after="140" w:before="26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pPr>
        <w:spacing w:after="70"/>
        <w:ind w:left="280" w:hanging="280"/>
      </w:pPr>
      <w:r>
        <w:rPr>
          <w:sz w:val="20"/>
          <w:szCs w:val="20"/>
        </w:rPr>
        <w:t xml:space="preserve">Adnot, M., T. Dee, V. Katz and J. Wyckoff (2017), "Teacher turnover, teacher quality, and student achievement in DCPS", *Educational Evaluation and Policy Analysis*, Vol. 39/1, pp. 54-76, https://doi.org/10.3102/0162373716663646.</w:t>
      </w:r>
    </w:p>
    <w:p>
      <w:pPr>
        <w:spacing w:after="70"/>
        <w:ind w:left="280" w:hanging="280"/>
      </w:pPr>
      <w:r>
        <w:rPr>
          <w:sz w:val="20"/>
          <w:szCs w:val="20"/>
        </w:rPr>
        <w:t xml:space="preserve">AE (2024), *Mange nye folkeskolelærere forlader folkeskolen på få år*, Arbejderbevægelsens Erhvervsråd, Copenhagen, https://www.ae.dk/analyse/2024-06-mange-nye-folkeskolelaerere-forlader-folkeskolen-paa-faa-aar.</w:t>
      </w:r>
    </w:p>
    <w:p>
      <w:pPr>
        <w:spacing w:after="70"/>
        <w:ind w:left="280" w:hanging="280"/>
      </w:pPr>
      <w:r>
        <w:rPr>
          <w:sz w:val="20"/>
          <w:szCs w:val="20"/>
        </w:rPr>
        <w:t xml:space="preserve">Aldeman, C. and S. Yi (2025), "Are teachers abandoning teaching? Data show teacher turnover remains low", *Education Next*, 18 December 2025, https://www.educationnext.org/are-teachers-abandoning-teaching-data-show-teacher-turnover-remains-low/.</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Björnsdóttir, A. and B. Hansen (2024), study of teacher retention and departure in Iceland using Statistics Iceland register data 1998-2020, *Netla — Veftímarit um uppeldi og menntun*, Reykjavik. [Full bibliographic details to be completed before publication.]</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Buckley, J. and S. Griselda (2025), *Who Stays, Who Goes? A New Look at Teacher Attrition Using Administrative Data*, e61 Institute Research Note, Sydney, https://e61.in/who-stays-who-goes-a-new-look-at-teacher-attrition-using-administrative-data/.</w:t>
      </w:r>
    </w:p>
    <w:p>
      <w:pPr>
        <w:spacing w:after="70"/>
        <w:ind w:left="280" w:hanging="280"/>
      </w:pPr>
      <w:r>
        <w:rPr>
          <w:sz w:val="20"/>
          <w:szCs w:val="20"/>
        </w:rPr>
        <w:t xml:space="preserve">Carver-Thomas, D. and L. Darling-Hammond (2019), "The trouble with teacher turnover: How teacher attrition affects students and schools", *Education Policy Analysis Archives*, Vol. 27/36, https://doi.org/10.14507/epaa.27.3699.</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CBS Israel (2023), *Teaching Staff Leaving the Education System*, Central Bureau of Statistics, Jerusalem, https://www.cbs.gov.il/. [Full bibliographic details to be completed before publication.]</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DeCesare, D., A. McClelland and B. Randel (2017), *Impacts of the Retired Mentors for New Teachers Program*, REL 2017-225, Regional Educational Laboratory Central, Institute of Education Sciences, U.S. Department of Education, Washington, DC, https://ies.ed.gov/ncee/edlabs.</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(2024a), *School Workforce in England: Reporting Year 2023*, National Statistics, London, https://explore-education-statistics.service.gov.uk/find-statistics/school-workforce-in-england.</w:t>
      </w:r>
    </w:p>
    <w:p>
      <w:pPr>
        <w:spacing w:after="70"/>
        <w:ind w:left="280" w:hanging="280"/>
      </w:pPr>
      <w:r>
        <w:rPr>
          <w:sz w:val="20"/>
          <w:szCs w:val="20"/>
        </w:rPr>
        <w:t xml:space="preserve">Department for Education (2024b),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Education Counts (2025), *Teacher Turnover*, New Zealand Ministry of Education, Wellington, https://www.educationcounts.govt.nz/statistics/teacher-turnover.</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Gundlach, H. A. D., G. R. Slemp and J. Hattie (2024), "A meta-analysis of the antecedents of teacher turnover and retention", *Educational Research Review*, Vol. 44, 100606, https://doi.org/10.1016/j.edurev.2024.100606.</w:t>
      </w:r>
    </w:p>
    <w:p>
      <w:pPr>
        <w:spacing w:after="70"/>
        <w:ind w:left="280" w:hanging="280"/>
      </w:pPr>
      <w:r>
        <w:rPr>
          <w:sz w:val="20"/>
          <w:szCs w:val="20"/>
        </w:rPr>
        <w:t xml:space="preserve">Harris, D. N. and S. J. Adams (2007), "Understanding the level and causes of teacher turnover: A comparison with other professions", *Economics of Education Review*, Vol. 26/3, pp. 325-337, https://doi.org/10.1016/j.econedurev.2005.09.007.</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Kindsiko, E. (2023), analysis of teacher attrition in Estonia using EHIS register data 2005/06-2021/22, Arenguseire Keskus, Tallinn.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Madigan, D. J. and L. E. Kim (2021), "Towards an understanding of teacher attrition: A meta-analysis of burnout, job satisfaction, and teachers' intentions to quit", *Teaching and Teacher Education*, Vol. 105, 103425, https://doi.org/10.1016/j.tate.2021.103425.</w:t>
      </w:r>
    </w:p>
    <w:p>
      <w:pPr>
        <w:spacing w:after="70"/>
        <w:ind w:left="280" w:hanging="280"/>
      </w:pPr>
      <w:r>
        <w:rPr>
          <w:sz w:val="20"/>
          <w:szCs w:val="20"/>
        </w:rPr>
        <w:t xml:space="preserve">Ministry of Education Korea (2023), statistics on mid-career teacher separations 2019-2023, Ministry of Education, Sejong. [Full bibliographic details to be completed before publication.]</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C. D. Lam and P. Bruno (2024), "What do we know about the extent of teacher shortages nationwide? A systematic examination of reports of U.S. teacher shortages", *AERA Open*, Vol. 10, https://doi.org/10.1177/23328584241276512.</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Nickow, A., P. Oreopoulos and V. Quan (2024), "The promise of tutoring for PreK-12 learning: A systematic review and meta-analysis of the experimental evidence", *American Educational Research Journal*, Vol. 61/1, pp. 74-107, https://doi.org/10.3102/00028312231208687.</w:t>
      </w:r>
    </w:p>
    <w:p>
      <w:pPr>
        <w:spacing w:after="70"/>
        <w:ind w:left="280" w:hanging="280"/>
      </w:pPr>
      <w:r>
        <w:rPr>
          <w:sz w:val="20"/>
          <w:szCs w:val="20"/>
        </w:rPr>
        <w:t xml:space="preserve">NŠA (2025), teacher demand and supply forecast, Nacionalinė švietimo agentūra, Vilnius. [Full bibliographic details to be completed before publication.]</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 https://doi.org/10.1787/90df6235-en.</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Papay, J. P., E. S. Taylor, J. H. Tyler and M. E. Laski (2020), "Learning job skills from colleagues at work: Evidence from a field experiment using teacher performance data", *American Economic Journal: Economic Policy*, Vol. 12/1, pp. 359-388, https://doi.org/10.1257/pol.20170709.</w:t>
      </w:r>
    </w:p>
    <w:p>
      <w:pPr>
        <w:spacing w:after="70"/>
        <w:ind w:left="280" w:hanging="280"/>
      </w:pPr>
      <w:r>
        <w:rPr>
          <w:sz w:val="20"/>
          <w:szCs w:val="20"/>
        </w:rPr>
        <w:t xml:space="preserve">Perryman, J. et al. (2025), "'A tipping point' in teacher retention and accountability: The case of inspection", *British Journal of Educational Studies*, Vol. 73/2, pp. 181-200, https://doi.org/10.1080/00071005.2024.2439791.</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Norway (2025), articles on the labour-market attachment of trained teachers, Statistisk sentralbyrå, Oslo, https://www.ssb.no/. [Full bibliographic details to be completed before publication.]</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Statistisches Bundesamt (2005), *Lehrkräfte gehen mit durchschnittlich 62 Jahren in Pension*, press release, Destatis, Wiesbaden. [Archived release to be obtained before publication.]</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UNESCO (2024), *Global Report on Teachers: Addressing Teacher Shortages and Transforming the Profession*, UNESCO and the International Task Force on Teachers for Education 2030, Paris, https://doi.org/10.54675/FIGU8035.</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Vansteenkiste, S. (2025), *De in- en uitstroom in het lerarenberoep vanuit vergelijkend perspectief*, Steunpunt Onderwijsonderzoek, Leuven.</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Figure 1 measures departure from the profession, defined as fully qualified teachers who left by resigning or retiring during the reference year. It excludes movement between schools, so these rates are not comparable with turnover statistics, which combine leavers with movers and therefore run higher. The published notes to Table D8.4 apply: primary and lower secondary are combined, and upper secondary excluded, in Denmark; upper secondary is excluded in Israel and upper secondary vocational education in the Netherlands; pre-primary includes early childhood development programmes in Iceland; the reference year is 2021/22 for Denmark, France, England and New Zealand; figures include non-fully qualified teachers in the Netherlands, New Zealand and the Flemish Community of Belgium; and the United States counts as leavers teachers appointed to other positions in the education sector </w:t>
      </w:r>
      <w:r>
        <w:rPr>
          <w:color w:val="0563C1"/>
          <w:sz w:val="18"/>
          <w:szCs w:val="18"/>
        </w:rPr>
        <w:t xml:space="preserve">(OECD, 2025a)</w:t>
      </w:r>
      <w:r>
        <w:rPr>
          <w:sz w:val="18"/>
          <w:szCs w:val="18"/>
        </w:rPr>
        <w:t xml:space="preserve">.</w:t>
      </w:r>
    </w:p>
  </w:footnote>
  <w:footnote w:id="2">
    <w:p>
      <w:pPr>
        <w:spacing w:after="60"/>
        <w:jc w:val="both"/>
      </w:pPr>
      <w:r>
        <w:rPr>
          <w:rStyle w:val="FootnoteReference"/>
        </w:rPr>
        <w:footnoteRef/>
      </w:r>
      <w:r>
        <w:rPr>
          <w:sz w:val="18"/>
          <w:szCs w:val="18"/>
        </w:rPr>
        <w:t xml:space="preserve">The two main exceptions are Austria and Estonia, whose rate nearly doubled during the same interval </w:t>
      </w:r>
      <w:r>
        <w:rPr>
          <w:color w:val="0563C1"/>
          <w:sz w:val="18"/>
          <w:szCs w:val="18"/>
        </w:rPr>
        <w:t xml:space="preserve">(OECD, 2025a)</w:t>
      </w:r>
      <w:r>
        <w:rPr>
          <w:sz w:val="18"/>
          <w:szCs w:val="18"/>
        </w:rPr>
        <w:t xml:space="preserve">.</w:t>
      </w:r>
    </w:p>
  </w:footnote>
  <w:footnote w:id="3">
    <w:p>
      <w:pPr>
        <w:spacing w:after="6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since 2015, its successor the National Teacher and Principal Survey (NTPS); the waves are spaced three to five years apart, so the series is discontinuous but covers 1988 to 2022 under a single definition. A continuous annual measure can also be built from the Current Population Survey (CPS), as </w:t>
      </w:r>
      <w:r>
        <w:rPr>
          <w:color w:val="0563C1"/>
          <w:sz w:val="18"/>
          <w:szCs w:val="18"/>
        </w:rPr>
        <w:t xml:space="preserve">Harris and Adams (2007)</w:t>
      </w:r>
      <w:r>
        <w:rPr>
          <w:sz w:val="18"/>
          <w:szCs w:val="18"/>
        </w:rPr>
        <w:t xml:space="preserve"> first did for 1992-2001 and </w:t>
      </w:r>
      <w:r>
        <w:rPr>
          <w:color w:val="0563C1"/>
          <w:sz w:val="18"/>
          <w:szCs w:val="18"/>
        </w:rPr>
        <w:t xml:space="preserve">Aldeman and Yi (2025)</w:t>
      </w:r>
      <w:r>
        <w:rPr>
          <w:sz w:val="18"/>
          <w:szCs w:val="18"/>
        </w:rPr>
        <w:t xml:space="preserve"> extended to 2015-2024, with results consistent with the survey waves.</w:t>
      </w:r>
    </w:p>
  </w:footnote>
  <w:footnote w:id="4">
    <w:p>
      <w:pPr>
        <w:spacing w:after="60"/>
        <w:jc w:val="both"/>
      </w:pPr>
      <w:r>
        <w:rPr>
          <w:rStyle w:val="FootnoteReference"/>
        </w:rPr>
        <w:footnoteRef/>
      </w:r>
      <w:r>
        <w:rPr>
          <w:sz w:val="18"/>
          <w:szCs w:val="18"/>
        </w:rPr>
        <w:t xml:space="preserve">For most countries no historical data exists, as such series require longitudinally linked teacher registers. The series that cover only the last decade move both ways, upward in Denmark, Estonia, Lithuania and Korea and downward in Australia and Chile </w:t>
      </w:r>
      <w:r>
        <w:rPr>
          <w:color w:val="0563C1"/>
          <w:sz w:val="18"/>
          <w:szCs w:val="18"/>
        </w:rPr>
        <w:t xml:space="preserve">(AE, 2024; Kindsiko, 2023; NŠA, 2025; Ministry of Education Korea, 2023; Buckley and Griselda, 2025; CIAE, 2025)</w:t>
      </w:r>
      <w:r>
        <w:rPr>
          <w:sz w:val="18"/>
          <w:szCs w:val="18"/>
        </w:rPr>
        <w:t xml:space="preserve">.</w:t>
      </w:r>
    </w:p>
  </w:footnote>
  <w:footnote w:id="5">
    <w:p>
      <w:pPr>
        <w:spacing w:after="60"/>
        <w:jc w:val="both"/>
      </w:pPr>
      <w:r>
        <w:rPr>
          <w:rStyle w:val="FootnoteReference"/>
        </w:rPr>
        <w:footnoteRef/>
      </w:r>
      <w:r>
        <w:rPr>
          <w:sz w:val="18"/>
          <w:szCs w:val="18"/>
        </w:rPr>
        <w:t xml:space="preserve">The survey followed Finnish comprehensive-school teachers over five years and measured turnover intentions and their stated reasons, not observed exits. About half of respondents reported turnover intentions at some point, and the reason a teacher gave was unstable, since fewer than half of those with persistent intentions named the same factor five years apart.</w:t>
      </w:r>
    </w:p>
  </w:footnote>
  <w:footnote w:id="6">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7">
    <w:p>
      <w:pPr>
        <w:spacing w:after="60"/>
        <w:jc w:val="both"/>
      </w:pPr>
      <w:r>
        <w:rPr>
          <w:rStyle w:val="FootnoteReference"/>
        </w:rPr>
        <w:footnoteRef/>
      </w:r>
      <w:r>
        <w:rPr>
          <w:sz w:val="18"/>
          <w:szCs w:val="18"/>
        </w:rPr>
        <w:t xml:space="preserve">TALIS is the OECD's international survey of teachers and school leaders in primary and lower secondary education. In its 2018 round, 73% of surveyed English teachers consented to having their responses linked to the School Workforce Census, the annual administrative register of the staff of England's state-funded schools, and the matching produced 2 684 linked records at a match rate of 84%. The analysis, commissioned by the Department for Education, is </w:t>
      </w:r>
      <w:r>
        <w:rPr>
          <w:color w:val="0563C1"/>
          <w:sz w:val="18"/>
          <w:szCs w:val="18"/>
        </w:rPr>
        <w:t xml:space="preserve">Sims and Jerrim (2020)</w:t>
      </w:r>
      <w:r>
        <w:rPr>
          <w:sz w:val="18"/>
          <w:szCs w:val="18"/>
        </w:rPr>
        <w:t xml:space="preserve">, available at https://www.gov.uk/government/publications/talis-2018-teacher-working-conditions-turnover-and-attrition.</w:t>
      </w:r>
    </w:p>
  </w:footnote>
  <w:footnote w:id="8">
    <w:p>
      <w:pPr>
        <w:spacing w:after="60"/>
        <w:jc w:val="both"/>
      </w:pPr>
      <w:r>
        <w:rPr>
          <w:rStyle w:val="FootnoteReference"/>
        </w:rPr>
        <w:footnoteRef/>
      </w:r>
      <w:r>
        <w:rPr>
          <w:sz w:val="18"/>
          <w:szCs w:val="18"/>
        </w:rPr>
        <w:t xml:space="preserve">The Dutch entitlement rests on the Wet flexibel werken, under which a request left unanswered past the statutory deadline is deemed granted. The English right to request flexible working sits in Part 8A of the Employment Rights Act 1996, and the eight permissible grounds of refusal include the burden of additional costs and the inability to reorganise work among existing staff.</w:t>
      </w:r>
    </w:p>
  </w:footnote>
  <w:footnote w:id="9">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10">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11">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12">
    <w:p>
      <w:pPr>
        <w:spacing w:after="60"/>
        <w:jc w:val="both"/>
      </w:pPr>
      <w:r>
        <w:rPr>
          <w:rStyle w:val="FootnoteReference"/>
        </w:rPr>
        <w:footnoteRef/>
      </w:r>
      <w:r>
        <w:rPr>
          <w:sz w:val="18"/>
          <w:szCs w:val="18"/>
        </w:rPr>
        <w:t xml:space="preserve">The two estimates bracket the question without resolving it. The willingness-to-pay figure comes from take-up of a real upgrade offer priced against present value; the later study follows the same cohort to retirement and finds that most teachers eventually bought the upgrade and that decliners faced a negative net return given their retirement timing, which implies a valuation far above 20 cents.</w:t>
      </w:r>
    </w:p>
  </w:footnote>
  <w:footnote w:id="13">
    <w:p>
      <w:pPr>
        <w:spacing w:after="60"/>
        <w:jc w:val="both"/>
      </w:pPr>
      <w:r>
        <w:rPr>
          <w:rStyle w:val="FootnoteReference"/>
        </w:rPr>
        <w:footnoteRef/>
      </w:r>
      <w:r>
        <w:rPr>
          <w:sz w:val="18"/>
          <w:szCs w:val="18"/>
        </w:rPr>
        <w:t xml:space="preserve">The maternity-return figures are Department for Education ad hoc statistics for 2016-2019 reported to Parliament; the original statistical release should be verified before publication. In 2022/23, women aged 30 to 39 leaving state-funded schools in England numbered over 9 000, against roughly 3 400 men of the same age.</w:t>
      </w:r>
    </w:p>
  </w:footnote>
  <w:footnote w:id="14">
    <w:p>
      <w:pPr>
        <w:spacing w:after="60"/>
        <w:jc w:val="both"/>
      </w:pPr>
      <w:r>
        <w:rPr>
          <w:rStyle w:val="FootnoteReference"/>
        </w:rPr>
        <w:footnoteRef/>
      </w:r>
      <w:r>
        <w:rPr>
          <w:sz w:val="18"/>
          <w:szCs w:val="18"/>
        </w:rPr>
        <w:t xml:space="preserve">The Spanish provisions are Article 49 </w:t>
      </w:r>
      <w:r>
        <w:rPr>
          <w:color w:val="0563C1"/>
          <w:sz w:val="18"/>
          <w:szCs w:val="18"/>
        </w:rPr>
        <w:t xml:space="preserve">(paid leave, extended to nineteen weeks in 2025)</w:t>
      </w:r>
      <w:r>
        <w:rPr>
          <w:sz w:val="18"/>
          <w:szCs w:val="18"/>
        </w:rPr>
        <w:t xml:space="preserve"> and Article 89.4 (childcare leave with post reservation) of the consolidated public-employment statute; the American floor is the Family and Medical Leave Act, whose school-specific regulations allow a district to keep a teacher on leave until the end of a term in defined circumstances.</w:t>
      </w:r>
    </w:p>
  </w:footnote>
  <w:footnote w:id="15">
    <w:p>
      <w:pPr>
        <w:spacing w:after="60"/>
        <w:jc w:val="both"/>
      </w:pPr>
      <w:r>
        <w:rPr>
          <w:rStyle w:val="FootnoteReference"/>
        </w:rPr>
        <w:footnoteRef/>
      </w:r>
      <w:r>
        <w:rPr>
          <w:sz w:val="18"/>
          <w:szCs w:val="18"/>
        </w:rPr>
        <w:t xml:space="preserve">The two American sources measure different populations with different instruments. The National Center for Education Statistics figure comes from the Teacher Follow-up Survey of 2021-22 former teachers, who choose one main reason; the 60% figure comes from the RAND State of the American Teacher survey of serving teachers, who select all reasons for considering departure, among whom pay ranks first for early-career and Black teachers. A Michigan survey of intending leavers likewise places pay at the top jointly with workload, which illustrates how intention surveys and leaver surveys order the same motives differently.</w:t>
      </w:r>
    </w:p>
  </w:footnote>
  <w:footnote w:id="16">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7">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68ee3184d518b3c2a8afc41f6e6d34f27e4fd1.png"/><Relationship Id="rId10" Type="http://schemas.openxmlformats.org/officeDocument/2006/relationships/image" Target="media/d894ce49220f10738fe877badb562e3def4bba5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2026-09-01T15:33:17.716Z</dcterms:created>
  <dcterms:modified xsi:type="dcterms:W3CDTF">2026-09-01T15:33:17.716Z</dcterms:modified>
</cp:coreProperties>
</file>

<file path=docProps/custom.xml><?xml version="1.0" encoding="utf-8"?>
<Properties xmlns="http://schemas.openxmlformats.org/officeDocument/2006/custom-properties" xmlns:vt="http://schemas.openxmlformats.org/officeDocument/2006/docPropsVTypes"/>
</file>