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color w:val="595959"/>
          <w:sz w:val="22"/>
          <w:szCs w:val="22"/>
        </w:rPr>
        <w:t xml:space="preserve">OECD EDUCATION WORKING PAPERS  No. [XX]</w:t>
      </w:r>
    </w:p>
    <w:p>
      <w:pPr>
        <w:pBdr>
          <w:bottom w:val="single" w:color="04629A" w:sz="8"/>
        </w:pBdr>
        <w:spacing w:after="60"/>
      </w:pPr>
      <w:r>
        <w:rPr>
          <w:sz w:val="8"/>
          <w:szCs w:val="8"/>
        </w:rPr>
        <w:t xml:space="preserve"> </w:t>
      </w:r>
    </w:p>
    <w:p>
      <w:pPr>
        <w:spacing w:after="200" w:before="2200"/>
      </w:pPr>
      <w:r>
        <w:rPr>
          <w:b/>
          <w:bCs/>
          <w:color w:val="04629A"/>
          <w:sz w:val="52"/>
          <w:szCs w:val="52"/>
        </w:rPr>
        <w:t xml:space="preserve">Former Teachers: Barriers, Incentives and Policy Lessons for Re-entry</w:t>
      </w:r>
    </w:p>
    <w:p>
      <w:pPr>
        <w:spacing w:after="1200"/>
      </w:pPr>
      <w:r>
        <w:rPr>
          <w:color w:val="404040"/>
          <w:sz w:val="26"/>
          <w:szCs w:val="26"/>
        </w:rPr>
        <w:t xml:space="preserve">[Author name(s)], Directorate for Education and Skills</w:t>
      </w:r>
    </w:p>
    <w:p>
      <w:pPr>
        <w:spacing w:after="120"/>
      </w:pPr>
      <w:r>
        <w:rPr>
          <w:color w:val="595959"/>
          <w:sz w:val="24"/>
          <w:szCs w:val="24"/>
        </w:rPr>
        <w:t xml:space="preserve">WORKING DRAFT — August 2026</w:t>
      </w:r>
    </w:p>
    <w:p>
      <w:pPr>
        <w:spacing w:after="0"/>
      </w:pPr>
      <w:r>
        <w:rPr>
          <w:color w:val="8C8C8C"/>
          <w:sz w:val="20"/>
          <w:szCs w:val="20"/>
        </w:rPr>
        <w:t xml:space="preserve">[Document code]  ·  [JT code]</w:t>
      </w:r>
    </w:p>
    <w:p>
      <w:pPr>
        <w:pageBreakBefore/>
        <w:spacing w:after="200" w:before="400"/>
      </w:pPr>
      <w:r>
        <w:rPr>
          <w:b/>
          <w:bCs/>
          <w:color w:val="04629A"/>
          <w:sz w:val="26"/>
          <w:szCs w:val="26"/>
        </w:rPr>
        <w:t xml:space="preserve">OECD Education Working Papers</w:t>
      </w:r>
    </w:p>
    <w:p>
      <w:pPr>
        <w:spacing w:after="200"/>
      </w:pPr>
      <w:r>
        <w:rPr>
          <w:i/>
          <w:iCs/>
          <w:color w:val="8C8C8C"/>
        </w:rPr>
        <w:t xml:space="preserve">[Series disclaimer: This series is designed to make available to a wider readership selected studies drawn from the work of the OECD Directorate for Education and Skills…]</w:t>
      </w:r>
    </w:p>
    <w:p>
      <w:pPr>
        <w:spacing w:after="200"/>
      </w:pPr>
      <w:r>
        <w:rPr>
          <w:i/>
          <w:iCs/>
          <w:color w:val="8C8C8C"/>
        </w:rPr>
        <w:t xml:space="preserve">[Opinions disclaimer: The opinions expressed and arguments employed herein are those of the author(s) and do not necessarily reflect the official views of the OECD or of its member countries.]</w:t>
      </w:r>
    </w:p>
    <w:p>
      <w:pPr>
        <w:spacing w:after="200"/>
      </w:pPr>
      <w:r>
        <w:rPr>
          <w:i/>
          <w:iCs/>
          <w:color w:val="8C8C8C"/>
        </w:rPr>
        <w:t xml:space="preserve">[Territorial disclaimers]</w:t>
      </w:r>
    </w:p>
    <w:p>
      <w:pPr>
        <w:spacing w:after="200"/>
      </w:pPr>
      <w:r>
        <w:rPr>
          <w:i/>
          <w:iCs/>
          <w:color w:val="8C8C8C"/>
        </w:rPr>
        <w:t xml:space="preserve">[Copyright notice — © OECD 2026 — Attribution 4.0 International (CC BY 4.0)]</w:t>
      </w:r>
    </w:p>
    <w:p>
      <w:pPr>
        <w:spacing w:after="200"/>
      </w:pPr>
      <w:r>
        <w:rPr>
          <w:i/>
          <w:iCs/>
          <w:color w:val="8C8C8C"/>
        </w:rPr>
        <w:t xml:space="preserve">[Comments on Working Papers are welcome and may be sent to: edu.contact@oecd.org]</w:t>
      </w:r>
    </w:p>
    <w:p>
      <w:pPr>
        <w:pStyle w:val="Heading1"/>
        <w:pageBreakBefore/>
        <w:spacing w:after="220" w:before="0"/>
      </w:pPr>
      <w:r>
        <w:rPr>
          <w:rFonts w:ascii="Garamond" w:cs="Garamond" w:eastAsia="Garamond" w:hAnsi="Garamond"/>
          <w:b/>
          <w:bCs/>
          <w:color w:val="04629A"/>
          <w:sz w:val="30"/>
          <w:szCs w:val="30"/>
        </w:rPr>
        <w:t xml:space="preserve">Abstract</w:t>
      </w:r>
    </w:p>
    <w:p>
      <w:pPr>
        <w:spacing w:after="200"/>
      </w:pPr>
      <w:r>
        <w:rPr>
          <w:i/>
          <w:iCs/>
          <w:color w:val="8C8C8C"/>
        </w:rPr>
        <w:t xml:space="preserve">[Abstract — fewer than 150 words, followed by Keywords and JEL codes.]</w:t>
      </w:r>
    </w:p>
    <w:p>
      <w:pPr>
        <w:pStyle w:val="Heading1"/>
        <w:spacing w:after="220" w:before="340"/>
      </w:pPr>
      <w:r>
        <w:rPr>
          <w:rFonts w:ascii="Garamond" w:cs="Garamond" w:eastAsia="Garamond" w:hAnsi="Garamond"/>
          <w:b/>
          <w:bCs/>
          <w:color w:val="04629A"/>
          <w:sz w:val="30"/>
          <w:szCs w:val="30"/>
        </w:rPr>
        <w:t xml:space="preserve">Résumé</w:t>
      </w:r>
    </w:p>
    <w:p>
      <w:pPr>
        <w:spacing w:after="200"/>
      </w:pPr>
      <w:r>
        <w:rPr>
          <w:i/>
          <w:iCs/>
          <w:color w:val="8C8C8C"/>
        </w:rPr>
        <w:t xml:space="preserve">[Résumé en français.]</w:t>
      </w:r>
    </w:p>
    <w:p>
      <w:pPr>
        <w:pStyle w:val="Heading1"/>
        <w:pageBreakBefore/>
        <w:spacing w:after="220" w:before="0"/>
      </w:pPr>
      <w:r>
        <w:rPr>
          <w:rFonts w:ascii="Garamond" w:cs="Garamond" w:eastAsia="Garamond" w:hAnsi="Garamond"/>
          <w:b/>
          <w:bCs/>
          <w:color w:val="04629A"/>
          <w:sz w:val="30"/>
          <w:szCs w:val="30"/>
        </w:rPr>
        <w:t xml:space="preserve">Acknowledgements</w:t>
      </w:r>
    </w:p>
    <w:p>
      <w:pPr>
        <w:spacing w:after="200"/>
      </w:pPr>
      <w:r>
        <w:rPr>
          <w:i/>
          <w:iCs/>
          <w:color w:val="8C8C8C"/>
        </w:rPr>
        <w:t xml:space="preserve">[Acknowledgements to colleagues, reviewers and data providers.]</w:t>
      </w:r>
    </w:p>
    <w:p>
      <w:pPr>
        <w:pStyle w:val="Heading1"/>
        <w:pageBreakBefore/>
        <w:spacing w:after="220" w:before="0"/>
      </w:pPr>
      <w:r>
        <w:rPr>
          <w:rFonts w:ascii="Garamond" w:cs="Garamond" w:eastAsia="Garamond" w:hAnsi="Garamond"/>
          <w:b/>
          <w:bCs/>
          <w:color w:val="04629A"/>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spacing w:after="220" w:before="0"/>
      </w:pPr>
      <w:r>
        <w:rPr>
          <w:rFonts w:ascii="Garamond" w:cs="Garamond" w:eastAsia="Garamond" w:hAnsi="Garamond"/>
          <w:b/>
          <w:bCs/>
          <w:color w:val="04629A"/>
          <w:sz w:val="30"/>
          <w:szCs w:val="30"/>
        </w:rPr>
        <w:t xml:space="preserve">1. Introduction</w:t>
      </w:r>
    </w:p>
    <w:p>
      <w:pPr>
        <w:spacing w:after="200"/>
      </w:pPr>
      <w:r>
        <w:rPr>
          <w:i/>
          <w:iCs/>
          <w:color w:val="8C8C8C"/>
        </w:rPr>
        <w:t xml:space="preserve">Pendiente de escribir (al final de todo).</w:t>
      </w:r>
    </w:p>
    <w:p>
      <w:pPr>
        <w:pStyle w:val="Heading1"/>
        <w:pageBreakBefore/>
        <w:spacing w:after="220" w:before="0"/>
      </w:pPr>
      <w:r>
        <w:rPr>
          <w:rFonts w:ascii="Garamond" w:cs="Garamond" w:eastAsia="Garamond" w:hAnsi="Garamond"/>
          <w:b/>
          <w:bCs/>
          <w:color w:val="04629A"/>
          <w:sz w:val="30"/>
          <w:szCs w:val="30"/>
        </w:rPr>
        <w:t xml:space="preserve">2. Teacher leaving: patterns, determinants and destinations</w:t>
      </w:r>
    </w:p>
    <w:p>
      <w:pPr>
        <w:spacing w:after="130" w:line="242"/>
        <w:jc w:val="both"/>
      </w:pPr>
      <w:r>
        <w:t xml:space="preserve">To design and evaluate the impact of policies that aim to bring former teachers back to the classroom it is fundamental to have a thorough understanding of the reasons why teachers leave. Moreover, it is crucial to identify the experiences and added value that former teachers can bring back to educational systems if they are successfully reintegrated. This debate is of central importance for governments that are making a wide range of efforts to retain and re-attract former teachers in response to the pressing challenges of an ageing teaching workforce, serious teacher shortages and the rising concerns over teachers' burnout and lack of mentorship </w:t>
      </w:r>
      <w:r>
        <w:rPr>
          <w:color w:val="0563C1"/>
        </w:rPr>
        <w:t xml:space="preserve">(OECD, 2025a; UNESCO, 2024; Madigan and Kim, 2021; OECD, 2025b)</w:t>
      </w:r>
      <w:r>
        <w:t xml:space="preserve">. This section therefore reviews what is known about why teachers leave, before the paper turns to the policies that have tried to bring them back.</w:t>
      </w:r>
    </w:p>
    <w:p>
      <w:pPr>
        <w:spacing w:after="130" w:line="242"/>
        <w:jc w:val="both"/>
      </w:pPr>
      <w:r>
        <w:t xml:space="preserve">First, we distinguish three main profiles of former teachers: (1) switchers, those who resign from teaching to take up other part-time or full-time employment, (2) leavers, those who withdraw from the labour market, and (3) retired teachers who have reached the end of their working lives. The determinants of leaving and the opportunity cost that each group faces when considering whether to re-enter vary significantly across these profiles. In general terms, for switchers, salary, job satisfaction and working conditions appear to be the central margins; for leavers, household arrangements and flexibility; while for retired teachers, pension rules and re-employment possibilities. However, these institutional factors are highly country-dependent, and a comprehensive description would require a paper of its own. Here we instead develop a general framework that classifies the most common motives for leaving and illustrates them with selected country examples.</w:t>
      </w:r>
    </w:p>
    <w:p>
      <w:pPr>
        <w:pStyle w:val="Heading2"/>
        <w:spacing w:after="120" w:before="200"/>
      </w:pPr>
      <w:r>
        <w:rPr>
          <w:rFonts w:ascii="Garamond" w:cs="Garamond" w:eastAsia="Garamond" w:hAnsi="Garamond"/>
          <w:b/>
          <w:bCs/>
          <w:color w:val="04629A"/>
          <w:sz w:val="25"/>
          <w:szCs w:val="25"/>
        </w:rPr>
        <w:t xml:space="preserve">2.1 The teacher leaving rate and its evolution</w:t>
      </w:r>
    </w:p>
    <w:p>
      <w:pPr>
        <w:spacing w:after="130" w:line="242"/>
        <w:jc w:val="both"/>
      </w:pPr>
      <w:r>
        <w:t xml:space="preserve">The average teachers leaving rate among the OECD countries was 6.5% in 2023 </w:t>
      </w:r>
      <w:r>
        <w:rPr>
          <w:color w:val="0563C1"/>
        </w:rPr>
        <w:t xml:space="preserve">(OECD, 2025a)</w:t>
      </w:r>
      <w:r>
        <w:t xml:space="preserve">.</w:t>
      </w:r>
      <w:r>
        <w:rPr>
          <w:rStyle w:val="FootnoteReference"/>
        </w:rPr>
        <w:footnoteReference w:id="1"/>
      </w:r>
      <w:r>
        <w:t xml:space="preserve"> However, there are considerable heterogeneities among countries with available data (see Figure 1). In countries with a low leaving rate, close to 2%, such as Israel, Ireland, France and Greece the workforce renews itself through retirement alone, while other countries with a higher proportion of leavers like Lithuania, Denmark or Estonia signal educational systems with a higher number of resignations, raising potential issues with working conditions and teacher retention and forces the system to replace a substantial share of its stock every year.</w:t>
      </w:r>
    </w:p>
    <w:p>
      <w:pPr>
        <w:spacing w:after="130" w:line="242"/>
        <w:jc w:val="both"/>
      </w:pPr>
      <w:r>
        <w:rPr>
          <w:b/>
          <w:bCs/>
        </w:rPr>
        <w:t xml:space="preserve">Figure 1. The teacher leaving rate and its composition, 2022/23</w:t>
      </w:r>
    </w:p>
    <w:p>
      <w:pPr>
        <w:spacing w:after="80" w:before="80"/>
        <w:jc w:val="center"/>
      </w:pPr>
      <w:r>
        <w:drawing>
          <wp:inline distT="0" distB="0" distL="0" distR="0">
            <wp:extent cx="40957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571750"/>
                    </a:xfrm>
                    <a:prstGeom prst="rect">
                      <a:avLst/>
                    </a:prstGeom>
                  </pic:spPr>
                </pic:pic>
              </a:graphicData>
            </a:graphic>
          </wp:inline>
        </w:drawing>
      </w:r>
    </w:p>
    <w:p>
      <w:pPr>
        <w:spacing w:after="50" w:line="200"/>
        <w:jc w:val="both"/>
      </w:pPr>
      <w:r>
        <w:rPr>
          <w:sz w:val="15"/>
          <w:szCs w:val="15"/>
        </w:rPr>
        <w:t xml:space="preserve">Note: Share of fully qualified teachers, full-time and part-time in public institutions, who left the profession during the reference year, from pre-primary to upper secondary education. The split into resignations and retirements is shown where reported; grey bars report the total rate only. The OECD average refers to the 19 countries and economies with available data. The reference year differs from 2022/23 for Denmark, France, New Zealand and England </w:t>
      </w:r>
      <w:r>
        <w:rPr>
          <w:color w:val="0563C1"/>
          <w:sz w:val="15"/>
          <w:szCs w:val="15"/>
        </w:rPr>
        <w:t xml:space="preserve">(2021/22)</w:t>
      </w:r>
      <w:r>
        <w:rPr>
          <w:sz w:val="15"/>
          <w:szCs w:val="15"/>
        </w:rPr>
        <w:t xml:space="preserve">. Data refer to primary and lower secondary education combined and exclude upper secondary education in Denmark, exclude upper secondary education in Israel and upper secondary vocational education in the Netherlands, and include non-fully qualified teachers in the Netherlands, New Zealand and the Flemish Community of Belgium. For the United States, leavers include teachers appointed to other positions in the education sector.</w:t>
      </w:r>
    </w:p>
    <w:p>
      <w:pPr>
        <w:spacing w:after="50" w:line="200"/>
        <w:jc w:val="both"/>
      </w:pPr>
      <w:r>
        <w:rPr>
          <w:sz w:val="15"/>
          <w:szCs w:val="15"/>
        </w:rPr>
        <w:t xml:space="preserve">Source: </w:t>
      </w:r>
      <w:r>
        <w:rPr>
          <w:color w:val="0563C1"/>
          <w:sz w:val="15"/>
          <w:szCs w:val="15"/>
        </w:rPr>
        <w:t xml:space="preserve">OECD (2025a)</w:t>
      </w:r>
      <w:r>
        <w:rPr>
          <w:sz w:val="15"/>
          <w:szCs w:val="15"/>
        </w:rPr>
        <w:t xml:space="preserve">, Education at a Glance 2025, Table D8.4.</w:t>
      </w:r>
    </w:p>
    <w:p>
      <w:pPr>
        <w:spacing w:after="130" w:line="242"/>
        <w:jc w:val="both"/>
      </w:pPr>
      <w:r>
        <w:t xml:space="preserve">The composition of these departures also differs across systems. Resignations account for 51% of departures in the 19 systems with comparable data, but they exceed 80% in Denmark, England and Estonia, while retirements predominate in France, Greece, Ireland and Israel, partly reflecting a workforce that is ageing in most of the OECD </w:t>
      </w:r>
      <w:r>
        <w:rPr>
          <w:color w:val="0563C1"/>
        </w:rPr>
        <w:t xml:space="preserve">(OECD, 2025a)</w:t>
      </w:r>
      <w:r>
        <w:t xml:space="preserve">. For a paper about return, the composition matters as much as the level, because a system losing mid-career resigners and a system losing retirees hold reserves of former teachers with different ages, different licences and different reasons to come back.</w:t>
      </w:r>
    </w:p>
    <w:p>
      <w:pPr>
        <w:spacing w:after="130" w:line="242"/>
        <w:jc w:val="both"/>
      </w:pPr>
      <w:r>
        <w:t xml:space="preserve">The evolution of the leaving rate across time tends to be stable in most of the observed countries. The OECD average rate moved from 6.9% in 2015 to 6.5% in 2023 and most systems present in both years moved by less than a percentage point </w:t>
      </w:r>
      <w:r>
        <w:rPr>
          <w:color w:val="0563C1"/>
        </w:rPr>
        <w:t xml:space="preserve">(OECD, 2025a)</w:t>
      </w:r>
      <w:r>
        <w:t xml:space="preserve">.</w:t>
      </w:r>
      <w:r>
        <w:rPr>
          <w:rStyle w:val="FootnoteReference"/>
        </w:rPr>
        <w:footnoteReference w:id="2"/>
      </w:r>
      <w:r>
        <w:t xml:space="preserve"> Moreover, studies developed in countries with the longest available series confirm this stable trend. In USA, which holds one of the longest-running national series, the rate has oscillated between 5% and 8.5% across three and a half decades of survey waves, has sat near 8% for the last twenty years, and carries no lasting mark from the pandemic increase </w:t>
      </w:r>
      <w:r>
        <w:rPr>
          <w:color w:val="0563C1"/>
        </w:rPr>
        <w:t xml:space="preserve">(NCES, 2024)</w:t>
      </w:r>
      <w:r>
        <w:t xml:space="preserve">,</w:t>
      </w:r>
      <w:r>
        <w:rPr>
          <w:rStyle w:val="FootnoteReference"/>
        </w:rPr>
        <w:footnoteReference w:id="3"/>
      </w:r>
      <w:r>
        <w:t xml:space="preserve"> and similar patterns hold in England, New Zealand, Sweden, Israel, Iceland, Norway and Flanders </w:t>
      </w:r>
      <w:r>
        <w:rPr>
          <w:color w:val="0563C1"/>
        </w:rPr>
        <w:t xml:space="preserve">(Department for Education, 2024a; Education Counts, 2025; Adermon and Laun, 2018; CBS Israel, 2023; Björnsdóttir and Hansen, 2024; Statistics Norway, 2025; Vansteenkiste, 2025)</w:t>
      </w:r>
      <w:r>
        <w:t xml:space="preserve">.</w:t>
      </w:r>
      <w:r>
        <w:rPr>
          <w:rStyle w:val="FootnoteReference"/>
        </w:rPr>
        <w:footnoteReference w:id="4"/>
      </w:r>
    </w:p>
    <w:p>
      <w:pPr>
        <w:spacing w:after="130" w:line="242"/>
        <w:jc w:val="both"/>
      </w:pPr>
      <w:r>
        <w:t xml:space="preserve">It is worth noticing that the phenomenon of leaving is not worrying in itself, as a continuous outflow is a common feature of any profession in a dynamic labour market. In fact, even though no comparable benchmark has been published for most OECD countries, the leaving rate of teachers tends to be lower than, or comparable to, that of similar professions where it has been studied. For example, in USA, in the last twenty years the leaving rate for teachers was about the rate at which nurses leave nursing, close to that of accountants and below that of social workers </w:t>
      </w:r>
      <w:r>
        <w:rPr>
          <w:color w:val="0563C1"/>
        </w:rPr>
        <w:t xml:space="preserve">(Aldeman and Yi, 2025)</w:t>
      </w:r>
      <w:r>
        <w:t xml:space="preserve">, an ordering already visible in the 1990s </w:t>
      </w:r>
      <w:r>
        <w:rPr>
          <w:color w:val="0563C1"/>
        </w:rPr>
        <w:t xml:space="preserve">(Harris and Adams, 2007)</w:t>
      </w:r>
      <w:r>
        <w:t xml:space="preserve">; in Australia, a study using administrative records finds that the teacher leaving rate was the lowest among 97 occupation groups </w:t>
      </w:r>
      <w:r>
        <w:rPr>
          <w:color w:val="0563C1"/>
        </w:rPr>
        <w:t xml:space="preserve">(Buckley and Griselda, 2025)</w:t>
      </w:r>
      <w:r>
        <w:t xml:space="preserve"> and in Sweden, register data show that annual exits among teachers, preschool teachers, nurses and police are alike </w:t>
      </w:r>
      <w:r>
        <w:rPr>
          <w:color w:val="0563C1"/>
        </w:rPr>
        <w:t xml:space="preserve">(Adermon and Laun, 2018)</w:t>
      </w:r>
      <w:r>
        <w:t xml:space="preserve">.</w:t>
      </w:r>
    </w:p>
    <w:p>
      <w:pPr>
        <w:spacing w:after="130" w:line="242"/>
        <w:jc w:val="both"/>
      </w:pPr>
      <w:r>
        <w:t xml:space="preserve">Nevertheless, re-attracting former teachers has become one of the policy margins through which governments are trying to alleviate the current problem of teacher shortages. Although not sufficient to close the gap on its own, it can help reduce and fill vacancies in the short run, especially in the disadvantaged and rural schools where shortages tend to concentrate </w:t>
      </w:r>
      <w:r>
        <w:rPr>
          <w:color w:val="0563C1"/>
        </w:rPr>
        <w:t xml:space="preserve">(UNESCO, 2024; Carver-Thomas and Darling-Hammond, 2019; Nguyen, Lam and Bruno, 2024)</w:t>
      </w:r>
      <w:r>
        <w:t xml:space="preserve">. The magnitude of this policy margin depends, in fact, on the baseline leaving and retirement rates, since in countries such as France, Greece, Ireland or Israel, whose low leaving rates are almost solely explained by retirement, its potential is scarce </w:t>
      </w:r>
      <w:r>
        <w:rPr>
          <w:color w:val="0563C1"/>
        </w:rPr>
        <w:t xml:space="preserve">(OECD, 2025a)</w:t>
      </w:r>
      <w:r>
        <w:t xml:space="preserve">. Nonetheless, beyond short-run relief to shortages, returners and retired teachers can bring benefits of their own, such as experience that spills over to colleagues, mentorship for beginning teachers and tutoring roles with experimental backing </w:t>
      </w:r>
      <w:r>
        <w:rPr>
          <w:color w:val="0563C1"/>
        </w:rPr>
        <w:t xml:space="preserve">(Papay et al., 2020; DeCesare et al., 2017; Nickow, Oreopoulos and Quan, 2024)</w:t>
      </w:r>
      <w:r>
        <w:t xml:space="preserve">, described in depth in Section 3.</w:t>
      </w:r>
    </w:p>
    <w:p>
      <w:pPr>
        <w:pStyle w:val="Heading2"/>
        <w:spacing w:after="120" w:before="200"/>
      </w:pPr>
      <w:r>
        <w:rPr>
          <w:rFonts w:ascii="Garamond" w:cs="Garamond" w:eastAsia="Garamond" w:hAnsi="Garamond"/>
          <w:b/>
          <w:bCs/>
          <w:color w:val="04629A"/>
          <w:sz w:val="25"/>
          <w:szCs w:val="25"/>
        </w:rPr>
        <w:t xml:space="preserve">2.2 Determinants of teachers leaving</w:t>
      </w:r>
    </w:p>
    <w:p>
      <w:pPr>
        <w:spacing w:after="130" w:line="242"/>
        <w:jc w:val="both"/>
      </w:pPr>
      <w:r>
        <w:t xml:space="preserve">The reasons why teachers leave the profession have been extensively studied, through self-reported surveys, interviews and, more recently, through administrative records of observed departures. Despite this abundance of evidence, ranking the identified reasons remains difficult, since studies differ in the populations they follow, in the outcomes they measure and in the way motives are grouped. Building on a comprehensive review of this literature and on recent meta-analyses </w:t>
      </w:r>
      <w:r>
        <w:rPr>
          <w:color w:val="0563C1"/>
        </w:rPr>
        <w:t xml:space="preserve">(Nguyen et al., 2020; Gundlach, Slemp and Hattie, 2024)</w:t>
      </w:r>
      <w:r>
        <w:t xml:space="preserve">, this paper classifies the reasons into six areas, defined by the domain to which each belongs and by the authority with the capacity to intervene in it (Table 1).</w:t>
      </w:r>
    </w:p>
    <w:p>
      <w:pPr>
        <w:spacing w:after="130" w:line="242"/>
        <w:jc w:val="both"/>
      </w:pPr>
      <w:r>
        <w:rPr>
          <w:b/>
          <w:bCs/>
        </w:rPr>
        <w:t xml:space="preserve">Table 1. Reasons for leaving teaching, by area</w:t>
      </w:r>
    </w:p>
    <w:tbl>
      <w:tblPr>
        <w:tblW w:type="pct" w:w="100%"/>
        <w:tblBorders>
          <w:top w:val="single" w:color="888888" w:sz="6"/>
          <w:left w:val="none"/>
          <w:bottom w:val="single" w:color="888888" w:sz="6"/>
          <w:right w:val="none"/>
          <w:insideH w:val="single" w:color="CCCCCC" w:sz="2"/>
          <w:insideV w:val="none"/>
        </w:tblBorders>
      </w:tblPr>
      <w:tblGrid>
        <w:gridCol w:w="100"/>
        <w:gridCol w:w="100"/>
      </w:tblGrid>
      <w:tr>
        <w:tc>
          <w:tcPr>
            <w:shd w:fill="E8EEF4"/>
            <w:tcMar>
              <w:top w:type="dxa" w:w="60"/>
              <w:left w:type="dxa" w:w="80"/>
              <w:bottom w:type="dxa" w:w="60"/>
              <w:right w:type="dxa" w:w="80"/>
            </w:tcMar>
          </w:tcPr>
          <w:p>
            <w:pPr>
              <w:spacing w:after="40"/>
            </w:pPr>
            <w:r>
              <w:rPr>
                <w:b/>
                <w:bCs/>
                <w:sz w:val="17"/>
                <w:szCs w:val="17"/>
              </w:rPr>
              <w:t xml:space="preserve">Area</w:t>
            </w:r>
          </w:p>
        </w:tc>
        <w:tc>
          <w:tcPr>
            <w:shd w:fill="E8EEF4"/>
            <w:tcMar>
              <w:top w:type="dxa" w:w="60"/>
              <w:left w:type="dxa" w:w="80"/>
              <w:bottom w:type="dxa" w:w="60"/>
              <w:right w:type="dxa" w:w="80"/>
            </w:tcMar>
          </w:tcPr>
          <w:p>
            <w:pPr>
              <w:spacing w:after="40"/>
            </w:pPr>
            <w:r>
              <w:rPr>
                <w:b/>
                <w:bCs/>
                <w:sz w:val="17"/>
                <w:szCs w:val="17"/>
              </w:rPr>
              <w:t xml:space="preserve">Reasons</w:t>
            </w:r>
          </w:p>
        </w:tc>
      </w:tr>
      <w:tr>
        <w:tc>
          <w:tcPr>
            <w:tcMar>
              <w:top w:type="dxa" w:w="60"/>
              <w:left w:type="dxa" w:w="80"/>
              <w:bottom w:type="dxa" w:w="60"/>
              <w:right w:type="dxa" w:w="80"/>
            </w:tcMar>
          </w:tcPr>
          <w:p>
            <w:pPr>
              <w:spacing w:after="40"/>
            </w:pPr>
            <w:r>
              <w:rPr>
                <w:b w:val="false"/>
                <w:bCs w:val="false"/>
                <w:sz w:val="17"/>
                <w:szCs w:val="17"/>
              </w:rPr>
              <w:t xml:space="preserve">Professional factors</w:t>
            </w:r>
          </w:p>
        </w:tc>
        <w:tc>
          <w:tcPr>
            <w:tcMar>
              <w:top w:type="dxa" w:w="60"/>
              <w:left w:type="dxa" w:w="80"/>
              <w:bottom w:type="dxa" w:w="60"/>
              <w:right w:type="dxa" w:w="80"/>
            </w:tcMar>
          </w:tcPr>
          <w:p>
            <w:pPr>
              <w:spacing w:after="40"/>
            </w:pPr>
            <w:r>
              <w:rPr>
                <w:b w:val="false"/>
                <w:bCs w:val="false"/>
                <w:sz w:val="17"/>
                <w:szCs w:val="17"/>
              </w:rPr>
              <w:t xml:space="preserve">Loss of professional purpose; limited autonomy over the work; professional standing; exposure to parental complaint and legal risk</w:t>
            </w:r>
          </w:p>
        </w:tc>
      </w:tr>
      <w:tr>
        <w:tc>
          <w:tcPr>
            <w:tcMar>
              <w:top w:type="dxa" w:w="60"/>
              <w:left w:type="dxa" w:w="80"/>
              <w:bottom w:type="dxa" w:w="60"/>
              <w:right w:type="dxa" w:w="80"/>
            </w:tcMar>
          </w:tcPr>
          <w:p>
            <w:pPr>
              <w:spacing w:after="40"/>
            </w:pPr>
            <w:r>
              <w:rPr>
                <w:b w:val="false"/>
                <w:bCs w:val="false"/>
                <w:sz w:val="17"/>
                <w:szCs w:val="17"/>
              </w:rPr>
              <w:t xml:space="preserve">Working conditions</w:t>
            </w:r>
          </w:p>
        </w:tc>
        <w:tc>
          <w:tcPr>
            <w:tcMar>
              <w:top w:type="dxa" w:w="60"/>
              <w:left w:type="dxa" w:w="80"/>
              <w:bottom w:type="dxa" w:w="60"/>
              <w:right w:type="dxa" w:w="80"/>
            </w:tcMar>
          </w:tcPr>
          <w:p>
            <w:pPr>
              <w:spacing w:after="40"/>
            </w:pPr>
            <w:r>
              <w:rPr>
                <w:b w:val="false"/>
                <w:bCs w:val="false"/>
                <w:sz w:val="17"/>
                <w:szCs w:val="17"/>
              </w:rPr>
              <w:t xml:space="preserve">Hours and total workload; pupil behaviour and classroom discipline; administrative and documentation demands; limited access to reduced hours; burnout and exhaustion</w:t>
            </w:r>
          </w:p>
        </w:tc>
      </w:tr>
      <w:tr>
        <w:tc>
          <w:tcPr>
            <w:tcMar>
              <w:top w:type="dxa" w:w="60"/>
              <w:left w:type="dxa" w:w="80"/>
              <w:bottom w:type="dxa" w:w="60"/>
              <w:right w:type="dxa" w:w="80"/>
            </w:tcMar>
          </w:tcPr>
          <w:p>
            <w:pPr>
              <w:spacing w:after="40"/>
            </w:pPr>
            <w:r>
              <w:rPr>
                <w:b w:val="false"/>
                <w:bCs w:val="false"/>
                <w:sz w:val="17"/>
                <w:szCs w:val="17"/>
              </w:rPr>
              <w:t xml:space="preserve">Organisational factors</w:t>
            </w:r>
          </w:p>
        </w:tc>
        <w:tc>
          <w:tcPr>
            <w:tcMar>
              <w:top w:type="dxa" w:w="60"/>
              <w:left w:type="dxa" w:w="80"/>
              <w:bottom w:type="dxa" w:w="60"/>
              <w:right w:type="dxa" w:w="80"/>
            </w:tcMar>
          </w:tcPr>
          <w:p>
            <w:pPr>
              <w:spacing w:after="40"/>
            </w:pPr>
            <w:r>
              <w:rPr>
                <w:b w:val="false"/>
                <w:bCs w:val="false"/>
                <w:sz w:val="17"/>
                <w:szCs w:val="17"/>
              </w:rPr>
              <w:t xml:space="preserve">School leadership; collegial support and team structure</w:t>
            </w:r>
          </w:p>
        </w:tc>
      </w:tr>
      <w:tr>
        <w:tc>
          <w:tcPr>
            <w:tcMar>
              <w:top w:type="dxa" w:w="60"/>
              <w:left w:type="dxa" w:w="80"/>
              <w:bottom w:type="dxa" w:w="60"/>
              <w:right w:type="dxa" w:w="80"/>
            </w:tcMar>
          </w:tcPr>
          <w:p>
            <w:pPr>
              <w:spacing w:after="40"/>
            </w:pPr>
            <w:r>
              <w:rPr>
                <w:b w:val="false"/>
                <w:bCs w:val="false"/>
                <w:sz w:val="17"/>
                <w:szCs w:val="17"/>
              </w:rPr>
              <w:t xml:space="preserve">Accountability and regulation</w:t>
            </w:r>
          </w:p>
        </w:tc>
        <w:tc>
          <w:tcPr>
            <w:tcMar>
              <w:top w:type="dxa" w:w="60"/>
              <w:left w:type="dxa" w:w="80"/>
              <w:bottom w:type="dxa" w:w="60"/>
              <w:right w:type="dxa" w:w="80"/>
            </w:tcMar>
          </w:tcPr>
          <w:p>
            <w:pPr>
              <w:spacing w:after="40"/>
            </w:pPr>
            <w:r>
              <w:rPr>
                <w:b w:val="false"/>
                <w:bCs w:val="false"/>
                <w:sz w:val="17"/>
                <w:szCs w:val="17"/>
              </w:rPr>
              <w:t xml:space="preserve">External inspection and its consequences; certification and licensing requirements</w:t>
            </w:r>
          </w:p>
        </w:tc>
      </w:tr>
      <w:tr>
        <w:tc>
          <w:tcPr>
            <w:tcMar>
              <w:top w:type="dxa" w:w="60"/>
              <w:left w:type="dxa" w:w="80"/>
              <w:bottom w:type="dxa" w:w="60"/>
              <w:right w:type="dxa" w:w="80"/>
            </w:tcMar>
          </w:tcPr>
          <w:p>
            <w:pPr>
              <w:spacing w:after="40"/>
            </w:pPr>
            <w:r>
              <w:rPr>
                <w:b w:val="false"/>
                <w:bCs w:val="false"/>
                <w:sz w:val="17"/>
                <w:szCs w:val="17"/>
              </w:rPr>
              <w:t xml:space="preserve">Financial factors</w:t>
            </w:r>
          </w:p>
        </w:tc>
        <w:tc>
          <w:tcPr>
            <w:tcMar>
              <w:top w:type="dxa" w:w="60"/>
              <w:left w:type="dxa" w:w="80"/>
              <w:bottom w:type="dxa" w:w="60"/>
              <w:right w:type="dxa" w:w="80"/>
            </w:tcMar>
          </w:tcPr>
          <w:p>
            <w:pPr>
              <w:spacing w:after="40"/>
            </w:pPr>
            <w:r>
              <w:rPr>
                <w:b w:val="false"/>
                <w:bCs w:val="false"/>
                <w:sz w:val="17"/>
                <w:szCs w:val="17"/>
              </w:rPr>
              <w:t xml:space="preserve">Salary relative to outside options; pension design and its timing incentives; contract insecurity</w:t>
            </w:r>
          </w:p>
        </w:tc>
      </w:tr>
      <w:tr>
        <w:tc>
          <w:tcPr>
            <w:tcMar>
              <w:top w:type="dxa" w:w="60"/>
              <w:left w:type="dxa" w:w="80"/>
              <w:bottom w:type="dxa" w:w="60"/>
              <w:right w:type="dxa" w:w="80"/>
            </w:tcMar>
          </w:tcPr>
          <w:p>
            <w:pPr>
              <w:spacing w:after="40"/>
            </w:pPr>
            <w:r>
              <w:rPr>
                <w:b w:val="false"/>
                <w:bCs w:val="false"/>
                <w:sz w:val="17"/>
                <w:szCs w:val="17"/>
              </w:rPr>
              <w:t xml:space="preserve">Personal and life-course factors</w:t>
            </w:r>
          </w:p>
        </w:tc>
        <w:tc>
          <w:tcPr>
            <w:tcMar>
              <w:top w:type="dxa" w:w="60"/>
              <w:left w:type="dxa" w:w="80"/>
              <w:bottom w:type="dxa" w:w="60"/>
              <w:right w:type="dxa" w:w="80"/>
            </w:tcMar>
          </w:tcPr>
          <w:p>
            <w:pPr>
              <w:spacing w:after="40"/>
            </w:pPr>
            <w:r>
              <w:rPr>
                <w:b w:val="false"/>
                <w:bCs w:val="false"/>
                <w:sz w:val="17"/>
                <w:szCs w:val="17"/>
              </w:rPr>
              <w:t xml:space="preserve">Family formation and care; childbirth; health and incapacity; relocation and a partner's circumstances; retirement and career stage</w:t>
            </w:r>
          </w:p>
        </w:tc>
      </w:tr>
    </w:tbl>
    <w:p>
      <w:pPr>
        <w:spacing w:after="50" w:line="200"/>
        <w:jc w:val="both"/>
      </w:pPr>
      <w:r>
        <w:rPr>
          <w:sz w:val="15"/>
          <w:szCs w:val="15"/>
        </w:rPr>
        <w:t xml:space="preserve">Source: Authors' elaboration on the literature reviewed in this section.</w:t>
      </w:r>
    </w:p>
    <w:p>
      <w:pPr>
        <w:spacing w:after="130" w:line="242"/>
        <w:jc w:val="both"/>
      </w:pPr>
      <w:r>
        <w:t xml:space="preserve">These six areas group motives that range from the meaning teachers attach to their work to the rules under which they are employed, and the evidence does not weigh them equally. In the meta-analyses that pool the correlates of observed departure, the factors attached to the school carry more weight than the personal characteristics of the teacher, and teachers in schools with better working conditions face roughly half the odds of leaving, while class size, the variable public debate returns to most readily, shows no association at all </w:t>
      </w:r>
      <w:r>
        <w:rPr>
          <w:color w:val="0563C1"/>
        </w:rPr>
        <w:t xml:space="preserve">(Nguyen et al., 2020)</w:t>
      </w:r>
      <w:r>
        <w:t xml:space="preserve">. Many of these associations also change with the outcome measured, since predicting the intention to leave is not the same as predicting the departure itself </w:t>
      </w:r>
      <w:r>
        <w:rPr>
          <w:color w:val="0563C1"/>
        </w:rPr>
        <w:t xml:space="preserve">(Gundlach, Slemp and Hattie, 2024)</w:t>
      </w:r>
      <w:r>
        <w:t xml:space="preserve">. The discussion that follows walks through the six areas in the order of Table 1, highlighting how they relate to each other.</w:t>
      </w:r>
    </w:p>
    <w:p>
      <w:pPr>
        <w:spacing w:after="130" w:line="242"/>
        <w:jc w:val="both"/>
      </w:pPr>
      <w:r>
        <w:t xml:space="preserve">First, professional factors group the motives related to the purpose, autonomy and standing of the work. This area covers teachers who no longer find meaning in teaching, who feel they have lost control over how to exercise it, or who face a deterioration in the standing of the profession, including exposure to parental complaint and legal action, and the literature accounts for these factors mostly through what teachers themselves declare. The loss of commitment comes out most clearly in Finland, where a longitudinal survey that followed teachers over five years found a lack of professional commitment named ahead of workload and interpersonal difficulty among those declaring an intention to leave, far more often by men, while women cited workload and conflicts </w:t>
      </w:r>
      <w:r>
        <w:rPr>
          <w:color w:val="0563C1"/>
        </w:rPr>
        <w:t xml:space="preserve">(Räsänen et al., 2020)</w:t>
      </w:r>
      <w:r>
        <w:t xml:space="preserve">.</w:t>
      </w:r>
      <w:r>
        <w:rPr>
          <w:rStyle w:val="FootnoteReference"/>
        </w:rPr>
        <w:footnoteReference w:id="5"/>
      </w:r>
      <w:r>
        <w:t xml:space="preserve"> The Finnish setting makes this reading unusually clean, since Finnish teachers enjoy wide autonomy and adequate pay, so the remaining complaint concerns the purpose of the work. Additionally, the deterioration of standing and the exposure that accompanies it push departures in some systems with a force the aggregate statistics only partly capture. In Korea, early retirements of teachers rose from 869 in 2005 to 6 594 in 2021, a rise official research attributes above all to the infringement of teachers' rights, including exposure to parental complaint and legal action </w:t>
      </w:r>
      <w:r>
        <w:rPr>
          <w:color w:val="0563C1"/>
        </w:rPr>
        <w:t xml:space="preserve">(KEDI, 2023)</w:t>
      </w:r>
      <w:r>
        <w:t xml:space="preserve">,</w:t>
      </w:r>
      <w:r>
        <w:rPr>
          <w:rStyle w:val="FootnoteReference"/>
        </w:rPr>
        <w:footnoteReference w:id="6"/>
      </w:r>
      <w:r>
        <w:t xml:space="preserve"> and the legislature amended four statutes on the protection of teachers' educational activities in 2023 </w:t>
      </w:r>
      <w:r>
        <w:rPr>
          <w:color w:val="0563C1"/>
        </w:rPr>
        <w:t xml:space="preserve">(Republic of Korea, 2023)</w:t>
      </w:r>
      <w:r>
        <w:t xml:space="preserve">, although no evaluation yet connects the reform to retention. These are also the least measured motives of the six, since they rest almost entirely on what teachers themselves report.</w:t>
      </w:r>
    </w:p>
    <w:p>
      <w:pPr>
        <w:spacing w:after="130" w:line="242"/>
        <w:jc w:val="both"/>
      </w:pPr>
      <w:r>
        <w:t xml:space="preserve">Secondly, another commonly cited reason, very present in the public debate, is working conditions. The area gathers hours and total workload, pupil behaviour and classroom discipline, administrative demands, the access to reduced hours and the burnout that accumulates when these run together, and it is the most declared of the six wherever leavers are surveyed. Among Dutch teachers who had recently left, 47% named workload, stress and burden ahead of every other category </w:t>
      </w:r>
      <w:r>
        <w:rPr>
          <w:color w:val="0563C1"/>
        </w:rPr>
        <w:t xml:space="preserve">(Van Casteren et al., 2023)</w:t>
      </w:r>
      <w:r>
        <w:t xml:space="preserve">, and the same motive ranks first among Swedish leavers and second among Australian ones </w:t>
      </w:r>
      <w:r>
        <w:rPr>
          <w:color w:val="0563C1"/>
        </w:rPr>
        <w:t xml:space="preserve">(Statistics Sweden, 2023; Brandenburg et al., 2024)</w:t>
      </w:r>
      <w:r>
        <w:t xml:space="preserve">, so its declared weight travels across systems. What predicts departure, however, is not what the declarations emphasise. In England, TALIS 2018 responses were linked to the administrative register of the school workforce to study the effective determinants of departure, and not only the declared ones, by observing who had left the profession a year after answering the survey.</w:t>
      </w:r>
      <w:r>
        <w:rPr>
          <w:rStyle w:val="FootnoteReference"/>
        </w:rPr>
        <w:footnoteReference w:id="7"/>
      </w:r>
      <w:r>
        <w:t xml:space="preserve"> Experienced teachers who work in schools with worse discipline leave more, and the magnitude is considerable, since a one-standard-deviation improvement in the school's discipline climate is associated with a halving of the annual probability of leaving the profession, while self-reported working hours, the motive most cited in surveys, do not predict departure robustly </w:t>
      </w:r>
      <w:r>
        <w:rPr>
          <w:color w:val="0563C1"/>
        </w:rPr>
        <w:t xml:space="preserve">(Sims and Jerrim, 2020)</w:t>
      </w:r>
      <w:r>
        <w:t xml:space="preserve">. The load that expels, this suggests, is not the volume of work but the conditions under which it must be done, and the gap between what teachers state and what their behaviour reveals recurs throughout this section and is examined in Section 2.3.</w:t>
      </w:r>
    </w:p>
    <w:p>
      <w:pPr>
        <w:spacing w:after="130" w:line="242"/>
        <w:jc w:val="both"/>
      </w:pPr>
      <w:r>
        <w:t xml:space="preserve">In this same line, how much of that load a teacher can lawfully shed varies enormously between systems, and the variation changes what the declaration means. A Dutch employer must grant a request for fewer hours unless a weighty business interest prevents it, and two thirds of Dutch lower-secondary teachers work part-time; Japanese teachers, who hold no such entitlement, are at 7% </w:t>
      </w:r>
      <w:r>
        <w:rPr>
          <w:color w:val="0563C1"/>
        </w:rPr>
        <w:t xml:space="preserve">(OECD, 2025c)</w:t>
      </w:r>
      <w:r>
        <w:t xml:space="preserve">; an English teacher holds a right to ask that a school may refuse on eight statutory grounds </w:t>
      </w:r>
      <w:r>
        <w:rPr>
          <w:color w:val="0563C1"/>
        </w:rPr>
        <w:t xml:space="preserve">(United Kingdom, 1996)</w:t>
      </w:r>
      <w:r>
        <w:t xml:space="preserve">.</w:t>
      </w:r>
      <w:r>
        <w:rPr>
          <w:rStyle w:val="FootnoteReference"/>
        </w:rPr>
        <w:footnoteReference w:id="8"/>
      </w:r>
      <w:r>
        <w:t xml:space="preserve"> Where hours can be reduced, an overloaded teacher can buy relief without resigning, and reduced hours are also the margin through which family responsibilities and teaching are reconciled, which ties this area to the personal factors examined below. No study yet estimates what part-time access does to teacher exit.</w:t>
      </w:r>
    </w:p>
    <w:p>
      <w:pPr>
        <w:spacing w:after="130" w:line="242"/>
        <w:jc w:val="both"/>
      </w:pPr>
      <w:r>
        <w:t xml:space="preserve">Additionally, organisational factors play a more important role than commonly believed. The area covers the school's leadership and the support among colleagues, and its central finding is a robust association with departure that resists causal reading. School leadership is the reason most often associated with departure across this literature and among the hardest to isolate, because head teachers are not assigned to schools at random, schools with better heads differ in pupils, resources and staff, and teachers who choose to stay tend to rate their head more favourably. Among the contextual factors measured in New York City, perceptions of the school administration carry the greatest influence on retention decisions </w:t>
      </w:r>
      <w:r>
        <w:rPr>
          <w:color w:val="0563C1"/>
        </w:rPr>
        <w:t xml:space="preserve">(Boyd et al., 2011)</w:t>
      </w:r>
      <w:r>
        <w:t xml:space="preserve">, and panel evidence following the same school over time, where better leadership accompanied falling turnover, is the closest the field has come to isolating the effect </w:t>
      </w:r>
      <w:r>
        <w:rPr>
          <w:color w:val="0563C1"/>
        </w:rPr>
        <w:t xml:space="preserve">(Kraft, Marinell and Shen-Wei Yee, 2016)</w:t>
      </w:r>
      <w:r>
        <w:t xml:space="preserve">. Leadership also connects this area to the previous one, since the discipline climate that predicts departure in England is largely a product of how a school is run. The other organisational lever is mentoring. Young teachers are more likely to remain in their school if they are mentored by an older teacher at the start of their career; mentored teachers leave less often in observational research </w:t>
      </w:r>
      <w:r>
        <w:rPr>
          <w:color w:val="0563C1"/>
        </w:rPr>
        <w:t xml:space="preserve">(Nguyen et al., 2020)</w:t>
      </w:r>
      <w:r>
        <w:t xml:space="preserve">, and England's Early Career Framework, which entitles every new teacher to two years of mentoring, added 4.4 percentage points of retention in the original school </w:t>
      </w:r>
      <w:r>
        <w:rPr>
          <w:color w:val="0563C1"/>
        </w:rPr>
        <w:t xml:space="preserve">(Walker et al., 2024)</w:t>
      </w:r>
      <w:r>
        <w:t xml:space="preserve">.</w:t>
      </w:r>
    </w:p>
    <w:p>
      <w:pPr>
        <w:spacing w:after="130" w:line="242"/>
        <w:jc w:val="both"/>
      </w:pPr>
      <w:r>
        <w:t xml:space="preserve">Not surprisingly, how demanding the accountability and regulation regime is also affects the leaving rate. The area covers the external evaluation of schools and the rules of certification and licensing, two levers held by ministries and their agencies. External inspection is the clearest case, and England, which holds both a published inspection judgement and a linked workforce census, allows the declared and the observed weight of this motive to be compared, as 30% of surveyed teachers report having considered leaving after their last inspection </w:t>
      </w:r>
      <w:r>
        <w:rPr>
          <w:color w:val="0563C1"/>
        </w:rPr>
        <w:t xml:space="preserve">(Perryman et al., 2025)</w:t>
      </w:r>
      <w:r>
        <w:t xml:space="preserve">, whereas an inadequate judgement raises observed turnover by 3.4 percentage points, about a quarter of its average level, and an outstanding one does not reduce it </w:t>
      </w:r>
      <w:r>
        <w:rPr>
          <w:color w:val="0563C1"/>
        </w:rPr>
        <w:t xml:space="preserve">(Sims, 2016)</w:t>
      </w:r>
      <w:r>
        <w:t xml:space="preserve">. The gap between the two numbers repeats the pattern already seen with workload. Regulation also matters at the point of return, since certificates lapse with time out of the classroom and the cost of restoring them becomes part of any decision to come back, a margin that reappears in Section 2.4 and in Section 3.</w:t>
      </w:r>
    </w:p>
    <w:p>
      <w:pPr>
        <w:spacing w:after="130" w:line="242"/>
        <w:jc w:val="both"/>
      </w:pPr>
      <w:r>
        <w:t xml:space="preserve">The economic incentives also play a key role and are probably the most studied factor of the six, since pay and pensions are set centrally and their reforms create discontinuities that research can exploit. The area covers the salary relative to outside options, the design of pensions and the insecurity of contracts, and the evidence on each runs from causal estimates to linked earnings records. Whether to keep teaching is a decision each teacher takes by comparing what the post offers with the best that same person could obtain outside it. That outside option differs with the subject taught, the qualification held and the local labour market, which is why a single pay scale produces very different exit rates across subjects and regions. Where pay has been tested causally, money retains, with targeted payments cutting departures by 9% to 23% in Norway, England and North Carolina </w:t>
      </w:r>
      <w:r>
        <w:rPr>
          <w:color w:val="0563C1"/>
        </w:rPr>
        <w:t xml:space="preserve">(Falch, 2011; Sims and Benhenda, 2022; Clotfelter et al., 2008)</w:t>
      </w:r>
      <w:r>
        <w:t xml:space="preserve">, though the effect has lasted only as long as the payment itself </w:t>
      </w:r>
      <w:r>
        <w:rPr>
          <w:color w:val="0563C1"/>
        </w:rPr>
        <w:t xml:space="preserve">(See et al., 2020)</w:t>
      </w:r>
      <w:r>
        <w:t xml:space="preserve">. Behind those margins sits the level. In most OECD countries primary teachers earn less than the average tertiary-educated worker, at 83% of that benchmark on average, from 63% in the United States to 128% in Portugal (Figure 2).</w:t>
      </w:r>
      <w:r>
        <w:rPr>
          <w:rStyle w:val="FootnoteReference"/>
        </w:rPr>
        <w:footnoteReference w:id="9"/>
      </w:r>
    </w:p>
    <w:p>
      <w:pPr>
        <w:spacing w:after="130" w:line="242"/>
        <w:jc w:val="both"/>
      </w:pPr>
      <w:r>
        <w:rPr>
          <w:b/>
          <w:bCs/>
        </w:rPr>
        <w:t xml:space="preserve">Figure 2. Primary teachers earn less than other tertiary-educated workers in most countries</w:t>
      </w:r>
    </w:p>
    <w:p>
      <w:pPr>
        <w:spacing w:after="80" w:before="80"/>
        <w:jc w:val="center"/>
      </w:pPr>
      <w:r>
        <w:drawing>
          <wp:inline distT="0" distB="0" distL="0" distR="0">
            <wp:extent cx="40957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571750"/>
                    </a:xfrm>
                    <a:prstGeom prst="rect">
                      <a:avLst/>
                    </a:prstGeom>
                  </pic:spPr>
                </pic:pic>
              </a:graphicData>
            </a:graphic>
          </wp:inline>
        </w:drawing>
      </w:r>
    </w:p>
    <w:p>
      <w:pPr>
        <w:spacing w:after="50" w:line="200"/>
        <w:jc w:val="both"/>
      </w:pPr>
      <w:r>
        <w:rPr>
          <w:sz w:val="15"/>
          <w:szCs w:val="15"/>
        </w:rPr>
        <w:t xml:space="preserve">Note: Ratio of the average actual salary of full-time primary teachers in public institutions to the earnings of full-time tertiary-educated workers aged 25 to 64. Data refer to 2024 or the nearest available year.</w:t>
      </w:r>
    </w:p>
    <w:p>
      <w:pPr>
        <w:spacing w:after="50" w:line="200"/>
        <w:jc w:val="both"/>
      </w:pPr>
      <w:r>
        <w:rPr>
          <w:sz w:val="15"/>
          <w:szCs w:val="15"/>
        </w:rPr>
        <w:t xml:space="preserve">Source: </w:t>
      </w:r>
      <w:r>
        <w:rPr>
          <w:color w:val="0563C1"/>
          <w:sz w:val="15"/>
          <w:szCs w:val="15"/>
        </w:rPr>
        <w:t xml:space="preserve">OECD (2025d)</w:t>
      </w:r>
      <w:r>
        <w:rPr>
          <w:sz w:val="15"/>
          <w:szCs w:val="15"/>
        </w:rPr>
        <w:t xml:space="preserve">, Education at a Glance 2025, Table D3.2.</w:t>
      </w:r>
    </w:p>
    <w:p>
      <w:pPr>
        <w:spacing w:after="130" w:line="242"/>
        <w:jc w:val="both"/>
      </w:pPr>
      <w:r>
        <w:t xml:space="preserve">Salary trajectories after leaving differ systematically by destination. Those who remain within the education sector, the majority everywhere this has been measured, experience small salary changes, while those who abandon it face a far more dispersed distribution, with thick tails at both ends and the upper tail concentrated among men and shortage specialisations. United States tax records show mean earnings still slightly below pre-exit teaching pay eight years after departure, with one fifth of leavers not employed at all and the top quartile out-earning nearly all of those who stayed </w:t>
      </w:r>
      <w:r>
        <w:rPr>
          <w:color w:val="0563C1"/>
        </w:rPr>
        <w:t xml:space="preserve">(Brummet et al., 2024)</w:t>
      </w:r>
      <w:r>
        <w:t xml:space="preserve">.</w:t>
      </w:r>
      <w:r>
        <w:rPr>
          <w:rStyle w:val="FootnoteReference"/>
        </w:rPr>
        <w:footnoteReference w:id="10"/>
      </w:r>
      <w:r>
        <w:t xml:space="preserve"> Florida records give the same shape by destination, with earnings dispersion rising sharply only among leavers to other industries </w:t>
      </w:r>
      <w:r>
        <w:rPr>
          <w:color w:val="0563C1"/>
        </w:rPr>
        <w:t xml:space="preserve">(Chingos and West, 2012)</w:t>
      </w:r>
      <w:r>
        <w:t xml:space="preserve">; earlier state studies found that very few exiting teachers out-earned their teaching salaries </w:t>
      </w:r>
      <w:r>
        <w:rPr>
          <w:color w:val="0563C1"/>
        </w:rPr>
        <w:t xml:space="preserve">(Scafidi, Sjoquist and Stinebrickner, 2006; Podgursky, Monroe and Watson, 2004)</w:t>
      </w:r>
      <w:r>
        <w:t xml:space="preserve">, and Danish and Australian data agree in direction, at around 6% below previous pay </w:t>
      </w:r>
      <w:r>
        <w:rPr>
          <w:color w:val="0563C1"/>
        </w:rPr>
        <w:t xml:space="preserve">(ROCKWOOL Fonden, 2025; Cuervo and Vera-Toscano, 2025)</w:t>
      </w:r>
      <w:r>
        <w:t xml:space="preserve">. England is the partial exception, where leavers out-earn their own last teaching salary and still fall behind comparable stayers </w:t>
      </w:r>
      <w:r>
        <w:rPr>
          <w:color w:val="0563C1"/>
        </w:rPr>
        <w:t xml:space="preserve">(Worth and McLean, 2022)</w:t>
      </w:r>
      <w:r>
        <w:t xml:space="preserve">.</w:t>
      </w:r>
    </w:p>
    <w:p>
      <w:pPr>
        <w:spacing w:after="130" w:line="242"/>
        <w:jc w:val="both"/>
      </w:pPr>
      <w:r>
        <w:t xml:space="preserve">Pay is only half of the financial area. In most pension schemes covering teachers, retiring before the age the rules set reduces the pension, and retiring later barely increases it, so teacher retirements cluster around that age, which is a parameter of the regulation and not of individual preferences. The mechanism is the shape of accrual, since in defined-benefit schemes pension wealth grows slowly through most of the career, very fast just before the full-pension age, and hardly at all afterwards, so one more year of work can be worth a great deal at 54 and almost nothing at 60 </w:t>
      </w:r>
      <w:r>
        <w:rPr>
          <w:color w:val="0563C1"/>
        </w:rPr>
        <w:t xml:space="preserve">(Costrell and Podgursky, 2009)</w:t>
      </w:r>
      <w:r>
        <w:t xml:space="preserve">. The profile generalises across the civil-service teacher schemes of Europe and North America, while defined-contribution systems, as in Sweden or Australia, are close to actuarially neutral and spread retirements accordingly </w:t>
      </w:r>
      <w:r>
        <w:rPr>
          <w:color w:val="0563C1"/>
        </w:rPr>
        <w:t xml:space="preserve">(OECD, 2025e)</w:t>
      </w:r>
      <w:r>
        <w:t xml:space="preserve">.</w:t>
      </w:r>
      <w:r>
        <w:rPr>
          <w:rStyle w:val="FootnoteReference"/>
        </w:rPr>
        <w:footnoteReference w:id="11"/>
      </w:r>
      <w:r>
        <w:t xml:space="preserve"> Teachers anticipate these incentives, and retirements concentrate at the ages from which retiring stops being penalised; structural estimates on administrative records reproduce the observed retirement spikes as forward-looking responses to the rules </w:t>
      </w:r>
      <w:r>
        <w:rPr>
          <w:color w:val="0563C1"/>
        </w:rPr>
        <w:t xml:space="preserve">(Ni and Podgursky, 2016)</w:t>
      </w:r>
      <w:r>
        <w:t xml:space="preserve">. The retirement peaks visible in Figure 1 are therefore partly a product of design.</w:t>
      </w:r>
    </w:p>
    <w:p>
      <w:pPr>
        <w:spacing w:after="130" w:line="242"/>
        <w:jc w:val="both"/>
      </w:pPr>
      <w:r>
        <w:t xml:space="preserve">In this same line, other countries have priced early exit and observed the response, as in France, where the 2003 reform priced early claiming and retirement at ages 60 and 61 among secondary teachers fell by around 9 percentage points </w:t>
      </w:r>
      <w:r>
        <w:rPr>
          <w:color w:val="0563C1"/>
        </w:rPr>
        <w:t xml:space="preserve">(Baraton, Beffy and Fougère, 2011)</w:t>
      </w:r>
      <w:r>
        <w:t xml:space="preserve">, and in the Netherlands, where public employees facing lower pension wealth postponed their expected retirement </w:t>
      </w:r>
      <w:r>
        <w:rPr>
          <w:color w:val="0563C1"/>
        </w:rPr>
        <w:t xml:space="preserve">(Montizaan, Cörvers and de Grip, 2010)</w:t>
      </w:r>
      <w:r>
        <w:t xml:space="preserve">.</w:t>
      </w:r>
    </w:p>
    <w:p>
      <w:pPr>
        <w:spacing w:after="130" w:line="242"/>
        <w:jc w:val="both"/>
      </w:pPr>
      <w:r>
        <w:t xml:space="preserve">From an economic perspective, the future pension is an incentive to remain in teaching only to the extent that the teacher values it today, and how much teachers value that deferred income remains open, with estimates running from about 20 cents per dollar of present value to near parity </w:t>
      </w:r>
      <w:r>
        <w:rPr>
          <w:color w:val="0563C1"/>
        </w:rPr>
        <w:t xml:space="preserve">(Fitzpatrick, 2015; Ni, Podgursky and Wang, 2022)</w:t>
      </w:r>
      <w:r>
        <w:t xml:space="preserve">.</w:t>
      </w:r>
      <w:r>
        <w:rPr>
          <w:rStyle w:val="FootnoteReference"/>
        </w:rPr>
        <w:footnoteReference w:id="12"/>
      </w:r>
      <w:r>
        <w:t xml:space="preserve"> What the quasi-experimental record does establish is that pension generosity retains selectively, binding those close to the accrual spike and doing little, per unit of cost, for the early-career teachers among whom attrition is highest </w:t>
      </w:r>
      <w:r>
        <w:rPr>
          <w:color w:val="0563C1"/>
        </w:rPr>
        <w:t xml:space="preserve">(Koedel and Xiang, 2017; Quinby and Wettstein, 2021)</w:t>
      </w:r>
      <w:r>
        <w:t xml:space="preserve">.</w:t>
      </w:r>
    </w:p>
    <w:p>
      <w:pPr>
        <w:spacing w:after="130" w:line="242"/>
        <w:jc w:val="both"/>
      </w:pPr>
      <w:r>
        <w:t xml:space="preserve">Finally, personal and life-course factors also drive a substantial part of departures. The area gathers family formation and childbirth, health, relocation and the stage of the career itself, and the birth of a child is the best documented of them among female teachers. In England, where the workforce census can follow teachers after maternity leave, between 17% and 20% of those who return leave the profession within a year, double the rate of comparable teachers, and women aged 30 to 39 form the largest group among those who leave </w:t>
      </w:r>
      <w:r>
        <w:rPr>
          <w:color w:val="0563C1"/>
        </w:rPr>
        <w:t xml:space="preserve">(Department for Education, 2023)</w:t>
      </w:r>
      <w:r>
        <w:t xml:space="preserve">.</w:t>
      </w:r>
      <w:r>
        <w:rPr>
          <w:rStyle w:val="FootnoteReference"/>
        </w:rPr>
        <w:footnoteReference w:id="13"/>
      </w:r>
      <w:r>
        <w:t xml:space="preserve"> Structural modelling attributes much of the fall in teachers' labour-force participation after certification to marriage and fertility, and two thirds of exiting female teachers left the labour market altogether </w:t>
      </w:r>
      <w:r>
        <w:rPr>
          <w:color w:val="0563C1"/>
        </w:rPr>
        <w:t xml:space="preserve">(Stinebrickner, 2001; Stinebrickner, 2002)</w:t>
      </w:r>
      <w:r>
        <w:t xml:space="preserve">. Where the law makes hours adjustable, the same event shows up inside the profession instead of at its exit, as in Germany or the Netherlands, where part-time work absorbs it </w:t>
      </w:r>
      <w:r>
        <w:rPr>
          <w:color w:val="0563C1"/>
        </w:rPr>
        <w:t xml:space="preserve">(Destatis, 2024; CBS, 2023)</w:t>
      </w:r>
      <w:r>
        <w:t xml:space="preserve">. A causal estimate of the effect of childbirth on teacher exit and return does not yet exist in any OECD system, and the gap is immediate for a paper about re-entry, because a teacher on a career break and a teacher permanently gone cannot at present be told apart in the data.</w:t>
      </w:r>
    </w:p>
    <w:p>
      <w:pPr>
        <w:spacing w:after="130" w:line="242"/>
        <w:jc w:val="both"/>
      </w:pPr>
      <w:r>
        <w:t xml:space="preserve">The law around that event varies as much as the part-time rules already discussed. A Spanish teacher on a permanent public contract has nineteen weeks of paid leave and may take up to three years of childcare leave per child, the first two with her post reserved </w:t>
      </w:r>
      <w:r>
        <w:rPr>
          <w:color w:val="0563C1"/>
        </w:rPr>
        <w:t xml:space="preserve">(Government of Spain, 2015; Government of Spain, 2025)</w:t>
      </w:r>
      <w:r>
        <w:t xml:space="preserve">; a teacher in the United States is guaranteed twelve unpaid weeks under federal law, and fewer than one in five large districts pay parental leave </w:t>
      </w:r>
      <w:r>
        <w:rPr>
          <w:color w:val="0563C1"/>
        </w:rPr>
        <w:t xml:space="preserve">(United States, 2013; National Council on Teacher Quality, 2026)</w:t>
      </w:r>
      <w:r>
        <w:t xml:space="preserve">.</w:t>
      </w:r>
      <w:r>
        <w:rPr>
          <w:rStyle w:val="FootnoteReference"/>
        </w:rPr>
        <w:footnoteReference w:id="14"/>
      </w:r>
      <w:r>
        <w:t xml:space="preserve"> In the Spanish design childbirth interrupts a career without ending it; in the American one the same event forces an exit that the system must later reverse through re-employment. This area also frames the career as a whole, since departure is most frequent in the first years, falls through mid-career and rises again as retirement approaches </w:t>
      </w:r>
      <w:r>
        <w:rPr>
          <w:color w:val="0563C1"/>
        </w:rPr>
        <w:t xml:space="preserve">(Guarino, Santibañez and Daley, 2006)</w:t>
      </w:r>
      <w:r>
        <w:t xml:space="preserve">; the early peak reflects sorting, the late one the pension rules just examined, and between the two sits the stable mid-career stretch where most of the potential returner population accumulates.</w:t>
      </w:r>
    </w:p>
    <w:p>
      <w:pPr>
        <w:spacing w:after="130" w:line="242"/>
        <w:jc w:val="both"/>
      </w:pPr>
      <w:r>
        <w:t xml:space="preserve">Read together, the six areas do not weigh equally. The school-attached factors carry the most weight in observed departures; the financial ones are the best identified and bind most strongly at particular ages; the professional and family motives dominate what teachers say and remain the hardest to verify. Who leaves also matters as much as how many, since induced exits of low performers have raised achievement </w:t>
      </w:r>
      <w:r>
        <w:rPr>
          <w:color w:val="0563C1"/>
        </w:rPr>
        <w:t xml:space="preserve">(Adnot et al., 2017)</w:t>
      </w:r>
      <w:r>
        <w:t xml:space="preserve"> while turnover harms it where it clusters, in disadvantaged schools most of all </w:t>
      </w:r>
      <w:r>
        <w:rPr>
          <w:color w:val="0563C1"/>
        </w:rPr>
        <w:t xml:space="preserve">(Ronfeldt, Loeb and Wyckoff, 2013)</w:t>
      </w:r>
      <w:r>
        <w:t xml:space="preserve">. For re-entry policy, each area points to the authority able to act on it, and Section 3 orders the policies accordingly.</w:t>
      </w:r>
    </w:p>
    <w:p>
      <w:pPr>
        <w:pStyle w:val="Heading2"/>
        <w:spacing w:after="120" w:before="200"/>
      </w:pPr>
      <w:r>
        <w:rPr>
          <w:rFonts w:ascii="Garamond" w:cs="Garamond" w:eastAsia="Garamond" w:hAnsi="Garamond"/>
          <w:b/>
          <w:bCs/>
          <w:color w:val="04629A"/>
          <w:sz w:val="25"/>
          <w:szCs w:val="25"/>
        </w:rPr>
        <w:t xml:space="preserve">2.3 Stated and revealed preferences</w:t>
      </w:r>
    </w:p>
    <w:p>
      <w:pPr>
        <w:spacing w:after="130" w:line="242"/>
        <w:jc w:val="both"/>
      </w:pPr>
      <w:r>
        <w:t xml:space="preserve">The gaps found throughout the previous section share a common structure, the one expected between stated and revealed preferences </w:t>
      </w:r>
      <w:r>
        <w:rPr>
          <w:color w:val="0563C1"/>
        </w:rPr>
        <w:t xml:space="preserve">(Samuelson, 1938)</w:t>
      </w:r>
      <w:r>
        <w:t xml:space="preserve">. Teachers who leave declare workload and personal circumstances as their principal motives and place salary in the middle of the list, while teachers who are considering leaving place salary at or near the top, and observed decisions respond strongly to salary variation. Among American leavers, higher pay is the fourth most-cited main reason, at 9.5% </w:t>
      </w:r>
      <w:r>
        <w:rPr>
          <w:color w:val="0563C1"/>
        </w:rPr>
        <w:t xml:space="preserve">(NCES, 2024)</w:t>
      </w:r>
      <w:r>
        <w:t xml:space="preserve">, yet it is second, at 60%, among serving teachers considering departure </w:t>
      </w:r>
      <w:r>
        <w:rPr>
          <w:color w:val="0563C1"/>
        </w:rPr>
        <w:t xml:space="preserve">(Doan et al., 2023)</w:t>
      </w:r>
      <w:r>
        <w:t xml:space="preserve">;</w:t>
      </w:r>
      <w:r>
        <w:rPr>
          <w:rStyle w:val="FootnoteReference"/>
        </w:rPr>
        <w:footnoteReference w:id="15"/>
      </w:r>
      <w:r>
        <w:t xml:space="preserve"> English leavers cite pay at 25% to 34% against 74% to 84% for workload </w:t>
      </w:r>
      <w:r>
        <w:rPr>
          <w:color w:val="0563C1"/>
        </w:rPr>
        <w:t xml:space="preserve">(Department for Education, 2024b)</w:t>
      </w:r>
      <w:r>
        <w:t xml:space="preserve">, and Dutch leavers rank it sixth at 22% </w:t>
      </w:r>
      <w:r>
        <w:rPr>
          <w:color w:val="0563C1"/>
        </w:rPr>
        <w:t xml:space="preserve">(Van Casteren et al., 2023)</w:t>
      </w:r>
      <w:r>
        <w:t xml:space="preserve">. Set against those declarations, across twelve discrete-choice experiments in eight countries a 10% pay increase raises the probability of choosing a post by 5 to 12 percentage points </w:t>
      </w:r>
      <w:r>
        <w:rPr>
          <w:color w:val="0563C1"/>
        </w:rPr>
        <w:t xml:space="preserve">(Sims, Lowes-Belk and Routledge, 2026)</w:t>
      </w:r>
      <w:r>
        <w:t xml:space="preserve">, and Dutch part-time teachers require a 23% increase in net hourly pay before accepting a full-time post </w:t>
      </w:r>
      <w:r>
        <w:rPr>
          <w:color w:val="0563C1"/>
        </w:rPr>
        <w:t xml:space="preserve">(Somers et al., 2024a)</w:t>
      </w:r>
      <w:r>
        <w:t xml:space="preserve">. The three measurements capture the narrative a person gives, the plan a person holds and the choice a person makes, and pay weighs least in the first and most in the last, so the contrast between stated and revealed preferences is drawn in this paper on realised exits, and not on plans.</w:t>
      </w:r>
    </w:p>
    <w:p>
      <w:pPr>
        <w:spacing w:after="130" w:line="242"/>
        <w:jc w:val="both"/>
      </w:pPr>
      <w:r>
        <w:t xml:space="preserve">Many more teachers say they will leave than do. Where intention and behaviour have been measured on the same people, one leaves for every three or four who declare the intention. In a nationally representative American survey of 102 970 teachers linked to the following year's behaviour, 32.5% of those intending to leave as soon as possible had left a year later, against 6.8% of everyone else, and two thirds of them were still teaching </w:t>
      </w:r>
      <w:r>
        <w:rPr>
          <w:color w:val="0563C1"/>
        </w:rPr>
        <w:t xml:space="preserve">(Nguyen et al., 2025)</w:t>
      </w:r>
      <w:r>
        <w:t xml:space="preserve">.</w:t>
      </w:r>
      <w:r>
        <w:rPr>
          <w:rStyle w:val="FootnoteReference"/>
        </w:rPr>
        <w:footnoteReference w:id="16"/>
      </w:r>
      <w:r>
        <w:t xml:space="preserve"> Intention data still have a use, since they locate dissatisfaction across countries and school types, but they do not forecast supply. The 17% of teachers across TALIS systems who intend to leave within five years cannot for that reason be read against the 6.5% annual rate of departure; the two measure different things </w:t>
      </w:r>
      <w:r>
        <w:rPr>
          <w:color w:val="0563C1"/>
        </w:rPr>
        <w:t xml:space="preserve">(OECD, 2025a)</w:t>
      </w:r>
      <w:r>
        <w:t xml:space="preserve">. Intention data retain one comparative advantage all the same, since TALIS collects both the intention to leave and a wide set of declared factors for every participating system, so the association between motives and intended departure can be read on a single questionnaire across many systems, provided it is treated as an upper bound on realised exits </w:t>
      </w:r>
      <w:r>
        <w:rPr>
          <w:color w:val="0563C1"/>
        </w:rPr>
        <w:t xml:space="preserve">(OECD, 2025b)</w:t>
      </w:r>
      <w:r>
        <w:t xml:space="preserve">.</w:t>
      </w:r>
    </w:p>
    <w:p>
      <w:pPr>
        <w:pStyle w:val="Heading2"/>
        <w:spacing w:after="120" w:before="200"/>
      </w:pPr>
      <w:r>
        <w:rPr>
          <w:rFonts w:ascii="Garamond" w:cs="Garamond" w:eastAsia="Garamond" w:hAnsi="Garamond"/>
          <w:b/>
          <w:bCs/>
          <w:color w:val="04629A"/>
          <w:sz w:val="25"/>
          <w:szCs w:val="25"/>
        </w:rPr>
        <w:t xml:space="preserve">2.4 Destinations after leaving</w:t>
      </w:r>
    </w:p>
    <w:p>
      <w:pPr>
        <w:spacing w:after="130" w:line="242"/>
        <w:jc w:val="both"/>
      </w:pPr>
      <w:r>
        <w:t xml:space="preserve">Most of those who leave teaching keep working in the education sector, and former teachers are therefore locatable through the records of employers and regulators. In the United States, linked tax records show more than half of leavers still in education broadly defined and about one fifth out of the labour force </w:t>
      </w:r>
      <w:r>
        <w:rPr>
          <w:color w:val="0563C1"/>
        </w:rPr>
        <w:t xml:space="preserve">(Brummet et al., 2024)</w:t>
      </w:r>
      <w:r>
        <w:t xml:space="preserve">; the first-year composition is similar in Australia </w:t>
      </w:r>
      <w:r>
        <w:rPr>
          <w:color w:val="0563C1"/>
        </w:rPr>
        <w:t xml:space="preserve">(Cuervo and Vera-Toscano, 2025)</w:t>
      </w:r>
      <w:r>
        <w:t xml:space="preserve">, and most English leavers who do not retire take education-sector jobs </w:t>
      </w:r>
      <w:r>
        <w:rPr>
          <w:color w:val="0563C1"/>
        </w:rPr>
        <w:t xml:space="preserve">(Worth, Bamford and Durbin, 2015)</w:t>
      </w:r>
      <w:r>
        <w:t xml:space="preserve">. Fewer than a quarter work outside education altogether, so the modern former teacher is usually still employed, often nearby, and reachable through the administrative systems that already pay or license them. [Figure to be inserted: destinations of United States leavers.]</w:t>
      </w:r>
    </w:p>
    <w:p>
      <w:pPr>
        <w:spacing w:after="130" w:line="242"/>
        <w:jc w:val="both"/>
      </w:pPr>
      <w:r>
        <w:t xml:space="preserve">The population of former teachers is large wherever it has been counted, and the gross count overstates the usable reserve, which discounts expired certificates and specialisations without vacancies. In Michigan, 61 252 of 141 810 certified teachers do not teach in a public school, and half of those hold expired certificates </w:t>
      </w:r>
      <w:r>
        <w:rPr>
          <w:color w:val="0563C1"/>
        </w:rPr>
        <w:t xml:space="preserve">(Lindsay, Gnedko-Berry and Wan, 2021)</w:t>
      </w:r>
      <w:r>
        <w:t xml:space="preserve">; the Netherlands counts some 62 000 qualified teachers outside education, four times its measured secondary shortage </w:t>
      </w:r>
      <w:r>
        <w:rPr>
          <w:color w:val="0563C1"/>
        </w:rPr>
        <w:t xml:space="preserve">(Somers et al., 2024b)</w:t>
      </w:r>
      <w:r>
        <w:t xml:space="preserve">.</w:t>
      </w:r>
      <w:r>
        <w:rPr>
          <w:rStyle w:val="FootnoteReference"/>
        </w:rPr>
        <w:footnoteReference w:id="17"/>
      </w:r>
      <w:r>
        <w:t xml:space="preserve"> What a return offer can expect depends on why each person left. In Scotland, most teachers interviewed at length had left after an accumulation of pressures, with their vocational commitment intact </w:t>
      </w:r>
      <w:r>
        <w:rPr>
          <w:color w:val="0563C1"/>
        </w:rPr>
        <w:t xml:space="preserve">(Hulme et al., 2026)</w:t>
      </w:r>
      <w:r>
        <w:t xml:space="preserve">, so the reserve contains people for whom the question is the conditions of a return, and it is to that population that the next section turns.</w:t>
      </w:r>
    </w:p>
    <w:p>
      <w:pPr>
        <w:pStyle w:val="Heading1"/>
        <w:pageBreakBefore/>
        <w:spacing w:after="220" w:before="0"/>
      </w:pPr>
      <w:r>
        <w:rPr>
          <w:rFonts w:ascii="Garamond" w:cs="Garamond" w:eastAsia="Garamond" w:hAnsi="Garamond"/>
          <w:b/>
          <w:bCs/>
          <w:color w:val="04629A"/>
          <w:sz w:val="30"/>
          <w:szCs w:val="30"/>
        </w:rPr>
        <w:t xml:space="preserve">3. The policies</w:t>
      </w:r>
    </w:p>
    <w:p>
      <w:pPr>
        <w:spacing w:after="130" w:line="242"/>
        <w:jc w:val="both"/>
      </w:pPr>
      <w:r>
        <w:t xml:space="preserve">My proposed labeling/characterization of initiatives and policies is the following:</w:t>
      </w:r>
    </w:p>
    <w:p>
      <w:pPr>
        <w:spacing w:after="70"/>
        <w:ind w:left="280" w:hanging="280"/>
      </w:pPr>
      <w:r>
        <w:rPr>
          <w:sz w:val="20"/>
          <w:szCs w:val="20"/>
        </w:rPr>
        <w:t xml:space="preserve">Regulatory / legal</w:t>
      </w:r>
    </w:p>
    <w:p>
      <w:pPr>
        <w:spacing w:after="70"/>
        <w:ind w:left="280" w:hanging="280"/>
      </w:pPr>
      <w:r>
        <w:rPr>
          <w:sz w:val="20"/>
          <w:szCs w:val="20"/>
        </w:rPr>
        <w:t xml:space="preserve">Financial incentives</w:t>
      </w:r>
    </w:p>
    <w:p>
      <w:pPr>
        <w:spacing w:after="70"/>
        <w:ind w:left="280" w:hanging="280"/>
      </w:pPr>
      <w:r>
        <w:rPr>
          <w:sz w:val="20"/>
          <w:szCs w:val="20"/>
        </w:rPr>
        <w:t xml:space="preserve">Information &amp; nudges</w:t>
      </w:r>
    </w:p>
    <w:p>
      <w:pPr>
        <w:spacing w:after="70"/>
        <w:ind w:left="280" w:hanging="280"/>
      </w:pPr>
      <w:r>
        <w:rPr>
          <w:sz w:val="20"/>
          <w:szCs w:val="20"/>
        </w:rPr>
        <w:t xml:space="preserve">Support &amp; training</w:t>
      </w:r>
    </w:p>
    <w:p>
      <w:pPr>
        <w:spacing w:after="70"/>
        <w:ind w:left="280" w:hanging="280"/>
      </w:pPr>
      <w:r>
        <w:rPr>
          <w:sz w:val="20"/>
          <w:szCs w:val="20"/>
        </w:rPr>
        <w:t xml:space="preserve">Flexible positions</w:t>
      </w:r>
    </w:p>
    <w:p>
      <w:pPr>
        <w:spacing w:after="70"/>
        <w:ind w:left="280" w:hanging="280"/>
      </w:pPr>
      <w:r>
        <w:rPr>
          <w:sz w:val="20"/>
          <w:szCs w:val="20"/>
        </w:rPr>
        <w:t xml:space="preserve">Flexible re-certification</w:t>
      </w:r>
    </w:p>
    <w:p>
      <w:pPr>
        <w:pStyle w:val="Heading1"/>
        <w:pageBreakBefore/>
        <w:spacing w:after="220" w:before="0"/>
      </w:pPr>
      <w:r>
        <w:rPr>
          <w:rFonts w:ascii="Garamond" w:cs="Garamond" w:eastAsia="Garamond" w:hAnsi="Garamond"/>
          <w:b/>
          <w:bCs/>
          <w:color w:val="04629A"/>
          <w:sz w:val="30"/>
          <w:szCs w:val="30"/>
        </w:rPr>
        <w:t xml:space="preserve">4. Conclusions</w:t>
      </w:r>
    </w:p>
    <w:p>
      <w:pPr>
        <w:pStyle w:val="Heading2"/>
        <w:spacing w:after="120" w:before="200"/>
      </w:pPr>
      <w:r>
        <w:rPr>
          <w:rFonts w:ascii="Garamond" w:cs="Garamond" w:eastAsia="Garamond" w:hAnsi="Garamond"/>
          <w:b/>
          <w:bCs/>
          <w:color w:val="04629A"/>
          <w:sz w:val="25"/>
          <w:szCs w:val="25"/>
        </w:rPr>
        <w:t xml:space="preserve">References</w:t>
      </w:r>
    </w:p>
    <w:p>
      <w:pPr>
        <w:spacing w:after="70"/>
        <w:ind w:left="280" w:hanging="280"/>
      </w:pPr>
      <w:r>
        <w:rPr>
          <w:sz w:val="20"/>
          <w:szCs w:val="20"/>
        </w:rPr>
        <w:t xml:space="preserve">Adermon, A. and L. Laun (2018), *Bristyrken i offentlig verksamhet* [Shortage occupations in the public sector], IFAU Rapport 2018:19, Institutet för arbetsmarknads- och utbildningspolitisk utvärdering, Uppsala, https://www.ifau.se/globalassets/pdf/se/2018/r-2018-19-bristyrken-i-offentlig-verksamhet.pdf.</w:t>
      </w:r>
    </w:p>
    <w:p>
      <w:pPr>
        <w:spacing w:after="70"/>
        <w:ind w:left="280" w:hanging="280"/>
      </w:pPr>
      <w:r>
        <w:rPr>
          <w:sz w:val="20"/>
          <w:szCs w:val="20"/>
        </w:rPr>
        <w:t xml:space="preserve">Adnot, M., T. Dee, V. Katz and J. Wyckoff (2017), "Teacher turnover, teacher quality, and student achievement in DCPS", *Educational Evaluation and Policy Analysis*, Vol. 39/1, pp. 54-76, https://doi.org/10.3102/0162373716663646.</w:t>
      </w:r>
    </w:p>
    <w:p>
      <w:pPr>
        <w:spacing w:after="70"/>
        <w:ind w:left="280" w:hanging="280"/>
      </w:pPr>
      <w:r>
        <w:rPr>
          <w:sz w:val="20"/>
          <w:szCs w:val="20"/>
        </w:rPr>
        <w:t xml:space="preserve">AE (2024), *Mange nye folkeskolelærere forlader folkeskolen på få år*, Arbejderbevægelsens Erhvervsråd, Copenhagen, https://www.ae.dk/analyse/2024-06-mange-nye-folkeskolelaerere-forlader-folkeskolen-paa-faa-aar.</w:t>
      </w:r>
    </w:p>
    <w:p>
      <w:pPr>
        <w:spacing w:after="70"/>
        <w:ind w:left="280" w:hanging="280"/>
      </w:pPr>
      <w:r>
        <w:rPr>
          <w:sz w:val="20"/>
          <w:szCs w:val="20"/>
        </w:rPr>
        <w:t xml:space="preserve">Aldeman, C. and S. Yi (2025), "Are teachers abandoning teaching? Data show teacher turnover remains low", *Education Next*, 18 December 2025, https://www.educationnext.org/are-teachers-abandoning-teaching-data-show-teacher-turnover-remains-low/.</w:t>
      </w:r>
    </w:p>
    <w:p>
      <w:pPr>
        <w:spacing w:after="70"/>
        <w:ind w:left="280" w:hanging="280"/>
      </w:pPr>
      <w:r>
        <w:rPr>
          <w:sz w:val="20"/>
          <w:szCs w:val="20"/>
        </w:rPr>
        <w:t xml:space="preserve">Baraton, M., M. Beffy and D. Fougère (2011), "Une évaluation de l'effet de la réforme de 2003 sur les départs en retraite : Le cas des enseignants du second degré public", *Économie et Statistique*, No. 441-442, pp. 55-78, https://doi.org/10.3406/estat.2011.9615.</w:t>
      </w:r>
    </w:p>
    <w:p>
      <w:pPr>
        <w:spacing w:after="70"/>
        <w:ind w:left="280" w:hanging="280"/>
      </w:pPr>
      <w:r>
        <w:rPr>
          <w:sz w:val="20"/>
          <w:szCs w:val="20"/>
        </w:rPr>
        <w:t xml:space="preserve">Björnsdóttir, A. and B. Hansen (2024), study of teacher retention and departure in Iceland using Statistics Iceland register data 1998-2020, *Netla — Veftímarit um uppeldi og menntun*, Reykjavik. [Full bibliographic details to be completed before publication.]</w:t>
      </w:r>
    </w:p>
    <w:p>
      <w:pPr>
        <w:spacing w:after="70"/>
        <w:ind w:left="280" w:hanging="280"/>
      </w:pPr>
      <w:r>
        <w:rPr>
          <w:sz w:val="20"/>
          <w:szCs w:val="20"/>
        </w:rPr>
        <w:t xml:space="preserve">Boyd, D. et al. (2011), "The influence of school administrators on teacher retention decisions", *American Educational Research Journal*, Vol. 48/2, pp. 303-333, https://doi.org/10.3102/0002831210380788.</w:t>
      </w:r>
    </w:p>
    <w:p>
      <w:pPr>
        <w:spacing w:after="70"/>
        <w:ind w:left="280" w:hanging="280"/>
      </w:pPr>
      <w:r>
        <w:rPr>
          <w:sz w:val="20"/>
          <w:szCs w:val="20"/>
        </w:rPr>
        <w:t xml:space="preserve">Brandenburg, R. et al. (2024), "'I left the teaching profession... and this is what I am doing now': A national study of teacher attrition", *The Australian Educational Researcher*, Vol. 51, pp. 2381-2400, https://doi.org/10.1007/s13384-024-00697-1.</w:t>
      </w:r>
    </w:p>
    <w:p>
      <w:pPr>
        <w:spacing w:after="70"/>
        <w:ind w:left="280" w:hanging="280"/>
      </w:pPr>
      <w:r>
        <w:rPr>
          <w:sz w:val="20"/>
          <w:szCs w:val="20"/>
        </w:rPr>
        <w:t xml:space="preserve">Brummet, Q., E. K. Penner, N. Pharris-Ciurej and S. R. Porter (2024), "The earnings and labor market trajectories of teachers who leave the profession", *Educational Evaluation and Policy Analysis*, Vol. 47/2, pp. 503-531, https://doi.org/10.3102/01623737241227906.</w:t>
      </w:r>
    </w:p>
    <w:p>
      <w:pPr>
        <w:spacing w:after="70"/>
        <w:ind w:left="280" w:hanging="280"/>
      </w:pPr>
      <w:r>
        <w:rPr>
          <w:sz w:val="20"/>
          <w:szCs w:val="20"/>
        </w:rPr>
        <w:t xml:space="preserve">Buckley, J. and S. Griselda (2025), *Who Stays, Who Goes? A New Look at Teacher Attrition Using Administrative Data*, e61 Institute Research Note, Sydney, https://e61.in/who-stays-who-goes-a-new-look-at-teacher-attrition-using-administrative-data/.</w:t>
      </w:r>
    </w:p>
    <w:p>
      <w:pPr>
        <w:spacing w:after="70"/>
        <w:ind w:left="280" w:hanging="280"/>
      </w:pPr>
      <w:r>
        <w:rPr>
          <w:sz w:val="20"/>
          <w:szCs w:val="20"/>
        </w:rPr>
        <w:t xml:space="preserve">Carver-Thomas, D. and L. Darling-Hammond (2019), "The trouble with teacher turnover: How teacher attrition affects students and schools", *Education Policy Analysis Archives*, Vol. 27/36, https://doi.org/10.14507/epaa.27.3699.</w:t>
      </w:r>
    </w:p>
    <w:p>
      <w:pPr>
        <w:spacing w:after="70"/>
        <w:ind w:left="280" w:hanging="280"/>
      </w:pPr>
      <w:r>
        <w:rPr>
          <w:sz w:val="20"/>
          <w:szCs w:val="20"/>
        </w:rPr>
        <w:t xml:space="preserve">CBS (2023), *Werken in het onderwijs: Deeltijd en voltijd*, Centraal Bureau voor de Statistiek, The Hague, https://www.cbs.nl/.</w:t>
      </w:r>
    </w:p>
    <w:p>
      <w:pPr>
        <w:spacing w:after="70"/>
        <w:ind w:left="280" w:hanging="280"/>
      </w:pPr>
      <w:r>
        <w:rPr>
          <w:sz w:val="20"/>
          <w:szCs w:val="20"/>
        </w:rPr>
        <w:t xml:space="preserve">CBS Israel (2023), *Teaching Staff Leaving the Education System*, Central Bureau of Statistics, Jerusalem, https://www.cbs.gov.il/. [Full bibliographic details to be completed before publication.]</w:t>
      </w:r>
    </w:p>
    <w:p>
      <w:pPr>
        <w:spacing w:after="70"/>
        <w:ind w:left="280" w:hanging="280"/>
      </w:pPr>
      <w:r>
        <w:rPr>
          <w:sz w:val="20"/>
          <w:szCs w:val="20"/>
        </w:rPr>
        <w:t xml:space="preserve">Chingos, M. M. and M. R. West (2012), "Do more effective teachers earn more outside the classroom?", *Education Finance and Policy*, Vol. 7/1, pp. 8-43, https://doi.org/10.1162/EDFP_a_00052.</w:t>
      </w:r>
    </w:p>
    <w:p>
      <w:pPr>
        <w:spacing w:after="70"/>
        <w:ind w:left="280" w:hanging="280"/>
      </w:pPr>
      <w:r>
        <w:rPr>
          <w:sz w:val="20"/>
          <w:szCs w:val="20"/>
        </w:rPr>
        <w:t xml:space="preserve">CIAE (2025), *Abandono docente en el sistema educativo chileno 2015-2024*, Informe OFD No. 12, by J. P. Valenzuela and F. Meneses, Observatorio de Formación Docente, CIAE, Universidad de Chile, Santiago, https://ciae.uchile.cl/noticia/abandono-docente-en-la-educacion-publica-llega-solo-a-4-anual-y-profesores-se-mantendrian-25-anos-en-ejercicio.</w:t>
      </w:r>
    </w:p>
    <w:p>
      <w:pPr>
        <w:spacing w:after="70"/>
        <w:ind w:left="280" w:hanging="280"/>
      </w:pPr>
      <w:r>
        <w:rPr>
          <w:sz w:val="20"/>
          <w:szCs w:val="20"/>
        </w:rPr>
        <w:t xml:space="preserve">Clotfelter, C., E. Glennie, H. Ladd and J. Vigdor (2008), "Would higher salaries keep teachers in high-poverty schools? Evidence from a policy intervention in North Carolina", *Journal of Public Economics*, Vol. 92/5-6, pp. 1352-1370, https://doi.org/10.1016/j.jpubeco.2007.07.003.</w:t>
      </w:r>
    </w:p>
    <w:p>
      <w:pPr>
        <w:spacing w:after="70"/>
        <w:ind w:left="280" w:hanging="280"/>
      </w:pPr>
      <w:r>
        <w:rPr>
          <w:sz w:val="20"/>
          <w:szCs w:val="20"/>
        </w:rPr>
        <w:t xml:space="preserve">Costrell, R. M. and M. Podgursky (2009), "Peaks, cliffs, and valleys: The peculiar incentives in teacher retirement systems and their consequences for school staffing", *Education Finance and Policy*, Vol. 4/2, pp. 175-211, https://doi.org/10.1162/edfp.2009.4.2.175.</w:t>
      </w:r>
    </w:p>
    <w:p>
      <w:pPr>
        <w:spacing w:after="70"/>
        <w:ind w:left="280" w:hanging="280"/>
      </w:pPr>
      <w:r>
        <w:rPr>
          <w:sz w:val="20"/>
          <w:szCs w:val="20"/>
        </w:rPr>
        <w:t xml:space="preserve">Cuervo, H. and E. Vera-Toscano (2025), "Teacher attrition in Australia: Evidence of labour market and wage outcomes from longitudinal data", *Australian Journal of Education*, https://doi.org/10.1177/00049441251341603.</w:t>
      </w:r>
    </w:p>
    <w:p>
      <w:pPr>
        <w:spacing w:after="70"/>
        <w:ind w:left="280" w:hanging="280"/>
      </w:pPr>
      <w:r>
        <w:rPr>
          <w:sz w:val="20"/>
          <w:szCs w:val="20"/>
        </w:rPr>
        <w:t xml:space="preserve">DeCesare, D., A. McClelland and B. Randel (2017), *Impacts of the Retired Mentors for New Teachers Program*, REL 2017-225, Regional Educational Laboratory Central, Institute of Education Sciences, U.S. Department of Education, Washington, DC, https://ies.ed.gov/ncee/edlabs.</w:t>
      </w:r>
    </w:p>
    <w:p>
      <w:pPr>
        <w:spacing w:after="70"/>
        <w:ind w:left="280" w:hanging="280"/>
      </w:pPr>
      <w:r>
        <w:rPr>
          <w:sz w:val="20"/>
          <w:szCs w:val="20"/>
        </w:rPr>
        <w:t xml:space="preserve">Department for Education (2023), *School Workforce in England: Ad Hoc Statistics on Maternity Leave and Returns*, Department for Education, London. [Release to be verified before publication.]</w:t>
      </w:r>
    </w:p>
    <w:p>
      <w:pPr>
        <w:spacing w:after="70"/>
        <w:ind w:left="280" w:hanging="280"/>
      </w:pPr>
      <w:r>
        <w:rPr>
          <w:sz w:val="20"/>
          <w:szCs w:val="20"/>
        </w:rPr>
        <w:t xml:space="preserve">Department for Education (2024a), *School Workforce in England: Reporting Year 2023*, National Statistics, London, https://explore-education-statistics.service.gov.uk/find-statistics/school-workforce-in-england.</w:t>
      </w:r>
    </w:p>
    <w:p>
      <w:pPr>
        <w:spacing w:after="70"/>
        <w:ind w:left="280" w:hanging="280"/>
      </w:pPr>
      <w:r>
        <w:rPr>
          <w:sz w:val="20"/>
          <w:szCs w:val="20"/>
        </w:rPr>
        <w:t xml:space="preserve">Department for Education (2024b), *Working Lives of Teachers and Leaders: Wave 3 and Wave 4 Reports*, Department for Education, London, https://www.gov.uk/government/publications/working-lives-of-teachers-and-leaders.</w:t>
      </w:r>
    </w:p>
    <w:p>
      <w:pPr>
        <w:spacing w:after="70"/>
        <w:ind w:left="280" w:hanging="280"/>
      </w:pPr>
      <w:r>
        <w:rPr>
          <w:sz w:val="20"/>
          <w:szCs w:val="20"/>
        </w:rPr>
        <w:t xml:space="preserve">Destatis (2024), *Schuljahr 2023/24: 43,1% der Lehrkräfte arbeiteten in Teilzeit*, Statistisches Bundesamt, Wiesbaden, https://www.destatis.de/.</w:t>
      </w:r>
    </w:p>
    <w:p>
      <w:pPr>
        <w:spacing w:after="70"/>
        <w:ind w:left="280" w:hanging="280"/>
      </w:pPr>
      <w:r>
        <w:rPr>
          <w:sz w:val="20"/>
          <w:szCs w:val="20"/>
        </w:rPr>
        <w:t xml:space="preserve">Doan, S., E. D. Steiner, R. Pandey and A. Woo (2023), *Teacher Well-Being and Intentions to Leave: Findings from the 2023 State of the American Teacher Survey*, RR-A1108-8, RAND Corporation, Santa Monica, CA, https://www.rand.org/pubs/research_reports/RRA1108-8.html.</w:t>
      </w:r>
    </w:p>
    <w:p>
      <w:pPr>
        <w:spacing w:after="70"/>
        <w:ind w:left="280" w:hanging="280"/>
      </w:pPr>
      <w:r>
        <w:rPr>
          <w:sz w:val="20"/>
          <w:szCs w:val="20"/>
        </w:rPr>
        <w:t xml:space="preserve">Education Counts (2025), *Teacher Turnover*, New Zealand Ministry of Education, Wellington, https://www.educationcounts.govt.nz/statistics/teacher-turnover.</w:t>
      </w:r>
    </w:p>
    <w:p>
      <w:pPr>
        <w:spacing w:after="70"/>
        <w:ind w:left="280" w:hanging="280"/>
      </w:pPr>
      <w:r>
        <w:rPr>
          <w:sz w:val="20"/>
          <w:szCs w:val="20"/>
        </w:rPr>
        <w:t xml:space="preserve">Falch, T. (2011), "Teacher mobility responses to wage changes: Evidence from a quasi-natural experiment", *American Economic Review*, Vol. 101/3, pp. 460-465, https://doi.org/10.1257/aer.101.3.460.</w:t>
      </w:r>
    </w:p>
    <w:p>
      <w:pPr>
        <w:spacing w:after="70"/>
        <w:ind w:left="280" w:hanging="280"/>
      </w:pPr>
      <w:r>
        <w:rPr>
          <w:sz w:val="20"/>
          <w:szCs w:val="20"/>
        </w:rPr>
        <w:t xml:space="preserve">Fitzpatrick, M. D. (2015), "How much are public school teachers willing to pay for their retirement benefits?", *American Economic Journal: Economic Policy*, Vol. 7/4, pp. 165-188, https://doi.org/10.1257/pol.20140087.</w:t>
      </w:r>
    </w:p>
    <w:p>
      <w:pPr>
        <w:spacing w:after="70"/>
        <w:ind w:left="280" w:hanging="280"/>
      </w:pPr>
      <w:r>
        <w:rPr>
          <w:sz w:val="20"/>
          <w:szCs w:val="20"/>
        </w:rPr>
        <w:t xml:space="preserve">Government of Spain (2015), *Real Decreto Legislativo 5/2015, de 30 de octubre, por el que se aprueba el texto refundido de la Ley del Estatuto Básico del Empleado Público*, Articles 49 and 89, Boletín Oficial del Estado, Madrid, https://www.boe.es/eli/es/rdlg/2015/10/30/5/con.</w:t>
      </w:r>
    </w:p>
    <w:p>
      <w:pPr>
        <w:spacing w:after="70"/>
        <w:ind w:left="280" w:hanging="280"/>
      </w:pPr>
      <w:r>
        <w:rPr>
          <w:sz w:val="20"/>
          <w:szCs w:val="20"/>
        </w:rPr>
        <w:t xml:space="preserve">Government of Spain (2025), *Real Decreto-ley 9/2025, de 29 de julio, por el que se amplía el permiso por nacimiento y cuidado del menor*, Boletín Oficial del Estado, Madrid.</w:t>
      </w:r>
    </w:p>
    <w:p>
      <w:pPr>
        <w:spacing w:after="70"/>
        <w:ind w:left="280" w:hanging="280"/>
      </w:pPr>
      <w:r>
        <w:rPr>
          <w:sz w:val="20"/>
          <w:szCs w:val="20"/>
        </w:rPr>
        <w:t xml:space="preserve">Guarino, C. M., L. Santibañez and G. A. Daley (2006), "Teacher recruitment and retention: A review of the recent empirical literature", *Review of Educational Research*, Vol. 76/2, pp. 173-208, https://doi.org/10.3102/00346543076002173.</w:t>
      </w:r>
    </w:p>
    <w:p>
      <w:pPr>
        <w:spacing w:after="70"/>
        <w:ind w:left="280" w:hanging="280"/>
      </w:pPr>
      <w:r>
        <w:rPr>
          <w:sz w:val="20"/>
          <w:szCs w:val="20"/>
        </w:rPr>
        <w:t xml:space="preserve">Gundlach, H. A. D., G. R. Slemp and J. Hattie (2024), "A meta-analysis of the antecedents of teacher turnover and retention", *Educational Research Review*, Vol. 44, 100606, https://doi.org/10.1016/j.edurev.2024.100606.</w:t>
      </w:r>
    </w:p>
    <w:p>
      <w:pPr>
        <w:spacing w:after="70"/>
        <w:ind w:left="280" w:hanging="280"/>
      </w:pPr>
      <w:r>
        <w:rPr>
          <w:sz w:val="20"/>
          <w:szCs w:val="20"/>
        </w:rPr>
        <w:t xml:space="preserve">Harris, D. N. and S. J. Adams (2007), "Understanding the level and causes of teacher turnover: A comparison with other professions", *Economics of Education Review*, Vol. 26/3, pp. 325-337, https://doi.org/10.1016/j.econedurev.2005.09.007.</w:t>
      </w:r>
    </w:p>
    <w:p>
      <w:pPr>
        <w:spacing w:after="70"/>
        <w:ind w:left="280" w:hanging="280"/>
      </w:pPr>
      <w:r>
        <w:rPr>
          <w:sz w:val="20"/>
          <w:szCs w:val="20"/>
        </w:rPr>
        <w:t xml:space="preserve">Hulme, M. et al. (2026), "Teacher turnover in Scotland: Reluctant leavers, downscaling, and the limits of voluntary exit", *Oxford Review of Education*, https://doi.org/10.1080/03054985.2026.2709882.</w:t>
      </w:r>
    </w:p>
    <w:p>
      <w:pPr>
        <w:spacing w:after="70"/>
        <w:ind w:left="280" w:hanging="280"/>
      </w:pPr>
      <w:r>
        <w:rPr>
          <w:sz w:val="20"/>
          <w:szCs w:val="20"/>
        </w:rPr>
        <w:t xml:space="preserve">KEDI (2023), *Survey Evidence on Teacher Attrition and the Infringement of Teachers' Rights*, Korean Educational Development Institute, Jincheon. [Full bibliographic details to be completed before publication.]</w:t>
      </w:r>
    </w:p>
    <w:p>
      <w:pPr>
        <w:spacing w:after="70"/>
        <w:ind w:left="280" w:hanging="280"/>
      </w:pPr>
      <w:r>
        <w:rPr>
          <w:sz w:val="20"/>
          <w:szCs w:val="20"/>
        </w:rPr>
        <w:t xml:space="preserve">Kindsiko, E. (2023), analysis of teacher attrition in Estonia using EHIS register data 2005/06-2021/22, Arenguseire Keskus, Tallinn. [Full bibliographic details to be completed before publication.]</w:t>
      </w:r>
    </w:p>
    <w:p>
      <w:pPr>
        <w:spacing w:after="70"/>
        <w:ind w:left="280" w:hanging="280"/>
      </w:pPr>
      <w:r>
        <w:rPr>
          <w:sz w:val="20"/>
          <w:szCs w:val="20"/>
        </w:rPr>
        <w:t xml:space="preserve">Koedel, C. and P. B. Xiang (2017), "Pension enhancements and the retention of public employees", *ILR Review*, Vol. 70/2, pp. 519-551, https://doi.org/10.1177/0019793916650452.</w:t>
      </w:r>
    </w:p>
    <w:p>
      <w:pPr>
        <w:spacing w:after="70"/>
        <w:ind w:left="280" w:hanging="280"/>
      </w:pPr>
      <w:r>
        <w:rPr>
          <w:sz w:val="20"/>
          <w:szCs w:val="20"/>
        </w:rPr>
        <w:t xml:space="preserve">Kraft, M. A., W. H. Marinell and D. Shen-Wei Yee (2016), "School organizational contexts, teacher turnover, and student achievement: Evidence from panel data", *American Educational Research Journal*, Vol. 53/5, pp. 1411-1449, https://doi.org/10.3102/0002831216667478.</w:t>
      </w:r>
    </w:p>
    <w:p>
      <w:pPr>
        <w:spacing w:after="70"/>
        <w:ind w:left="280" w:hanging="280"/>
      </w:pPr>
      <w:r>
        <w:rPr>
          <w:sz w:val="20"/>
          <w:szCs w:val="20"/>
        </w:rPr>
        <w:t xml:space="preserve">Lindsay, J., N. Gnedko-Berry and C. Wan (2021), *Michigan Teachers Who Are Not Teaching: Who Are They, and What Would Motivate Them to Teach?*, REL 2021-076, Regional Educational Laboratory Midwest, Institute of Education Sciences, Washington, DC, https://ies.ed.gov/ncee/edlabs/projects/project.asp?projectID=4592.</w:t>
      </w:r>
    </w:p>
    <w:p>
      <w:pPr>
        <w:spacing w:after="70"/>
        <w:ind w:left="280" w:hanging="280"/>
      </w:pPr>
      <w:r>
        <w:rPr>
          <w:sz w:val="20"/>
          <w:szCs w:val="20"/>
        </w:rPr>
        <w:t xml:space="preserve">Madigan, D. J. and L. E. Kim (2021), "Towards an understanding of teacher attrition: A meta-analysis of burnout, job satisfaction, and teachers' intentions to quit", *Teaching and Teacher Education*, Vol. 105, 103425, https://doi.org/10.1016/j.tate.2021.103425.</w:t>
      </w:r>
    </w:p>
    <w:p>
      <w:pPr>
        <w:spacing w:after="70"/>
        <w:ind w:left="280" w:hanging="280"/>
      </w:pPr>
      <w:r>
        <w:rPr>
          <w:sz w:val="20"/>
          <w:szCs w:val="20"/>
        </w:rPr>
        <w:t xml:space="preserve">Ministry of Education Korea (2023), statistics on mid-career teacher separations 2019-2023, Ministry of Education, Sejong. [Full bibliographic details to be completed before publication.]</w:t>
      </w:r>
    </w:p>
    <w:p>
      <w:pPr>
        <w:spacing w:after="70"/>
        <w:ind w:left="280" w:hanging="280"/>
      </w:pPr>
      <w:r>
        <w:rPr>
          <w:sz w:val="20"/>
          <w:szCs w:val="20"/>
        </w:rPr>
        <w:t xml:space="preserve">Montizaan, R., F. Cörvers and A. de Grip (2010), "The effects of pension rights and retirement age on training participation: Evidence from a natural experiment", *Labour Economics*, Vol. 17/1, pp. 240-247, https://doi.org/10.1016/j.labeco.2009.09.002.</w:t>
      </w:r>
    </w:p>
    <w:p>
      <w:pPr>
        <w:spacing w:after="70"/>
        <w:ind w:left="280" w:hanging="280"/>
      </w:pPr>
      <w:r>
        <w:rPr>
          <w:sz w:val="20"/>
          <w:szCs w:val="20"/>
        </w:rPr>
        <w:t xml:space="preserve">National Council on Teacher Quality (2026), *Paid Parental Leave for Teachers: State and District Policies*, NCTQ, Washington, DC, https://www.nctq.org/research-insights/how-many-school-districts-offer-paid-parental-leave/.</w:t>
      </w:r>
    </w:p>
    <w:p>
      <w:pPr>
        <w:spacing w:after="70"/>
        <w:ind w:left="280" w:hanging="280"/>
      </w:pPr>
      <w:r>
        <w:rPr>
          <w:sz w:val="20"/>
          <w:szCs w:val="20"/>
        </w:rPr>
        <w:t xml:space="preserve">NCES (2024), *Teacher Attrition and Mobility: Results from the 2021-22 Teacher Follow-up Survey*, National Center for Education Statistics, Washington, DC, https://nces.ed.gov/pubsearch/pubsinfo.asp?pubid=2024039.</w:t>
      </w:r>
    </w:p>
    <w:p>
      <w:pPr>
        <w:spacing w:after="70"/>
        <w:ind w:left="280" w:hanging="280"/>
      </w:pPr>
      <w:r>
        <w:rPr>
          <w:sz w:val="20"/>
          <w:szCs w:val="20"/>
        </w:rPr>
        <w:t xml:space="preserve">Nguyen, T. D., L. D. Pham, M. Crouch and M. G. Springer (2020), "The correlates of teacher turnover: An updated and expanded meta-analysis of the literature", *Educational Research Review*, Vol. 31, 100355, https://doi.org/10.1016/j.edurev.2020.100355.</w:t>
      </w:r>
    </w:p>
    <w:p>
      <w:pPr>
        <w:spacing w:after="70"/>
        <w:ind w:left="280" w:hanging="280"/>
      </w:pPr>
      <w:r>
        <w:rPr>
          <w:sz w:val="20"/>
          <w:szCs w:val="20"/>
        </w:rPr>
        <w:t xml:space="preserve">Nguyen, T. D., C. D. Lam and P. Bruno (2024), "What do we know about the extent of teacher shortages nationwide? A systematic examination of reports of U.S. teacher shortages", *AERA Open*, Vol. 10, https://doi.org/10.1177/23328584241276512.</w:t>
      </w:r>
    </w:p>
    <w:p>
      <w:pPr>
        <w:spacing w:after="70"/>
        <w:ind w:left="280" w:hanging="280"/>
      </w:pPr>
      <w:r>
        <w:rPr>
          <w:sz w:val="20"/>
          <w:szCs w:val="20"/>
        </w:rPr>
        <w:t xml:space="preserve">Nguyen, T. D. et al. (2025), "Teacher turnover intentions and actual turnover: Evidence from nationally representative data", *AERA Open*. [Full bibliographic details to be completed before publication.]</w:t>
      </w:r>
    </w:p>
    <w:p>
      <w:pPr>
        <w:spacing w:after="70"/>
        <w:ind w:left="280" w:hanging="280"/>
      </w:pPr>
      <w:r>
        <w:rPr>
          <w:sz w:val="20"/>
          <w:szCs w:val="20"/>
        </w:rPr>
        <w:t xml:space="preserve">Ni, S. and M. Podgursky (2016), "How teachers respond to pension system incentives: New estimates and policy applications", *Journal of Labor Economics*, Vol. 34/4, pp. 1075-1104, https://doi.org/10.1086/686263.</w:t>
      </w:r>
    </w:p>
    <w:p>
      <w:pPr>
        <w:spacing w:after="70"/>
        <w:ind w:left="280" w:hanging="280"/>
      </w:pPr>
      <w:r>
        <w:rPr>
          <w:sz w:val="20"/>
          <w:szCs w:val="20"/>
        </w:rPr>
        <w:t xml:space="preserve">Ni, S., M. Podgursky and F. Wang (2022), "How much are public school teachers willing to pay for their retirement benefits? Comment", *American Economic Journal: Economic Policy*, Vol. 14/3, pp. 478-493, https://doi.org/10.1257/pol.20200763.</w:t>
      </w:r>
    </w:p>
    <w:p>
      <w:pPr>
        <w:spacing w:after="70"/>
        <w:ind w:left="280" w:hanging="280"/>
      </w:pPr>
      <w:r>
        <w:rPr>
          <w:sz w:val="20"/>
          <w:szCs w:val="20"/>
        </w:rPr>
        <w:t xml:space="preserve">Nickow, A., P. Oreopoulos and V. Quan (2024), "The promise of tutoring for PreK-12 learning: A systematic review and meta-analysis of the experimental evidence", *American Educational Research Journal*, Vol. 61/1, pp. 74-107, https://doi.org/10.3102/00028312231208687.</w:t>
      </w:r>
    </w:p>
    <w:p>
      <w:pPr>
        <w:spacing w:after="70"/>
        <w:ind w:left="280" w:hanging="280"/>
      </w:pPr>
      <w:r>
        <w:rPr>
          <w:sz w:val="20"/>
          <w:szCs w:val="20"/>
        </w:rPr>
        <w:t xml:space="preserve">NŠA (2025), teacher demand and supply forecast, Nacionalinė švietimo agentūra, Vilnius. [Full bibliographic details to be completed before publication.]</w:t>
      </w:r>
    </w:p>
    <w:p>
      <w:pPr>
        <w:spacing w:after="70"/>
        <w:ind w:left="280" w:hanging="280"/>
      </w:pPr>
      <w:r>
        <w:rPr>
          <w:sz w:val="20"/>
          <w:szCs w:val="20"/>
        </w:rPr>
        <w:t xml:space="preserve">OECD (2025a), "What is the profile of the teaching workforce and how has it evolved?", in *Education at a Glance 2025: OECD Indicators*, Indicator D8, Table D8.4, OECD Publishing, Paris, https://doi.org/10.1787/f7b0b326-en.</w:t>
      </w:r>
    </w:p>
    <w:p>
      <w:pPr>
        <w:spacing w:after="70"/>
        <w:ind w:left="280" w:hanging="280"/>
      </w:pPr>
      <w:r>
        <w:rPr>
          <w:sz w:val="20"/>
          <w:szCs w:val="20"/>
        </w:rPr>
        <w:t xml:space="preserve">OECD (2025b), *Results from TALIS 2024*, OECD Publishing, Paris, https://doi.org/10.1787/90df6235-en.</w:t>
      </w:r>
    </w:p>
    <w:p>
      <w:pPr>
        <w:spacing w:after="70"/>
        <w:ind w:left="280" w:hanging="280"/>
      </w:pPr>
      <w:r>
        <w:rPr>
          <w:sz w:val="20"/>
          <w:szCs w:val="20"/>
        </w:rPr>
        <w:t xml:space="preserve">OECD (2025c), *Results from TALIS 2024, Country Notes: Japan, France and the Netherlands*, OECD Publishing, Paris, https://doi.org/10.1787/e127f9e2-en.</w:t>
      </w:r>
    </w:p>
    <w:p>
      <w:pPr>
        <w:spacing w:after="70"/>
        <w:ind w:left="280" w:hanging="280"/>
      </w:pPr>
      <w:r>
        <w:rPr>
          <w:sz w:val="20"/>
          <w:szCs w:val="20"/>
        </w:rPr>
        <w:t xml:space="preserve">OECD (2025d), "How much are teachers and school heads paid?", in *Education at a Glance 2025: OECD Indicators*, Indicator D3, Table D3.2, OECD Publishing, Paris, https://doi.org/10.1787/1c0d9c79-en.</w:t>
      </w:r>
    </w:p>
    <w:p>
      <w:pPr>
        <w:spacing w:after="70"/>
        <w:ind w:left="280" w:hanging="280"/>
      </w:pPr>
      <w:r>
        <w:rPr>
          <w:sz w:val="20"/>
          <w:szCs w:val="20"/>
        </w:rPr>
        <w:t xml:space="preserve">OECD (2025e), *Pensions at a Glance 2025: OECD and G20 Indicators*, OECD Publishing, Paris.</w:t>
      </w:r>
    </w:p>
    <w:p>
      <w:pPr>
        <w:spacing w:after="70"/>
        <w:ind w:left="280" w:hanging="280"/>
      </w:pPr>
      <w:r>
        <w:rPr>
          <w:sz w:val="20"/>
          <w:szCs w:val="20"/>
        </w:rPr>
        <w:t xml:space="preserve">Papay, J. P., E. S. Taylor, J. H. Tyler and M. E. Laski (2020), "Learning job skills from colleagues at work: Evidence from a field experiment using teacher performance data", *American Economic Journal: Economic Policy*, Vol. 12/1, pp. 359-388, https://doi.org/10.1257/pol.20170709.</w:t>
      </w:r>
    </w:p>
    <w:p>
      <w:pPr>
        <w:spacing w:after="70"/>
        <w:ind w:left="280" w:hanging="280"/>
      </w:pPr>
      <w:r>
        <w:rPr>
          <w:sz w:val="20"/>
          <w:szCs w:val="20"/>
        </w:rPr>
        <w:t xml:space="preserve">Perryman, J. et al. (2025), "'A tipping point' in teacher retention and accountability: The case of inspection", *British Journal of Educational Studies*, Vol. 73/2, pp. 181-200, https://doi.org/10.1080/00071005.2024.2439791.</w:t>
      </w:r>
    </w:p>
    <w:p>
      <w:pPr>
        <w:spacing w:after="70"/>
        <w:ind w:left="280" w:hanging="280"/>
      </w:pPr>
      <w:r>
        <w:rPr>
          <w:sz w:val="20"/>
          <w:szCs w:val="20"/>
        </w:rPr>
        <w:t xml:space="preserve">Podgursky, M., R. Monroe and D. Watson (2004), "The academic quality of public school teachers: An analysis of entry and exit behavior", *Economics of Education Review*, Vol. 23/5, pp. 507-518, https://doi.org/10.1016/j.econedurev.2004.01.005.</w:t>
      </w:r>
    </w:p>
    <w:p>
      <w:pPr>
        <w:spacing w:after="70"/>
        <w:ind w:left="280" w:hanging="280"/>
      </w:pPr>
      <w:r>
        <w:rPr>
          <w:sz w:val="20"/>
          <w:szCs w:val="20"/>
        </w:rPr>
        <w:t xml:space="preserve">Quinby, L. and G. Wettstein (2021), "Do deferred benefit cuts for current employees increase separation?", *Labour Economics*, Vol. 73, 102081, https://doi.org/10.1016/j.labeco.2021.102081.</w:t>
      </w:r>
    </w:p>
    <w:p>
      <w:pPr>
        <w:spacing w:after="70"/>
        <w:ind w:left="280" w:hanging="280"/>
      </w:pPr>
      <w:r>
        <w:rPr>
          <w:sz w:val="20"/>
          <w:szCs w:val="20"/>
        </w:rPr>
        <w:t xml:space="preserve">Räsänen, K., J. Pietarinen, K. Pyhältö, T. Soini and P. Väisänen (2020), "Why leave the teaching profession? A longitudinal approach to the prevalence and persistence of teacher turnover intentions", *Social Psychology of Education*, Vol. 23/4, pp. 837-859, https://doi.org/10.1007/s11218-020-09567-x.</w:t>
      </w:r>
    </w:p>
    <w:p>
      <w:pPr>
        <w:spacing w:after="70"/>
        <w:ind w:left="280" w:hanging="280"/>
      </w:pPr>
      <w:r>
        <w:rPr>
          <w:sz w:val="20"/>
          <w:szCs w:val="20"/>
        </w:rPr>
        <w:t xml:space="preserve">Republic of Korea (2023), *Special Act on the Improvement of Teachers' Status and the Protection of Their Educational Activities*, as amended by Act No. 19735 of 27 September 2023, Korea Legislation Research Institute, Seoul, https://elaw.klri.re.kr/eng_mobile/viewer.do?hseq=69754.</w:t>
      </w:r>
    </w:p>
    <w:p>
      <w:pPr>
        <w:spacing w:after="70"/>
        <w:ind w:left="280" w:hanging="280"/>
      </w:pPr>
      <w:r>
        <w:rPr>
          <w:sz w:val="20"/>
          <w:szCs w:val="20"/>
        </w:rPr>
        <w:t xml:space="preserve">ROCKWOOL Fonden (2025), *Folkeskolelærere, der forlader deres job, går ned i løn og søger mod job med færre sygemeldinger*, ROCKWOOL Fondens Forskningsenhed, Copenhagen, https://rockwoolfonden.dk/. [Full working-paper reference to be confirmed.]</w:t>
      </w:r>
    </w:p>
    <w:p>
      <w:pPr>
        <w:spacing w:after="70"/>
        <w:ind w:left="280" w:hanging="280"/>
      </w:pPr>
      <w:r>
        <w:rPr>
          <w:sz w:val="20"/>
          <w:szCs w:val="20"/>
        </w:rPr>
        <w:t xml:space="preserve">Samuelson, P. A. (1938), "A note on the pure theory of consumer's behaviour", *Economica*, Vol. 5/17, pp. 61-71, https://doi.org/10.2307/2548836.</w:t>
      </w:r>
    </w:p>
    <w:p>
      <w:pPr>
        <w:spacing w:after="70"/>
        <w:ind w:left="280" w:hanging="280"/>
      </w:pPr>
      <w:r>
        <w:rPr>
          <w:sz w:val="20"/>
          <w:szCs w:val="20"/>
        </w:rPr>
        <w:t xml:space="preserve">Scafidi, B., D. L. Sjoquist and T. R. Stinebrickner (2006), "Do teachers really leave for higher paying jobs in alternative occupations?", *The B.E. Journal of Economic Analysis and Policy*, Vol. 6/1, https://doi.org/10.2202/1538-0645.1604.</w:t>
      </w:r>
    </w:p>
    <w:p>
      <w:pPr>
        <w:spacing w:after="70"/>
        <w:ind w:left="280" w:hanging="280"/>
      </w:pPr>
      <w:r>
        <w:rPr>
          <w:sz w:val="20"/>
          <w:szCs w:val="20"/>
        </w:rPr>
        <w:t xml:space="preserve">See, B. H., R. Morris, S. Gorard and N. El Soufi (2020), "Teacher recruitment and retention: A critical review of international evidence of most promising interventions", *Education Sciences*, Vol. 10/10, 262, https://doi.org/10.3390/educsci10100262.</w:t>
      </w:r>
    </w:p>
    <w:p>
      <w:pPr>
        <w:spacing w:after="70"/>
        <w:ind w:left="280" w:hanging="280"/>
      </w:pPr>
      <w:r>
        <w:rPr>
          <w:sz w:val="20"/>
          <w:szCs w:val="20"/>
        </w:rPr>
        <w:t xml:space="preserve">Sims, S. (2016), *High-stakes Accountability and Teacher Turnover: How Do Different School Inspection Judgements Affect Teachers' Decisions to Leave Their School?*, Department of Quantitative Social Science Working Paper No. 16-14, UCL Institute of Education, London, https://ideas.repec.org/p/qss/dqsswp/1614.html.</w:t>
      </w:r>
    </w:p>
    <w:p>
      <w:pPr>
        <w:spacing w:after="70"/>
        <w:ind w:left="280" w:hanging="280"/>
      </w:pPr>
      <w:r>
        <w:rPr>
          <w:sz w:val="20"/>
          <w:szCs w:val="20"/>
        </w:rPr>
        <w:t xml:space="preserve">Sims, S. and A. Benhenda (2022), *The Effect of Financial Incentives on the Retention of Shortage-Subject Teachers: Evidence from England*, CEPEO Working Paper No. 22-04, UCL Centre for Education Policy and Equalising Opportunities, London, https://repec-cepeo.ucl.ac.uk/cepeow/cepeowp22-04.pdf.</w:t>
      </w:r>
    </w:p>
    <w:p>
      <w:pPr>
        <w:spacing w:after="70"/>
        <w:ind w:left="280" w:hanging="280"/>
      </w:pPr>
      <w:r>
        <w:rPr>
          <w:sz w:val="20"/>
          <w:szCs w:val="20"/>
        </w:rPr>
        <w:t xml:space="preserve">Sims, S. and J. Jerrim (2020), *TALIS 2018: Teacher Working Conditions, Turnover and Attrition*, Statistical Working Paper, Department for Education, London, https://www.gov.uk/government/publications/talis-2018-teacher-working-conditions-turnover-and-attrition.</w:t>
      </w:r>
    </w:p>
    <w:p>
      <w:pPr>
        <w:spacing w:after="70"/>
        <w:ind w:left="280" w:hanging="280"/>
      </w:pPr>
      <w:r>
        <w:rPr>
          <w:sz w:val="20"/>
          <w:szCs w:val="20"/>
        </w:rPr>
        <w:t xml:space="preserve">Sims, S., B. Lowes-Belk and A. Routledge (2026), "Teacher preferences for pay and working conditions: A systematic review of discrete-choice experiments", *Economics of Education Review*. [Full bibliographic details to be completed before publication.]</w:t>
      </w:r>
    </w:p>
    <w:p>
      <w:pPr>
        <w:spacing w:after="70"/>
        <w:ind w:left="280" w:hanging="280"/>
      </w:pPr>
      <w:r>
        <w:rPr>
          <w:sz w:val="20"/>
          <w:szCs w:val="20"/>
        </w:rPr>
        <w:t xml:space="preserve">Somers, M. et al. (2024a), *Loont het om leraren financieel te prikkelen? De voltijdbonus onderzocht*, ROA, Maastricht University, Maastricht, https://roa.maastrichtuniversity.nl/.</w:t>
      </w:r>
    </w:p>
    <w:p>
      <w:pPr>
        <w:spacing w:after="70"/>
        <w:ind w:left="280" w:hanging="280"/>
      </w:pPr>
      <w:r>
        <w:rPr>
          <w:sz w:val="20"/>
          <w:szCs w:val="20"/>
        </w:rPr>
        <w:t xml:space="preserve">Somers, M. et al. (2024b), *De stille reserve aan leraren buiten het onderwijs*, ROA, Maastricht University, Maastricht, https://roa.maastrichtuniversity.nl/.</w:t>
      </w:r>
    </w:p>
    <w:p>
      <w:pPr>
        <w:spacing w:after="70"/>
        <w:ind w:left="280" w:hanging="280"/>
      </w:pPr>
      <w:r>
        <w:rPr>
          <w:sz w:val="20"/>
          <w:szCs w:val="20"/>
        </w:rPr>
        <w:t xml:space="preserve">Statistics Norway (2025), articles on the labour-market attachment of trained teachers, Statistisk sentralbyrå, Oslo, https://www.ssb.no/. [Full bibliographic details to be completed before publication.]</w:t>
      </w:r>
    </w:p>
    <w:p>
      <w:pPr>
        <w:spacing w:after="70"/>
        <w:ind w:left="280" w:hanging="280"/>
      </w:pPr>
      <w:r>
        <w:rPr>
          <w:sz w:val="20"/>
          <w:szCs w:val="20"/>
        </w:rPr>
        <w:t xml:space="preserve">Statistics Sweden (2023), *Lärare utanför yrket 2022/2023*, Statistiska centralbyrån, Stockholm, https://www.scb.se/.</w:t>
      </w:r>
    </w:p>
    <w:p>
      <w:pPr>
        <w:spacing w:after="70"/>
        <w:ind w:left="280" w:hanging="280"/>
      </w:pPr>
      <w:r>
        <w:rPr>
          <w:sz w:val="20"/>
          <w:szCs w:val="20"/>
        </w:rPr>
        <w:t xml:space="preserve">Stinebrickner, T. R. (2001), "A dynamic model of teacher labor supply", *Journal of Labor Economics*, Vol. 19/1, pp. 196-230, https://doi.org/10.1086/209985.</w:t>
      </w:r>
    </w:p>
    <w:p>
      <w:pPr>
        <w:spacing w:after="70"/>
        <w:ind w:left="280" w:hanging="280"/>
      </w:pPr>
      <w:r>
        <w:rPr>
          <w:sz w:val="20"/>
          <w:szCs w:val="20"/>
        </w:rPr>
        <w:t xml:space="preserve">Stinebrickner, T. R. (2002), "An analysis of occupational change and departure from the labor force: Evidence of the reasons that teachers leave", *Journal of Human Resources*, Vol. 37/1, pp. 192-216, https://doi.org/10.2307/3069608.</w:t>
      </w:r>
    </w:p>
    <w:p>
      <w:pPr>
        <w:spacing w:after="70"/>
        <w:ind w:left="280" w:hanging="280"/>
      </w:pPr>
      <w:r>
        <w:rPr>
          <w:sz w:val="20"/>
          <w:szCs w:val="20"/>
        </w:rPr>
        <w:t xml:space="preserve">UNESCO (2024), *Global Report on Teachers: Addressing Teacher Shortages and Transforming the Profession*, UNESCO and the International Task Force on Teachers for Education 2030, Paris, https://doi.org/10.54675/FIGU8035.</w:t>
      </w:r>
    </w:p>
    <w:p>
      <w:pPr>
        <w:spacing w:after="70"/>
        <w:ind w:left="280" w:hanging="280"/>
      </w:pPr>
      <w:r>
        <w:rPr>
          <w:sz w:val="20"/>
          <w:szCs w:val="20"/>
        </w:rPr>
        <w:t xml:space="preserve">United Kingdom (1996), *Employment Rights Act 1996*, Part 8A (Flexible Working), sections 80F-80G, as amended, London, https://www.legislation.gov.uk/ukpga/1996/18/part/8A.</w:t>
      </w:r>
    </w:p>
    <w:p>
      <w:pPr>
        <w:spacing w:after="70"/>
        <w:ind w:left="280" w:hanging="280"/>
      </w:pPr>
      <w:r>
        <w:rPr>
          <w:sz w:val="20"/>
          <w:szCs w:val="20"/>
        </w:rPr>
        <w:t xml:space="preserve">United States (2013), *Family and Medical Leave Act Regulations*, 29 CFR Part 825, Subpart F, Washington, DC, https://www.ecfr.gov/current/title-29/subtitle-B/chapter-V/subchapter-C/part-825/subpart-F.</w:t>
      </w:r>
    </w:p>
    <w:p>
      <w:pPr>
        <w:spacing w:after="70"/>
        <w:ind w:left="280" w:hanging="280"/>
      </w:pPr>
      <w:r>
        <w:rPr>
          <w:sz w:val="20"/>
          <w:szCs w:val="20"/>
        </w:rPr>
        <w:t xml:space="preserve">Van Casteren, W. et al. (2023), *Vertrekredenen leraren en docenten in het po, vo en mbo*, ResearchNed, Nijmegen, https://www.voion.nl/publicaties/vertrekredenen-leraren-en-docenten-in-het-po-vo-en-mbo/.</w:t>
      </w:r>
    </w:p>
    <w:p>
      <w:pPr>
        <w:spacing w:after="70"/>
        <w:ind w:left="280" w:hanging="280"/>
      </w:pPr>
      <w:r>
        <w:rPr>
          <w:sz w:val="20"/>
          <w:szCs w:val="20"/>
        </w:rPr>
        <w:t xml:space="preserve">Vansteenkiste, S. (2025), *De in- en uitstroom in het lerarenberoep vanuit vergelijkend perspectief*, Steunpunt Onderwijsonderzoek, Leuven.</w:t>
      </w:r>
    </w:p>
    <w:p>
      <w:pPr>
        <w:spacing w:after="70"/>
        <w:ind w:left="280" w:hanging="280"/>
      </w:pPr>
      <w:r>
        <w:rPr>
          <w:sz w:val="20"/>
          <w:szCs w:val="20"/>
        </w:rPr>
        <w:t xml:space="preserve">Walker, M. et al. (2024), *Evaluation of the Early Roll-out of the Early Career Framework: Evaluation Report*, National Foundation for Educational Research for the Education Endowment Foundation, London, https://d2tic4wvo1iusb.cloudfront.net/production/documents/projects/ECF_early_year_rollout_evaluation_report.pdf.</w:t>
      </w:r>
    </w:p>
    <w:p>
      <w:pPr>
        <w:spacing w:after="70"/>
        <w:ind w:left="280" w:hanging="280"/>
      </w:pPr>
      <w:r>
        <w:rPr>
          <w:sz w:val="20"/>
          <w:szCs w:val="20"/>
        </w:rPr>
        <w:t xml:space="preserve">Worth, J., S. Bamford and B. Durbin (2015), *Should I Stay or Should I Go? NFER Analysis of Teachers Joining and Leaving the Profession*, National Foundation for Educational Research, Slough, https://www.nfer.ac.uk/publications/should-i-stay-or-should-i-go-nfer-analysis-of-teachers-joining-and-leaving-the-profession.</w:t>
      </w:r>
    </w:p>
    <w:p>
      <w:pPr>
        <w:spacing w:after="70"/>
        <w:ind w:left="280" w:hanging="280"/>
      </w:pPr>
      <w:r>
        <w:rPr>
          <w:sz w:val="20"/>
          <w:szCs w:val="20"/>
        </w:rPr>
        <w:t xml:space="preserve">Worth, J. and D. McLean (2022), *Teacher Labour Market in England: Annual Report and Earnings Analysis*, National Foundation for Educational Research, Slough, https://www.nfer.ac.uk/. [Exact report title to be confirmed against the earnings analysis cited.]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FOR OFFICIAL USE — DRAFT, NOT FOR CIRCULATION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60"/>
        <w:jc w:val="both"/>
      </w:pPr>
      <w:r>
        <w:rPr>
          <w:rStyle w:val="FootnoteReference"/>
        </w:rPr>
        <w:footnoteRef/>
      </w:r>
      <w:r>
        <w:rPr>
          <w:sz w:val="18"/>
          <w:szCs w:val="18"/>
        </w:rPr>
        <w:t xml:space="preserve">Figure 1 measures departure from the profession, defined as fully qualified teachers who left by resigning or retiring during the reference year; it excludes movement between schools, so these rates are not comparable with turnover statistics </w:t>
      </w:r>
      <w:r>
        <w:rPr>
          <w:color w:val="0563C1"/>
          <w:sz w:val="18"/>
          <w:szCs w:val="18"/>
        </w:rPr>
        <w:t xml:space="preserve">(OECD, 2025a)</w:t>
      </w:r>
      <w:r>
        <w:rPr>
          <w:sz w:val="18"/>
          <w:szCs w:val="18"/>
        </w:rPr>
        <w:t xml:space="preserve">.</w:t>
      </w:r>
    </w:p>
  </w:footnote>
  <w:footnote w:id="2">
    <w:p>
      <w:pPr>
        <w:spacing w:after="60"/>
        <w:jc w:val="both"/>
      </w:pPr>
      <w:r>
        <w:rPr>
          <w:rStyle w:val="FootnoteReference"/>
        </w:rPr>
        <w:footnoteRef/>
      </w:r>
      <w:r>
        <w:rPr>
          <w:sz w:val="18"/>
          <w:szCs w:val="18"/>
        </w:rPr>
        <w:t xml:space="preserve">The two main exceptions are Austria and Estonia, whose rate nearly doubled during the same interval </w:t>
      </w:r>
      <w:r>
        <w:rPr>
          <w:color w:val="0563C1"/>
          <w:sz w:val="18"/>
          <w:szCs w:val="18"/>
        </w:rPr>
        <w:t xml:space="preserve">(OECD, 2025a)</w:t>
      </w:r>
      <w:r>
        <w:rPr>
          <w:sz w:val="18"/>
          <w:szCs w:val="18"/>
        </w:rPr>
        <w:t xml:space="preserve">.</w:t>
      </w:r>
    </w:p>
  </w:footnote>
  <w:footnote w:id="3">
    <w:p>
      <w:pPr>
        <w:spacing w:after="60"/>
        <w:jc w:val="both"/>
      </w:pPr>
      <w:r>
        <w:rPr>
          <w:rStyle w:val="FootnoteReference"/>
        </w:rPr>
        <w:footnoteRef/>
      </w:r>
      <w:r>
        <w:rPr>
          <w:sz w:val="18"/>
          <w:szCs w:val="18"/>
        </w:rPr>
        <w:t xml:space="preserve">The American figures come from the Teacher Follow-up Survey (TFS), which re-interviews one year later a sample of teachers drawn from the Schools and Staffing Survey (SASS) and its successor the National Teacher and Principal Survey (NTPS); the waves are three to five years apart, so the series is discontinuous but covers 1988 to 2022 under one definition. A continuous annual measure built from the Current Population Survey (CPS) gives consistent results </w:t>
      </w:r>
      <w:r>
        <w:rPr>
          <w:color w:val="0563C1"/>
          <w:sz w:val="18"/>
          <w:szCs w:val="18"/>
        </w:rPr>
        <w:t xml:space="preserve">(Harris and Adams, 2007; Aldeman and Yi, 2025)</w:t>
      </w:r>
      <w:r>
        <w:rPr>
          <w:sz w:val="18"/>
          <w:szCs w:val="18"/>
        </w:rPr>
        <w:t xml:space="preserve">.</w:t>
      </w:r>
    </w:p>
  </w:footnote>
  <w:footnote w:id="4">
    <w:p>
      <w:pPr>
        <w:spacing w:after="60"/>
        <w:jc w:val="both"/>
      </w:pPr>
      <w:r>
        <w:rPr>
          <w:rStyle w:val="FootnoteReference"/>
        </w:rPr>
        <w:footnoteRef/>
      </w:r>
      <w:r>
        <w:rPr>
          <w:sz w:val="18"/>
          <w:szCs w:val="18"/>
        </w:rPr>
        <w:t xml:space="preserve">For most countries no historical data exists, as such series require longitudinally linked teacher registers. Shorter series move both ways, upward in Denmark, Estonia, Lithuania and Korea and downward in Australia and Chile </w:t>
      </w:r>
      <w:r>
        <w:rPr>
          <w:color w:val="0563C1"/>
          <w:sz w:val="18"/>
          <w:szCs w:val="18"/>
        </w:rPr>
        <w:t xml:space="preserve">(AE, 2024; Kindsiko, 2023; NŠA, 2025; Ministry of Education Korea, 2023; Buckley and Griselda, 2025; CIAE, 2025)</w:t>
      </w:r>
      <w:r>
        <w:rPr>
          <w:sz w:val="18"/>
          <w:szCs w:val="18"/>
        </w:rPr>
        <w:t xml:space="preserve">.</w:t>
      </w:r>
    </w:p>
  </w:footnote>
  <w:footnote w:id="5">
    <w:p>
      <w:pPr>
        <w:spacing w:after="60"/>
        <w:jc w:val="both"/>
      </w:pPr>
      <w:r>
        <w:rPr>
          <w:rStyle w:val="FootnoteReference"/>
        </w:rPr>
        <w:footnoteRef/>
      </w:r>
      <w:r>
        <w:rPr>
          <w:sz w:val="18"/>
          <w:szCs w:val="18"/>
        </w:rPr>
        <w:t xml:space="preserve">The survey followed Finnish comprehensive-school teachers over five years and measured turnover intentions, not observed exits; the reason given was unstable, with fewer than half of persistent intenders naming the same factor five years apart.</w:t>
      </w:r>
    </w:p>
  </w:footnote>
  <w:footnote w:id="6">
    <w:p>
      <w:pPr>
        <w:spacing w:after="60"/>
        <w:jc w:val="both"/>
      </w:pPr>
      <w:r>
        <w:rPr>
          <w:rStyle w:val="FootnoteReference"/>
        </w:rPr>
        <w:footnoteRef/>
      </w:r>
      <w:r>
        <w:rPr>
          <w:sz w:val="18"/>
          <w:szCs w:val="18"/>
        </w:rPr>
        <w:t xml:space="preserve">The KEDI series reached this review through official Korean reporting; the full bibliographic details of the underlying survey remain to be completed before publication.</w:t>
      </w:r>
    </w:p>
  </w:footnote>
  <w:footnote w:id="7">
    <w:p>
      <w:pPr>
        <w:spacing w:after="60"/>
        <w:jc w:val="both"/>
      </w:pPr>
      <w:r>
        <w:rPr>
          <w:rStyle w:val="FootnoteReference"/>
        </w:rPr>
        <w:footnoteRef/>
      </w:r>
      <w:r>
        <w:rPr>
          <w:sz w:val="18"/>
          <w:szCs w:val="18"/>
        </w:rPr>
        <w:t xml:space="preserve">TALIS is the OECD's international survey of teachers and school leaders. In the 2018 round, 73% of surveyed English teachers consented to linkage with the School Workforce Census, the administrative register of state-school staff, yielding 2 684 linked records at an 84% match rate </w:t>
      </w:r>
      <w:r>
        <w:rPr>
          <w:color w:val="0563C1"/>
          <w:sz w:val="18"/>
          <w:szCs w:val="18"/>
        </w:rPr>
        <w:t xml:space="preserve">(Sims and Jerrim, 2020)</w:t>
      </w:r>
      <w:r>
        <w:rPr>
          <w:sz w:val="18"/>
          <w:szCs w:val="18"/>
        </w:rPr>
        <w:t xml:space="preserve">.</w:t>
      </w:r>
    </w:p>
  </w:footnote>
  <w:footnote w:id="8">
    <w:p>
      <w:pPr>
        <w:spacing w:after="60"/>
        <w:jc w:val="both"/>
      </w:pPr>
      <w:r>
        <w:rPr>
          <w:rStyle w:val="FootnoteReference"/>
        </w:rPr>
        <w:footnoteRef/>
      </w:r>
      <w:r>
        <w:rPr>
          <w:sz w:val="18"/>
          <w:szCs w:val="18"/>
        </w:rPr>
        <w:t xml:space="preserve">The Dutch entitlement rests on the Wet flexibel werken, under which an unanswered request is deemed granted; the English right to request sits in Part 8A of the Employment Rights Act 1996.</w:t>
      </w:r>
    </w:p>
  </w:footnote>
  <w:footnote w:id="9">
    <w:p>
      <w:pPr>
        <w:spacing w:after="60"/>
        <w:jc w:val="both"/>
      </w:pPr>
      <w:r>
        <w:rPr>
          <w:rStyle w:val="FootnoteReference"/>
        </w:rPr>
        <w:footnoteRef/>
      </w:r>
      <w:r>
        <w:rPr>
          <w:sz w:val="18"/>
          <w:szCs w:val="18"/>
        </w:rPr>
        <w:t xml:space="preserve">Indicator D3 compares the average serving teacher's salary with the earnings of the average tertiary-educated worker. It measures the standing of the occupation, not the outside option of any individual teacher, and its methodological notes warn that it divides a mean teacher salary by a median comparator figure in some countries, a difference worth up to 14% where both can be computed </w:t>
      </w:r>
      <w:r>
        <w:rPr>
          <w:color w:val="0563C1"/>
          <w:sz w:val="18"/>
          <w:szCs w:val="18"/>
        </w:rPr>
        <w:t xml:space="preserve">(OECD, 2025d)</w:t>
      </w:r>
      <w:r>
        <w:rPr>
          <w:sz w:val="18"/>
          <w:szCs w:val="18"/>
        </w:rPr>
        <w:t xml:space="preserve">.</w:t>
      </w:r>
    </w:p>
  </w:footnote>
  <w:footnote w:id="10">
    <w:p>
      <w:pPr>
        <w:spacing w:after="60"/>
        <w:jc w:val="both"/>
      </w:pPr>
      <w:r>
        <w:rPr>
          <w:rStyle w:val="FootnoteReference"/>
        </w:rPr>
        <w:footnoteRef/>
      </w:r>
      <w:r>
        <w:rPr>
          <w:sz w:val="18"/>
          <w:szCs w:val="18"/>
        </w:rPr>
        <w:t xml:space="preserve">The study links the human-resources records of a large urban school district over twelve years of leavers to federal tax records held at the United States Census Bureau, and is the only United States evidence that observes leavers who disappear from employer records entirely, which is why its mean sits below studies that condition on employment.</w:t>
      </w:r>
    </w:p>
  </w:footnote>
  <w:footnote w:id="11">
    <w:p>
      <w:pPr>
        <w:spacing w:after="60"/>
        <w:jc w:val="both"/>
      </w:pPr>
      <w:r>
        <w:rPr>
          <w:rStyle w:val="FootnoteReference"/>
        </w:rPr>
        <w:footnoteRef/>
      </w:r>
      <w:r>
        <w:rPr>
          <w:sz w:val="18"/>
          <w:szCs w:val="18"/>
        </w:rPr>
        <w:t xml:space="preserve">Causal evidence that teacher retirement timing responds to these incentives exists for the United States, France and the Netherlands, with Germany documented descriptively; for the remaining systems the scheme parameters are documented but the behavioural response is not.</w:t>
      </w:r>
    </w:p>
  </w:footnote>
  <w:footnote w:id="12">
    <w:p>
      <w:pPr>
        <w:spacing w:after="60"/>
        <w:jc w:val="both"/>
      </w:pPr>
      <w:r>
        <w:rPr>
          <w:rStyle w:val="FootnoteReference"/>
        </w:rPr>
        <w:footnoteRef/>
      </w:r>
      <w:r>
        <w:rPr>
          <w:sz w:val="18"/>
          <w:szCs w:val="18"/>
        </w:rPr>
        <w:t xml:space="preserve">The willingness-to-pay figure comes from take-up of a real upgrade offer; the same cohort followed to retirement mostly bought the upgrade, and decliners faced a negative net return, implying a valuation far above 20 cents.</w:t>
      </w:r>
    </w:p>
  </w:footnote>
  <w:footnote w:id="13">
    <w:p>
      <w:pPr>
        <w:spacing w:after="60"/>
        <w:jc w:val="both"/>
      </w:pPr>
      <w:r>
        <w:rPr>
          <w:rStyle w:val="FootnoteReference"/>
        </w:rPr>
        <w:footnoteRef/>
      </w:r>
      <w:r>
        <w:rPr>
          <w:sz w:val="18"/>
          <w:szCs w:val="18"/>
        </w:rPr>
        <w:t xml:space="preserve">Department for Education ad hoc statistics for 2016-2019, reported to Parliament; the original release should be verified before publication. In 2022/23, women aged 30 to 39 leaving state-funded schools in England numbered over 9 000, against roughly 3 400 men.</w:t>
      </w:r>
    </w:p>
  </w:footnote>
  <w:footnote w:id="14">
    <w:p>
      <w:pPr>
        <w:spacing w:after="60"/>
        <w:jc w:val="both"/>
      </w:pPr>
      <w:r>
        <w:rPr>
          <w:rStyle w:val="FootnoteReference"/>
        </w:rPr>
        <w:footnoteRef/>
      </w:r>
      <w:r>
        <w:rPr>
          <w:sz w:val="18"/>
          <w:szCs w:val="18"/>
        </w:rPr>
        <w:t xml:space="preserve">Articles 49 and 89.4 of the consolidated Spanish public-employment statute; the American floor is the Family and Medical Leave Act and its school-specific regulations.</w:t>
      </w:r>
    </w:p>
  </w:footnote>
  <w:footnote w:id="15">
    <w:p>
      <w:pPr>
        <w:spacing w:after="60"/>
        <w:jc w:val="both"/>
      </w:pPr>
      <w:r>
        <w:rPr>
          <w:rStyle w:val="FootnoteReference"/>
        </w:rPr>
        <w:footnoteRef/>
      </w:r>
      <w:r>
        <w:rPr>
          <w:sz w:val="18"/>
          <w:szCs w:val="18"/>
        </w:rPr>
        <w:t xml:space="preserve">The two American sources measure different populations: the NCES figure comes from former teachers choosing one main reason, the 60% from serving teachers selecting all reasons for considering departure, among whom pay ranks first for early-career and Black teachers.</w:t>
      </w:r>
    </w:p>
  </w:footnote>
  <w:footnote w:id="16">
    <w:p>
      <w:pPr>
        <w:spacing w:after="60"/>
        <w:jc w:val="both"/>
      </w:pPr>
      <w:r>
        <w:rPr>
          <w:rStyle w:val="FootnoteReference"/>
        </w:rPr>
        <w:footnoteRef/>
      </w:r>
      <w:r>
        <w:rPr>
          <w:sz w:val="18"/>
          <w:szCs w:val="18"/>
        </w:rPr>
        <w:t xml:space="preserve">The correlation between stated intention and observed departure in the same data is 0.15.</w:t>
      </w:r>
    </w:p>
  </w:footnote>
  <w:footnote w:id="17">
    <w:p>
      <w:pPr>
        <w:spacing w:after="60"/>
        <w:jc w:val="both"/>
      </w:pPr>
      <w:r>
        <w:rPr>
          <w:rStyle w:val="FootnoteReference"/>
        </w:rPr>
        <w:footnoteRef/>
      </w:r>
      <w:r>
        <w:rPr>
          <w:sz w:val="18"/>
          <w:szCs w:val="18"/>
        </w:rPr>
        <w:t xml:space="preserve">The Michigan count refers to certificates in force in 2018-19; the Dutch estimate defines the silent reserve as qualified teachers below retirement age employed outside education altogether.</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C8C8C"/>
        <w:sz w:val="16"/>
        <w:szCs w:val="16"/>
      </w:rPr>
      <w:t xml:space="preserve">FORMER TEACHERS — WORKING DRAFT  |  </w:t>
    </w:r>
    <w:r>
      <w:rPr>
        <w:color w:val="8C8C8C"/>
        <w:sz w:val="16"/>
        <w:szCs w:val="16"/>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368ee3184d518b3c2a8afc41f6e6d34f27e4fd1.png"/><Relationship Id="rId10" Type="http://schemas.openxmlformats.org/officeDocument/2006/relationships/image" Target="media/d894ce49220f10738fe877badb562e3def4bba5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2026-09-02T12:30:45.458Z</dcterms:created>
  <dcterms:modified xsi:type="dcterms:W3CDTF">2026-09-02T12:30:45.458Z</dcterms:modified>
</cp:coreProperties>
</file>

<file path=docProps/custom.xml><?xml version="1.0" encoding="utf-8"?>
<Properties xmlns="http://schemas.openxmlformats.org/officeDocument/2006/custom-properties" xmlns:vt="http://schemas.openxmlformats.org/officeDocument/2006/docPropsVTypes"/>
</file>