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/>
        <w:jc w:val="center"/>
      </w:pPr>
      <w:r>
        <w:rPr>
          <w:rFonts w:ascii="Garamond" w:cs="Garamond" w:eastAsia="Garamond" w:hAnsi="Garamond"/>
          <w:b/>
          <w:bCs/>
          <w:sz w:val="34"/>
          <w:szCs w:val="34"/>
        </w:rPr>
        <w:t xml:space="preserve">Former Teachers: Barriers, Incentives and Policy Lessons for Re-entry</w:t>
      </w:r>
    </w:p>
    <w:p>
      <w:pPr>
        <w:spacing w:after="30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Los teacher shortages existen, son cuantificables y su magnitud los vuelve especialmente relevantes en muchas partes del mundo. Las aulas son además cada vez más diversas y la formación docente suele quedarse atrás. Una respuesta a estos retos es re-atraer a quienes dejaron la profesión —hacia otro empleo o fuera del mercado laboral— y a los jubilados, no necesariamente al aula sino también como mentores que aporten su experiencia a los docentes más jóvenes, por ejemplo en el diseño curricular o el manejo del aula. El paper ofrece a los policymakers evidencia internacional sobre por qué se van los profesores y qué se ha hecho para re-atraerlos, generalizando donde la evidencia lo permite y matizando por contexto donde no.</w:t>
      </w:r>
    </w:p>
    <w:p>
      <w:pPr>
        <w:spacing w:after="40"/>
      </w:pPr>
      <w:r>
        <w:rPr>
          <w:rFonts w:ascii="Garamond" w:cs="Garamond" w:eastAsia="Garamond" w:hAnsi="Garamond"/>
          <w:b/>
          <w:bCs/>
          <w:sz w:val="24"/>
          <w:szCs w:val="24"/>
        </w:rPr>
        <w:t xml:space="preserve">Acknowledgements / Abstract / Key Take-Aways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1. Introduction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Los shortages son medibles y de magnitud relevante, las aulas son cada vez más diversas y la formación docente llega tarde. Este paper explora como respuesta el re-atraer a leavers y jubilados, al aula o como mentores. Qué aporta y a quién.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2. Why teachers leave and where they go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El peso de los motivos intrínsecos y extrínsecos varía según el contexto, como muestra el contraste entre EE.UU. y otros sistemas. Quién se va, por qué lo hace, a dónde va y qué reserva de docentes cualificados representa.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3. What would bring them back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Lo que haría volver a un leaver no es lo mismo que re-engancha a un jubilado. Incentivos económicos y no económicos con presupuesto limitado, y qué muestra la evidencia disponible.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4. Re-entry policies in practice: international experience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Cada sistema combina programas y regulación según su punto de partida. Casos seleccionados de nuestro Excel.</w:t>
      </w:r>
    </w:p>
    <w:p>
      <w:pPr>
        <w:keepNext/>
        <w:spacing w:after="30" w:before="100"/>
        <w:ind w:left="340"/>
      </w:pPr>
      <w:r>
        <w:rPr>
          <w:rFonts w:ascii="Garamond" w:cs="Garamond" w:eastAsia="Garamond" w:hAnsi="Garamond"/>
          <w:b/>
          <w:bCs/>
          <w:sz w:val="23"/>
          <w:szCs w:val="23"/>
        </w:rPr>
        <w:t xml:space="preserve">4.1 Programmes</w:t>
      </w:r>
    </w:p>
    <w:p>
      <w:pPr>
        <w:spacing w:after="60"/>
        <w:ind w:left="68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Outreach y acompañamiento al retorno de leavers (Inglaterra, Australia, Nueva Zelanda); re-engagement de jubilados, al aula (Austria, China, Portugal) o en mentoría y tutoría (España, EE.UU.); reservas activables y su financiación (Bahamas, EE.UU.).</w:t>
      </w:r>
    </w:p>
    <w:p>
      <w:pPr>
        <w:keepNext/>
        <w:spacing w:after="30" w:before="100"/>
        <w:ind w:left="340"/>
      </w:pPr>
      <w:r>
        <w:rPr>
          <w:rFonts w:ascii="Garamond" w:cs="Garamond" w:eastAsia="Garamond" w:hAnsi="Garamond"/>
          <w:b/>
          <w:bCs/>
          <w:sz w:val="23"/>
          <w:szCs w:val="23"/>
        </w:rPr>
        <w:t xml:space="preserve">4.2 Regulation</w:t>
      </w:r>
    </w:p>
    <w:p>
      <w:pPr>
        <w:spacing w:after="60"/>
        <w:ind w:left="68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Compatibilidad de pensión y salario (varios estados de EE.UU., Ontario, Francia); licensure y re-acreditación (Virginia, NSW, Nueva Zelanda); career breaks y derechos de retorno (Irlanda).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5. Lessons and recommendations for policymakers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Hay patrones claros sobre qué detalles de diseño determinan el uptake, qué evidencia falta y cómo construirla. Recomendaciones para policymakers, con las cautelas de contexto que correspondan.</w:t>
      </w:r>
    </w:p>
    <w:p>
      <w:pPr>
        <w:spacing w:before="280"/>
      </w:pPr>
      <w:r>
        <w:rPr>
          <w:rFonts w:ascii="Garamond" w:cs="Garamond" w:eastAsia="Garamond" w:hAnsi="Garamond"/>
          <w:b/>
          <w:bCs/>
          <w:sz w:val="24"/>
          <w:szCs w:val="24"/>
        </w:rPr>
        <w:t xml:space="preserve">References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2026-08-05T09:23:02.087Z</dcterms:created>
  <dcterms:modified xsi:type="dcterms:W3CDTF">2026-08-05T09:23:02.103Z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