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520" w:hRule="exact"/>
        </w:trPr>
        <w:tc>
          <w:tcPr>
            <w:tcW w:type="dxa" w:w="9072"/>
            <w:tcBorders>
              <w:top w:val="none" w:color="04629A" w:sz="0"/>
              <w:left w:val="none" w:color="04629A" w:sz="0"/>
              <w:bottom w:val="none" w:color="04629A" w:sz="0"/>
              <w:right w:val="none" w:color="04629A" w:sz="0"/>
            </w:tcBorders>
            <w:shd w:fill="04629A" w:val="clear"/>
          </w:tcPr>
          <w:p>
            <w:r>
              <w:t xml:space="preserve"/>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60" w:hRule="exact"/>
        </w:trPr>
        <w:tc>
          <w:tcPr>
            <w:tcW w:type="dxa" w:w="9072"/>
            <w:tcBorders>
              <w:top w:val="none" w:color="8CC841" w:sz="0"/>
              <w:left w:val="none" w:color="8CC841" w:sz="0"/>
              <w:bottom w:val="none" w:color="8CC841" w:sz="0"/>
              <w:right w:val="none" w:color="8CC841" w:sz="0"/>
            </w:tcBorders>
            <w:shd w:fill="8CC841" w:val="clear"/>
          </w:tcPr>
          <w:p>
            <w:r>
              <w:t xml:space="preserve"/>
            </w:r>
          </w:p>
        </w:tc>
      </w:tr>
    </w:tbl>
    <w:p>
      <w:pPr>
        <w:spacing w:before="2200"/>
      </w:pPr>
      <w:r>
        <w:rPr>
          <w:caps/>
          <w:color w:val="595959"/>
          <w:spacing w:val="40"/>
          <w:sz w:val="24"/>
          <w:szCs w:val="24"/>
        </w:rPr>
        <w:t xml:space="preserve">WORKING PAPER</w:t>
      </w:r>
    </w:p>
    <w:p>
      <w:pPr>
        <w:spacing w:before="300"/>
      </w:pPr>
      <w:r>
        <w:rPr>
          <w:b/>
          <w:bCs/>
          <w:color w:val="04629A"/>
          <w:sz w:val="52"/>
          <w:szCs w:val="52"/>
        </w:rPr>
        <w:t xml:space="preserve">Former Teachers: Barriers, Incentives and Policy Lessons for Re-entry</w:t>
      </w:r>
    </w:p>
    <w:p>
      <w:pPr>
        <w:spacing w:before="400"/>
      </w:pPr>
      <w:r>
        <w:rPr>
          <w:sz w:val="28"/>
          <w:szCs w:val="28"/>
        </w:rPr>
        <w:t xml:space="preserve">[Author names]</w:t>
      </w:r>
    </w:p>
    <w:p>
      <w:pPr>
        <w:spacing w:before="120"/>
      </w:pPr>
      <w:r>
        <w:rPr>
          <w:color w:val="595959"/>
          <w:sz w:val="24"/>
          <w:szCs w:val="24"/>
        </w:rPr>
        <w:t xml:space="preserve">Universidad de Alicante</w:t>
      </w:r>
    </w:p>
    <w:p>
      <w:pPr>
        <w:spacing w:before="120"/>
      </w:pPr>
      <w:r>
        <w:rPr>
          <w:color w:val="595959"/>
          <w:sz w:val="24"/>
          <w:szCs w:val="24"/>
        </w:rPr>
        <w:t xml:space="preserve">August 2026</w:t>
      </w:r>
    </w:p>
    <w:p>
      <w:pPr>
        <w:spacing w:before="2600"/>
      </w:pPr>
      <w:r>
        <w:rPr>
          <w:i/>
          <w:iCs/>
          <w:color w:val="595959"/>
          <w:sz w:val="20"/>
          <w:szCs w:val="20"/>
        </w:rPr>
        <w:t xml:space="preserve">Draft for discussion and comment.</w:t>
      </w:r>
    </w:p>
    <w:p>
      <w:pPr>
        <w:pageBreakBefore/>
        <w:spacing w:after="300"/>
      </w:pPr>
      <w:r>
        <w:rPr>
          <w:b/>
          <w:bCs/>
          <w:color w:val="4E81BD"/>
          <w:sz w:val="24"/>
          <w:szCs w:val="24"/>
        </w:rPr>
        <w:t xml:space="preserve">POLICY PAPER SERIES</w:t>
      </w:r>
    </w:p>
    <w:p>
      <w:pPr>
        <w:spacing w:after="160" w:line="264" w:lineRule="auto"/>
        <w:jc w:val="both"/>
      </w:pPr>
      <w:r>
        <w:t xml:space="preserve">This policy paper presents research and analysis for discussion and comment. The opinions expressed and the arguments employed herein are those of the author(s) alone and do not necessarily reflect the official views of any institution with which they are affiliated.</w:t>
      </w:r>
    </w:p>
    <w:p>
      <w:pPr>
        <w:spacing w:after="160" w:line="264" w:lineRule="auto"/>
        <w:jc w:val="both"/>
      </w:pPr>
      <w:r>
        <w:t xml:space="preserve">The paper follows the structure, citation conventions and presentational style of the OECD Policy Papers series for ease of comparison with that literature. It is not an OECD publication, has not been reviewed or endorsed by the OECD, and should not be reported as representing the views of the OECD or of its member countries.</w:t>
      </w:r>
    </w:p>
    <w:p>
      <w:pPr>
        <w:spacing w:after="160" w:line="264" w:lineRule="auto"/>
        <w:jc w:val="both"/>
      </w:pPr>
      <w:r>
        <w:t xml:space="preserve">This document, as well as any data included herein, is without prejudice to the status of or sovereignty over any territory, to the delimitation of international frontiers and boundaries and to the name of any territory, city or area. [Standard series disclaimer reproduced for conformity with the OECD Policy Papers presentation; to be confirmed against the internal publication standard before circulation.]</w:t>
      </w:r>
    </w:p>
    <w:p>
      <w:pPr>
        <w:spacing w:after="160" w:line="264" w:lineRule="auto"/>
        <w:jc w:val="both"/>
      </w:pPr>
      <w:r>
        <w:t xml:space="preserve">Comments on this draft are welcome and may be sent to the authors.</w:t>
      </w:r>
    </w:p>
    <w:p>
      <w:pPr>
        <w:sectPr>
          <w:pgSz w:w="11906" w:h="16838" w:orient="portrait"/>
          <w:pgMar w:top="1417" w:right="1417" w:bottom="1417" w:left="1417" w:header="708" w:footer="708" w:gutter="0"/>
          <w:pgNumType/>
          <w:docGrid w:linePitch="360"/>
        </w:sectPr>
      </w:pPr>
    </w:p>
    <w:p>
      <w:pPr>
        <w:pStyle w:val="Heading1"/>
        <w:pageBreakBefore/>
      </w:pPr>
      <w:r>
        <w:t xml:space="preserve">Abstract</w:t>
      </w:r>
    </w:p>
    <w:p>
      <w:pPr>
        <w:spacing w:after="160" w:line="264" w:lineRule="auto"/>
        <w:jc w:val="both"/>
      </w:pPr>
      <w:r>
        <w:t xml:space="preserve">Substantial numbers of teachers leave the profession every year, for other work, time outside the labour market or retirement, and these departures accumulate into a stock of qualified people from which part of the replacement could come. This policy paper compiles and analyses the international record of policies to re-attract former teachers, organised into five instrument families: pension and employment rules, certification and licensing routes back, money attached to the return, active recruitment and accompaniment, and return as a defined role. It sets this record alongside the evidence on why teachers leave, where they go and what they can bring back. Among the many campaigns implemented to attract teachers back, there is suggestive evidence that they weigh less than changes to the legal rules under which a returner is employed and paid. The paper identifies design and reporting practices through which education systems could learn more from re-entry policy.</w:t>
      </w:r>
    </w:p>
    <w:p>
      <w:pPr>
        <w:spacing w:after="60" w:line="264" w:lineRule="auto"/>
        <w:jc w:val="both"/>
      </w:pPr>
      <w:r>
        <w:rPr>
          <w:i/>
          <w:iCs/>
          <w:color w:val="595959"/>
          <w:sz w:val="20"/>
          <w:szCs w:val="20"/>
        </w:rPr>
        <w:t xml:space="preserve">Keywords: former teachers; teacher re-entry; teacher attrition; teacher shortage; pension rules; teacher labour market</w:t>
      </w:r>
    </w:p>
    <w:p>
      <w:pPr>
        <w:spacing w:after="60" w:line="264" w:lineRule="auto"/>
        <w:jc w:val="both"/>
      </w:pPr>
      <w:r>
        <w:rPr>
          <w:i/>
          <w:iCs/>
          <w:color w:val="595959"/>
          <w:sz w:val="20"/>
          <w:szCs w:val="20"/>
        </w:rPr>
        <w:t xml:space="preserve">JEL codes: I21, I28, J26, J45.</w:t>
      </w:r>
    </w:p>
    <w:p>
      <w:pPr>
        <w:pStyle w:val="Heading1"/>
        <w:pageBreakBefore/>
      </w:pPr>
      <w:r>
        <w:t xml:space="preserve">Acknowledgements</w:t>
      </w:r>
    </w:p>
    <w:p>
      <w:pPr>
        <w:spacing w:after="160" w:line="264" w:lineRule="auto"/>
        <w:jc w:val="both"/>
      </w:pPr>
      <w:r>
        <w:rPr>
          <w:i/>
          <w:iCs/>
          <w:color w:val="595959"/>
        </w:rPr>
        <w:t xml:space="preserve">[This policy paper was prepared for the Former Teachers project. Acknowledgements to colleagues, reviewers and data providers to be added before circulation.]</w:t>
      </w:r>
    </w:p>
    <w:p>
      <w:pPr>
        <w:pageBreakBefore/>
        <w:spacing w:after="240"/>
      </w:pPr>
      <w:r>
        <w:rPr>
          <w:b/>
          <w:bCs/>
          <w:color w:val="4E81B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360"/>
      </w:pPr>
      <w:r>
        <w:rPr>
          <w:b/>
          <w:bCs/>
          <w:color w:val="4E81BD"/>
          <w:sz w:val="21"/>
          <w:szCs w:val="21"/>
        </w:rPr>
        <w:t xml:space="preserve">TABLES</w:t>
      </w:r>
    </w:p>
    <w:p>
      <w:pPr>
        <w:spacing w:after="60"/>
      </w:pPr>
      <w:r>
        <w:rPr>
          <w:sz w:val="21"/>
          <w:szCs w:val="21"/>
        </w:rPr>
        <w:t xml:space="preserve">Table 1. Motives for leaving the profession point to different policy families</w:t>
      </w:r>
    </w:p>
    <w:p>
      <w:pPr>
        <w:spacing w:after="60"/>
      </w:pPr>
      <w:r>
        <w:rPr>
          <w:sz w:val="21"/>
          <w:szCs w:val="21"/>
        </w:rPr>
        <w:t xml:space="preserve">Table 2. Five families of re-entry policy change different components of the return decision</w:t>
      </w:r>
    </w:p>
    <w:p>
      <w:pPr>
        <w:spacing w:after="60"/>
      </w:pPr>
      <w:r>
        <w:rPr>
          <w:sz w:val="21"/>
          <w:szCs w:val="21"/>
        </w:rPr>
        <w:t xml:space="preserve">Table 3. The price of a return is set on four regulatory dials, positioned differently in every system</w:t>
      </w:r>
    </w:p>
    <w:p>
      <w:pPr>
        <w:spacing w:after="60"/>
      </w:pPr>
      <w:r>
        <w:rPr>
          <w:sz w:val="21"/>
          <w:szCs w:val="21"/>
        </w:rPr>
        <w:t xml:space="preserve">Table 4. Published take-up of re-entry instruments is counted against a different outcome and denominator in every system</w:t>
      </w:r>
    </w:p>
    <w:p>
      <w:pPr>
        <w:spacing w:after="60"/>
      </w:pPr>
      <w:r>
        <w:rPr>
          <w:sz w:val="21"/>
          <w:szCs w:val="21"/>
        </w:rPr>
        <w:t xml:space="preserve">Table 5. Published take-up records exist where a counting duty sits outside the sponsoring authority</w:t>
      </w:r>
    </w:p>
    <w:p>
      <w:pPr>
        <w:spacing w:after="120" w:before="240"/>
      </w:pPr>
      <w:r>
        <w:rPr>
          <w:b/>
          <w:bCs/>
          <w:color w:val="4E81BD"/>
          <w:sz w:val="21"/>
          <w:szCs w:val="21"/>
        </w:rPr>
        <w:t xml:space="preserve">BOXES</w:t>
      </w:r>
    </w:p>
    <w:p>
      <w:pPr>
        <w:spacing w:after="60"/>
      </w:pPr>
      <w:r>
        <w:rPr>
          <w:sz w:val="21"/>
          <w:szCs w:val="21"/>
        </w:rPr>
        <w:t xml:space="preserve">Box 1. The return-to-work window in North Carolina (United States), 1999-2009</w:t>
      </w:r>
    </w:p>
    <w:p>
      <w:pPr>
        <w:spacing w:after="60"/>
      </w:pPr>
      <w:r>
        <w:rPr>
          <w:sz w:val="21"/>
          <w:szCs w:val="21"/>
        </w:rPr>
        <w:t xml:space="preserve">Box 2. Statutory self-evaluation in Georgia (United States): House Bill 385 and its mandated audit</w:t>
      </w:r>
    </w:p>
    <w:p>
      <w:pPr>
        <w:pStyle w:val="Heading1"/>
        <w:pageBreakBefore/>
      </w:pPr>
      <w:r>
        <w:t xml:space="preserve">Abbreviations and acronyms</w:t>
      </w:r>
    </w:p>
    <w:p>
      <w:pPr>
        <w:spacing w:after="80"/>
      </w:pPr>
      <w:r>
        <w:t xml:space="preserve">AITSL — Australian Institute for Teaching and School Leadership</w:t>
      </w:r>
    </w:p>
    <w:p>
      <w:pPr>
        <w:spacing w:after="80"/>
      </w:pPr>
      <w:r>
        <w:t xml:space="preserve">BMBWF — Bundesministerium für Bildung, Wissenschaft und Forschung (Federal Ministry of Education, Science and Research, Austria)</w:t>
      </w:r>
    </w:p>
    <w:p>
      <w:pPr>
        <w:spacing w:after="80"/>
      </w:pPr>
      <w:r>
        <w:t xml:space="preserve">FIT-Choice — Factors Influencing Teaching Choice (scale)</w:t>
      </w:r>
    </w:p>
    <w:p>
      <w:pPr>
        <w:spacing w:after="80"/>
      </w:pPr>
      <w:r>
        <w:t xml:space="preserve">FTE — full-time equivalent</w:t>
      </w:r>
    </w:p>
    <w:p>
      <w:pPr>
        <w:spacing w:after="80"/>
      </w:pPr>
      <w:r>
        <w:t xml:space="preserve">FY — fiscal year</w:t>
      </w:r>
    </w:p>
    <w:p>
      <w:pPr>
        <w:spacing w:after="80"/>
      </w:pPr>
      <w:r>
        <w:t xml:space="preserve">HB — House Bill (United States)</w:t>
      </w:r>
    </w:p>
    <w:p>
      <w:pPr>
        <w:spacing w:after="80"/>
      </w:pPr>
      <w:r>
        <w:t xml:space="preserve">MOE — Ministry of Education (People's Republic of China)</w:t>
      </w:r>
    </w:p>
    <w:p>
      <w:pPr>
        <w:spacing w:after="80"/>
      </w:pPr>
      <w:r>
        <w:t xml:space="preserve">MOF — Ministry of Finance (People's Republic of China)</w:t>
      </w:r>
    </w:p>
    <w:p>
      <w:pPr>
        <w:spacing w:after="80"/>
      </w:pPr>
      <w:r>
        <w:t xml:space="preserve">NCES — National Center for Education Statistics (United States)</w:t>
      </w:r>
    </w:p>
    <w:p>
      <w:pPr>
        <w:spacing w:after="80"/>
      </w:pPr>
      <w:r>
        <w:t xml:space="preserve">NCTL — National College for Teaching and Leadership (England)</w:t>
      </w:r>
    </w:p>
    <w:p>
      <w:pPr>
        <w:spacing w:after="80"/>
      </w:pPr>
      <w:r>
        <w:t xml:space="preserve">NSW — New South Wales (Australia)</w:t>
      </w:r>
    </w:p>
    <w:p>
      <w:pPr>
        <w:spacing w:after="80"/>
      </w:pPr>
      <w:r>
        <w:t xml:space="preserve">OCW — Onderwijs, Cultuur en Wetenschap (Ministry of Education, Culture and Science, Netherlands)</w:t>
      </w:r>
    </w:p>
    <w:p>
      <w:pPr>
        <w:spacing w:after="80"/>
      </w:pPr>
      <w:r>
        <w:t xml:space="preserve">OECD — Organisation for Economic Co-operation and Development</w:t>
      </w:r>
    </w:p>
    <w:p>
      <w:pPr>
        <w:spacing w:after="80"/>
      </w:pPr>
      <w:r>
        <w:t xml:space="preserve">OTF — Ontario Teachers' Federation (Canada)</w:t>
      </w:r>
    </w:p>
    <w:p>
      <w:pPr>
        <w:spacing w:after="80"/>
      </w:pPr>
      <w:r>
        <w:t xml:space="preserve">PA — Public Act (Michigan, United States)</w:t>
      </w:r>
    </w:p>
    <w:p>
      <w:pPr>
        <w:spacing w:after="80"/>
      </w:pPr>
      <w:r>
        <w:t xml:space="preserve">RTW — return to work</w:t>
      </w:r>
    </w:p>
    <w:p>
      <w:pPr>
        <w:spacing w:after="80"/>
      </w:pPr>
      <w:r>
        <w:t xml:space="preserve">SB — Senate Bill (United States)</w:t>
      </w:r>
    </w:p>
    <w:p>
      <w:pPr>
        <w:spacing w:after="80"/>
      </w:pPr>
      <w:r>
        <w:t xml:space="preserve">UK — United Kingdom</w:t>
      </w:r>
    </w:p>
    <w:p>
      <w:pPr>
        <w:spacing w:after="80"/>
      </w:pPr>
      <w:r>
        <w:t xml:space="preserve">UNESCO — United Nations Educational, Scientific and Cultural Organization</w:t>
      </w:r>
    </w:p>
    <w:p>
      <w:pPr>
        <w:spacing w:after="80"/>
      </w:pPr>
      <w:r>
        <w:t xml:space="preserve">US — United States</w:t>
      </w:r>
    </w:p>
    <w:p>
      <w:pPr>
        <w:pStyle w:val="Heading1"/>
        <w:pageBreakBefore/>
      </w:pPr>
      <w:r>
        <w:t xml:space="preserve">Executive summary</w:t>
      </w:r>
    </w:p>
    <w:p>
      <w:pPr>
        <w:spacing w:after="160" w:line="264" w:lineRule="auto"/>
        <w:jc w:val="both"/>
      </w:pPr>
      <w:r>
        <w:t xml:space="preserve">Every year, substantial numbers of teachers leave the profession. Across the 19 OECD education systems with comparable data, 6.5% of fully qualified teachers left teaching in 2022/23. Teachers who leave form three populations, those who move to other jobs, those who withdraw from the labour market and those who retire, and the balance among them runs from systems where resignations account for more than four in five departures to systems where retirements exceed half. This policy paper compiles and analyses the international record of policies to re-attract former teachers, organised into five instrument families, together with the evidence on why teachers leave, where they go and what they can bring back.</w:t>
      </w:r>
    </w:p>
    <w:p>
      <w:pPr>
        <w:spacing w:after="160" w:line="264" w:lineRule="auto"/>
        <w:jc w:val="both"/>
      </w:pPr>
      <w:r>
        <w:t xml:space="preserve">Among the main motives for which teachers leave, four categories stand out: intrinsic motives such as stress and declining satisfaction with the work itself; environmental motives rooted in workload, working hours and school leadership; economic motives concerning salary and pension design; and life-cycle motives linked to family formation, early-career exploration and retirement timing. Each category weighs differently across the three populations and across countries. Revealed-preference evidence identifies workload and work-life balance, more than pay, as the drivers of working-age resignation, while pension designs that concentrate wealth accrual in the mid-to-late fifties pull retirements forward. A diagnosis of the local exit mix is therefore a precondition for choosing an instrument, since a measure that succeeds with one population says little about the others.</w:t>
      </w:r>
    </w:p>
    <w:p>
      <w:pPr>
        <w:spacing w:after="160" w:line="264" w:lineRule="auto"/>
        <w:jc w:val="both"/>
      </w:pPr>
      <w:r>
        <w:t xml:space="preserve">Most leavers keep working, and most stay close to education. Where linked administrative data exist, more than half of leavers remain in education broadly defined, typically without out-earning their former classroom posts, and around one fifth withdraw from paid work altogether. The stock these flows build is large, mostly of working age and formally still qualified, and in the one system to measure it, roughly half of the visible reserve held expired but restorable certificates. Return flows from such stocks are already substantial, about one third of new entrants in England and at times over a third of new hires in the United States. On what returners bring back, the strongest evidence concerns experience itself, which spills over to colleagues and their students, and structured tutoring, the one designed role tested at scale in randomised trials.</w:t>
      </w:r>
    </w:p>
    <w:p>
      <w:pPr>
        <w:spacing w:after="160" w:line="264" w:lineRule="auto"/>
        <w:jc w:val="both"/>
      </w:pPr>
      <w:r>
        <w:t xml:space="preserve">The five policy families differ in what they change and in what they have delivered. Pension and employment rules set what this paper terms the price of a return, the sum of salary-step placement, pension-salary concurrency, waiting periods and licensing costs. The largest documented return flows follow changes to these rules. Where the concurrency penalty was removed cleanly, retirees returned at a scale no campaign approaches, and returns ended when the rule expired; where eligibility screens were stacked, an official audit found take-up too small to affect either the shortage or the pension fund. Certification and licensing routes back are documented as design and undocumented as outcomes, since no system has published take-up, and the most credible designs remove friction as a standing rule tied to a job offer rather than an annually renewed concession.</w:t>
      </w:r>
    </w:p>
    <w:p>
      <w:pPr>
        <w:spacing w:after="160" w:line="264" w:lineRule="auto"/>
        <w:jc w:val="both"/>
      </w:pPr>
      <w:r>
        <w:t xml:space="preserve">Money attached to the return has gone largely unclaimed where working conditions caused the exits. One government lowered its own subsidy ceilings because returners were not applying, and another filled less than a third of its returner-contract quota while thousands of serving teachers took a comparable payment to stay on, which suggests that preventing a departure is far easier than reversing one. In active recruitment and accompaniment schemes, interest is inexpensive to generate and conversion is the constraint; no scheme has measured whether its returners would have come back anyway, and published reporting has tended to stop within a year of the launch announcement. Return as a defined role is the only family with randomised evidence. A scripted, dosed tutoring role delivered by retired and substitute teachers reproduced its measured effect at scale, while a mentoring role left to the veteran's discretion was tested once and returned an indeterminate answer.</w:t>
      </w:r>
    </w:p>
    <w:p>
      <w:pPr>
        <w:spacing w:after="160" w:line="264" w:lineRule="auto"/>
        <w:jc w:val="both"/>
      </w:pPr>
      <w:r>
        <w:t xml:space="preserve">One pattern is nonetheless visible across the families, although the counts measure different outcomes against different denominators. Among the many campaigns implemented to attract teachers back, both those providing incentives and those easing certification, there is suggestive evidence that they weigh less than changes to the legal rules of the game, which appear more successful in re-attracting teachers. The two documented episodes in which returns exceeded a fraction of one per cent of the relevant workforce each involved an institution changing rather than a message being sent. This reading rests on uncontrolled episodes, so it orients policy without measuring it.</w:t>
      </w:r>
    </w:p>
    <w:p>
      <w:pPr>
        <w:spacing w:after="160" w:line="264" w:lineRule="auto"/>
        <w:jc w:val="both"/>
      </w:pPr>
      <w:r>
        <w:t xml:space="preserve">The recommendations follow the record. Education systems could benefit from compiling a netted count of their potential-returner population, discounting lapsed certificates, out-of-jurisdiction residence and subject mismatch. Governments should audit the price of a return their own rules set and publish the result, expecting to negotiate changes with the pensions and finance authorities that own most of the settings. On the offer side, schools could advertise the part-time and job-share posts that documented returner segments seek, support should be tied to identified vacancies rather than open registration, and where the purpose is instructional capacity, systems should specify the role and the dose and write evaluation into the instrument. Sponsors should report destinations and one- and three-year survival against a stated denominator, and be prepared to let an instrument lapse when its own take-up record points that way. It is crucial that new re-entry instruments carry a counting duty lodged outside the sponsoring authority and a sunset matched to the decision the count is meant to inform.</w:t>
      </w:r>
    </w:p>
    <w:p>
      <w:pPr>
        <w:spacing w:after="160" w:line="264" w:lineRule="auto"/>
        <w:jc w:val="both"/>
      </w:pPr>
      <w:r>
        <w:t xml:space="preserve">The research agenda is narrow and mostly inexpensive. No quasi-experimental study anywhere prices re-entry incentives, no cross-country source decomposes departures into the three exit populations, and take-up of licensing waivers remains unpublished in every system that grants them, although every waiver passes through a regulator's records. The data systems needed for the cheapest items already exist, which suggests that the binding constraint on learning in this field is the assignment of duties rather than the cost of data.</w:t>
      </w:r>
    </w:p>
    <w:p>
      <w:pPr>
        <w:pStyle w:val="Heading1"/>
        <w:pageBreakBefore/>
      </w:pPr>
      <w:r>
        <w:t xml:space="preserve">1. Introduction</w:t>
      </w:r>
    </w:p>
    <w:p>
      <w:pPr>
        <w:spacing w:after="160" w:line="264" w:lineRule="auto"/>
        <w:jc w:val="both"/>
      </w:pPr>
      <w:r>
        <w:t xml:space="preserve">Every year, substantial numbers of teachers leave the profession, whether for other work, for time outside the labour market or for retirement. Across the 19 OECD education systems with comparable data, 6.5% of fully qualified teachers left teaching in 2022/23, and national leaving rates range from under 3% to over 10%.</w:t>
      </w:r>
      <w:r>
        <w:rPr>
          <w:vertAlign w:val="superscript"/>
        </w:rPr>
        <w:t xml:space="preserve">1</w:t>
      </w:r>
      <w:r>
        <w:t xml:space="preserve"> Attrition on this scale is a standing feature of school systems rather than an episode in any one labour market. In the United States, the share of teachers leaving the occupation each year has been broadly stable for four decades, at rates comparable to those of nurses and accountants (Aldeman and Yi, 2025; Harris and Adams, 2007). At the global level the movement has been upward, with the attrition rate among primary school teachers worldwide nearly doubling between 2015 and 2022, from 4.62% to 9.06% (UNESCO and International Task Force on Teachers for Education 2030, 2024).</w:t>
      </w:r>
    </w:p>
    <w:p>
      <w:pPr>
        <w:spacing w:after="160" w:line="264" w:lineRule="auto"/>
        <w:jc w:val="both"/>
      </w:pPr>
      <w:r>
        <w:t xml:space="preserve">The composition of these departures varies as much as their level. Teachers who leave form three distinct populations, those who move to other jobs, those who withdraw from the labour market and those who retire. On average across the same 19 systems, 51% of leavers resigned rather than retired, a balance that runs from resignation-dominated systems such as England (United Kingdom) and Denmark, where resignations exceed 80% of departures, to systems such as France, Greece and Ireland, where retirements account for more than half (OECD, 2025a). Which population dominates matters for policy, because the three populations leave for different motives and face different obstacles to coming back, and each is reached by different instruments.</w:t>
      </w:r>
    </w:p>
    <w:p>
      <w:pPr>
        <w:spacing w:after="160" w:line="264" w:lineRule="auto"/>
        <w:jc w:val="both"/>
      </w:pPr>
      <w:r>
        <w:t xml:space="preserve">Recruitment difficulties raise the stakes of this outflow. Most OECD countries face serious teacher shortages. The share of 15-year-old students in schools whose principals reported that instruction is hindered by a lack of teaching staff rose from 26% in 2018 to 47% in 2022, a perception measure, but one that rose by more than 30 percentage points in eight OECD countries (OECD, 2023b), and UNESCO projects a need for 44 million additional primary and secondary teachers worldwide by 2030, more than half of which is replacement of teachers who leave rather than expansion of the workforce (UNESCO and International Task Force on Teachers for Education 2030, 2024). The workforce doing the replacing is meanwhile ageing. Among European Union systems, ageing is most acute in Greece and Portugal, and in Italy teachers aged 55 and over significantly outnumber those under 30 (European Commission, 2023); in Germany, the 457 000 retired or pensioned teachers counted in 2021 stand against a serving workforce of roughly 800 000 (Deutsches Schulportal, 2023). Among serving teachers, 19% across OECD countries report a lot of stress at work, and one in five teachers under 30 intends to leave within five years (OECD, 2025b).</w:t>
      </w:r>
    </w:p>
    <w:p>
      <w:pPr>
        <w:spacing w:after="160" w:line="264" w:lineRule="auto"/>
        <w:jc w:val="both"/>
      </w:pPr>
      <w:r>
        <w:t xml:space="preserve">The same outflow builds the stock from which part of the replacement could come. England counted around 260 000 qualified teachers of working age out of service in 2018 (Worth, 2023); in Michigan (United States), 43% of the 141 810 teachers holding certificates were not teaching in a public school in 2017/18 (Lindsay, Gnedko-Berry and Wan, 2021); in Australia, around 19% of the country's 553 300 registered teachers were not working in schools, and more than half of these registrants reported that they would consider returning under the right circumstances (AITSL, 2025). Return flows from such stocks are already a substantial supply channel. Roughly 17 000 teachers return to English state schools each year, about one third of all new entrants (Department for Education, 2023), and re-entrants have made up between 37% and 49% of new hires in the United States (Sutcher, Darling-Hammond and Carver-Thomas, 2016), although only a minority of leavers, between one fifth and one half depending on the cohort, ever return (Grissom and Reininger, 2012; Moyer, 2022). Movement at this scale is consistent with teaching functioning as a profession that people leave and rejoin over a working life, and most countries already maintain pathways for teachers to return if they wish (OECD, 2024; OECD, 2025a).</w:t>
      </w:r>
    </w:p>
    <w:p>
      <w:pPr>
        <w:spacing w:after="160" w:line="264" w:lineRule="auto"/>
        <w:jc w:val="both"/>
      </w:pPr>
      <w:r>
        <w:t xml:space="preserve">Governments have implemented active policies to re-attract former teachers for decades, as Section 3 documents. As early as 2005, the OECD recommended that education systems maintain contact with former teachers, keep them informed of educational developments and job opportunities, and provide targeted retraining (OECD, 2005). The statutory record begins earlier and continues later, from the return-to-work window that North Carolina (United States) opened to retired teachers in 1999 (Jarrold-Grapes and Mahler, 2024), through returner subsidies the Netherlands regulated in 2017 (Ministerie van OCW, 2017), to the returner contracts Portugal created in 2024 (Decreto-Lei n.º 51/2024) and the outreach campaigns mounted in Austria, Germany and New South Wales (Australia) in the 2020s. Most of the instruments now in force were adopted or expanded under post-pandemic staffing pressure, and few of them have been evaluated.</w:t>
      </w:r>
    </w:p>
    <w:p>
      <w:pPr>
        <w:spacing w:after="160" w:line="264" w:lineRule="auto"/>
        <w:jc w:val="both"/>
      </w:pPr>
      <w:r>
        <w:t xml:space="preserve">This policy paper compiles and analyses the international record of policies to re-attract former teachers, organised into five instrument families, together with the evidence on why teachers leave, where they go and what they can bring back. The families are, in the order in which Section 3 treats them, pension and employment rules governing re-employment; certification and licensing routes back; money attached to the return; active recruitment and accompaniment; and return as a defined role. The first two families lower what a return costs the returner, in salary-step placement, pension-salary concurrency, waiting periods and licensing costs, a sum Section 3 defines as the price of a return; the other three add money, information or a different job on top of whatever that price is. The population concerned justifies attention beyond the vacancies it might cover, since experienced returners carry teaching capacity that school systems themselves financed, of a kind shown to spill over to colleagues and their students (Jackson and Bruegmann, 2009).</w:t>
      </w:r>
    </w:p>
    <w:p>
      <w:pPr>
        <w:spacing w:after="160" w:line="264" w:lineRule="auto"/>
        <w:jc w:val="both"/>
      </w:pPr>
      <w:r>
        <w:t xml:space="preserve">The compiled record is administrative rather than experimental, consisting mainly of statutes and take-up counts with a small number of independent audits and randomised trials, and the analysis extends only as far as such material allows. Section 2 examines who leaves the profession, for which motives, into which destinations and with what remaining capacity to teach; Section 3 analyses the five policy families and the take-up and evaluation record each has produced; Section 4 sets out the conclusions and recommendations that this record supports.</w:t>
      </w:r>
    </w:p>
    <w:p>
      <w:pPr>
        <w:pStyle w:val="Heading1"/>
        <w:pageBreakBefore/>
      </w:pPr>
      <w:r>
        <w:t xml:space="preserve">2. Why teachers leave, where they go and what they can bring back</w:t>
      </w:r>
    </w:p>
    <w:p>
      <w:pPr>
        <w:spacing w:after="160" w:line="264" w:lineRule="auto"/>
        <w:jc w:val="both"/>
      </w:pPr>
      <w:r>
        <w:t xml:space="preserve">Policies to bring former teachers back into classrooms rest on prior empirical questions about who leaves the profession, for which motives, into which destinations and with what remaining capacity to teach. The evidence on each of these questions has strengthened considerably over the past two decades, as administrative registers and linked employer records have begun to supplement survey self-reports, and it does not describe a homogeneous population.</w:t>
      </w:r>
    </w:p>
    <w:p>
      <w:pPr>
        <w:pStyle w:val="Heading2"/>
      </w:pPr>
      <w:r>
        <w:t xml:space="preserve">2.1 Three populations of leavers</w:t>
      </w:r>
    </w:p>
    <w:p>
      <w:pPr>
        <w:spacing w:after="160" w:line="264" w:lineRule="auto"/>
        <w:jc w:val="both"/>
      </w:pPr>
      <w:r>
        <w:t xml:space="preserve">Teachers who leave the profession form three distinct populations: those who move to other jobs, those who withdraw from the labour market and those who retire. Across the 19 OECD education systems with comparable data, 6.5% of fully qualified teachers left the profession in 2022/23, and on average 51% of these leavers resigned rather than retired (OECD, 2025a).</w:t>
      </w:r>
      <w:r>
        <w:rPr>
          <w:vertAlign w:val="superscript"/>
        </w:rPr>
        <w:t xml:space="preserve">2</w:t>
      </w:r>
      <w:r>
        <w:t xml:space="preserve"> The balance between the two margins differs widely across systems. Resignations accounted for over 80% of departures in Denmark, England (United Kingdom) and Estonia, while retirements exceeded half of all departures in France, the French Community of Belgium, Greece, Ireland and Israel (OECD, 2025a). England, where 40 800 full-time-equivalent teachers, 9.0% of the qualified workforce, left state schools in 2023/24, is the clearest case of a resignation-dominated system (Department for Education, 2025a).</w:t>
      </w:r>
    </w:p>
    <w:p>
      <w:pPr>
        <w:spacing w:after="160" w:line="264" w:lineRule="auto"/>
        <w:jc w:val="both"/>
      </w:pPr>
      <w:r>
        <w:t xml:space="preserve">The split matters for policy because the two margins respond to different levers. Systems in which most leavers resign face a working-age population whose departure reflects, at least in part, a judgement about the job itself; systems in which most leavers retire face an actuarial margin governed by pension rules more than by workplace motives. The resignation margin is also disproportionately young. Among the seven OECD countries reporting the seniority of resigning teachers, between 16% and 68% had less than five years of experience, one in three on average (OECD, 2025a).</w:t>
      </w:r>
      <w:r>
        <w:rPr>
          <w:vertAlign w:val="superscript"/>
        </w:rPr>
        <w:t xml:space="preserve">3</w:t>
      </w:r>
    </w:p>
    <w:p>
      <w:pPr>
        <w:spacing w:after="160" w:line="264" w:lineRule="auto"/>
        <w:jc w:val="both"/>
      </w:pPr>
      <w:r>
        <w:t xml:space="preserve">Within the resignation margin, a further distinction separates teachers who take other jobs from teachers who leave paid work altogether. In the United States, school district records linked to tax and census data indicate that about one fifth of leavers exit the labour force entirely (Brummet et al., 2024). Australian panel data show a similar order of magnitude, with 28.0% of leavers not in the labour force in the first year after exit and a further 13.9% retired (Cuervo and Vera-Toscano, 2025). The composition has shifted over time. In a cohort of certified American women followed between 1973 and 1986, around two thirds of those who left teaching withdrew from the labour force entirely, with the arrival of a newborn child the dominant factor, ahead of marriage or pay (Stinebrickner, 2002); in the contemporary data, most leavers keep working.</w:t>
      </w:r>
    </w:p>
    <w:p>
      <w:pPr>
        <w:spacing w:after="160" w:line="264" w:lineRule="auto"/>
        <w:jc w:val="both"/>
      </w:pPr>
      <w:r>
        <w:t xml:space="preserve">Most departures on the resignation margin also appear voluntary. In the United States, roughly 74% of all departures in 2021/22 were voluntary and unrelated to retirement, and leaving rates are markedly higher among uncertified teachers, in special education and in schools serving the largest concentrations of low-income students (Tan et al., 2026). No source yet provides a single cross-country decomposition of departures into the three populations; the shares reported here combine the system-level resignation and retirement split with national studies of labour-market status after exit, so comparisons of the labour-force-exit share across countries are only indicative.</w:t>
      </w:r>
    </w:p>
    <w:p>
      <w:pPr>
        <w:pStyle w:val="Heading2"/>
      </w:pPr>
      <w:r>
        <w:t xml:space="preserve">2.2 The motives behind departure</w:t>
      </w:r>
    </w:p>
    <w:p>
      <w:pPr>
        <w:spacing w:after="160" w:line="264" w:lineRule="auto"/>
        <w:jc w:val="both"/>
      </w:pPr>
      <w:r>
        <w:t xml:space="preserve">Among the main motives for which teachers leave, four categories stand out: intrinsic motives such as stress and declining satisfaction with the work itself; environmental motives rooted in workload, working hours and school leadership; economic motives concerning salary and pension design; and life-cycle motives linked to family formation, early-career exploration and retirement timing. This categorisation adapts the grouping established in the meta-analytic literature, in which the correlates of turnover cluster into personal characteristics, school factors and external policy factors (Nguyen et al., 2020). Each category weighs differently across the three exit populations and across countries, and each points towards a different family of re-entry policies (Table 1).</w:t>
      </w:r>
    </w:p>
    <w:p>
      <w:pPr>
        <w:keepNext/>
        <w:spacing w:after="120" w:before="200"/>
      </w:pPr>
      <w:r>
        <w:rPr>
          <w:b/>
          <w:bCs/>
          <w:color w:val="4E81BD"/>
          <w:sz w:val="23"/>
          <w:szCs w:val="23"/>
        </w:rPr>
        <w:t xml:space="preserve">Table 1. Motives for leaving the profession point to different policy families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21"/>
        <w:gridCol w:w="1145"/>
        <w:gridCol w:w="3283"/>
        <w:gridCol w:w="1930"/>
        <w:gridCol w:w="1593"/>
      </w:tblGrid>
      <w:tr>
        <w:trPr>
          <w:tblHeader/>
        </w:trPr>
        <w:tc>
          <w:tcPr>
            <w:tcW w:type="dxa" w:w="112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Category</w:t>
            </w:r>
          </w:p>
        </w:tc>
        <w:tc>
          <w:tcPr>
            <w:tcW w:type="dxa" w:w="114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Motive</w:t>
            </w:r>
          </w:p>
        </w:tc>
        <w:tc>
          <w:tcPr>
            <w:tcW w:type="dxa" w:w="328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What the evidence shows</w:t>
            </w:r>
          </w:p>
        </w:tc>
        <w:tc>
          <w:tcPr>
            <w:tcW w:type="dxa" w:w="193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Where it weighs most</w:t>
            </w:r>
          </w:p>
        </w:tc>
        <w:tc>
          <w:tcPr>
            <w:tcW w:type="dxa" w:w="159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Policy family that addresses it</w:t>
            </w:r>
          </w:p>
        </w:tc>
      </w:tr>
      <w:tr>
        <w:trPr>
          <w:tblHeader w:val="false"/>
        </w:trPr>
        <w:tc>
          <w:tcPr>
            <w:tcW w:type="dxa" w:w="11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Intrinsic</w:t>
            </w:r>
          </w:p>
        </w:tc>
        <w:tc>
          <w:tcPr>
            <w:tcW w:type="dxa" w:w="11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Occupational stress</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19% of teachers report high work stress; stress linked to student behaviour roughly doubles stated intentions to leave (OECD, 2025b)</w:t>
            </w:r>
          </w:p>
        </w:tc>
        <w:tc>
          <w:tcPr>
            <w:tcW w:type="dxa" w:w="19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Systems with high reported stress, above 30% in Australia, Malta and New Zealand</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 Return as a defined role</w:t>
            </w:r>
          </w:p>
        </w:tc>
      </w:tr>
      <w:tr>
        <w:trPr>
          <w:tblHeader w:val="false"/>
        </w:trPr>
        <w:tc>
          <w:tcPr>
            <w:tcW w:type="dxa" w:w="11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Intrinsic</w:t>
            </w:r>
          </w:p>
        </w:tc>
        <w:tc>
          <w:tcPr>
            <w:tcW w:type="dxa" w:w="11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Declining job satisfaction</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Satisfaction falls in the years before exit and rises after it, by 0.13 standard deviations at one year, while overall life satisfaction is unchanged (Cuervo and Vera-Toscano, 2025)</w:t>
            </w:r>
          </w:p>
        </w:tc>
        <w:tc>
          <w:tcPr>
            <w:tcW w:type="dxa" w:w="19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Documented in the Australian panel; consistent with stated reasons elsewhere</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 Active recruitment and accompaniment</w:t>
            </w:r>
          </w:p>
        </w:tc>
      </w:tr>
      <w:tr>
        <w:trPr>
          <w:tblHeader w:val="false"/>
        </w:trPr>
        <w:tc>
          <w:tcPr>
            <w:tcW w:type="dxa" w:w="11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Environmental</w:t>
            </w:r>
          </w:p>
        </w:tc>
        <w:tc>
          <w:tcPr>
            <w:tcW w:type="dxa" w:w="11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Workload and hours</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Panel estimates identify workload and work-life balance, more than pay, as exit drivers; English leavers accept a wage cut of around 10% for shorter hours (Cuervo and Vera-Toscano, 2025; Worth, Bamford and Durbin, 2015)</w:t>
            </w:r>
          </w:p>
        </w:tc>
        <w:tc>
          <w:tcPr>
            <w:tcW w:type="dxa" w:w="19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Where part-time work within teaching is scarce (Netherlands, England)</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 Return as a defined role</w:t>
            </w:r>
          </w:p>
        </w:tc>
      </w:tr>
      <w:tr>
        <w:trPr>
          <w:tblHeader w:val="false"/>
        </w:trPr>
        <w:tc>
          <w:tcPr>
            <w:tcW w:type="dxa" w:w="11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Environmental</w:t>
            </w:r>
          </w:p>
        </w:tc>
        <w:tc>
          <w:tcPr>
            <w:tcW w:type="dxa" w:w="11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School leadership</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most frequently stated reason among 256 Australian leavers (17.7%); moving from low to high perceived leadership effectiveness halves United States turnover in correlational data (Brandenburg et al., 2024; Tan et al., 2026)</w:t>
            </w:r>
          </w:p>
        </w:tc>
        <w:tc>
          <w:tcPr>
            <w:tcW w:type="dxa" w:w="19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Wherever leaver surveys exist</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 Active recruitment and accompaniment</w:t>
            </w:r>
          </w:p>
        </w:tc>
      </w:tr>
      <w:tr>
        <w:trPr>
          <w:tblHeader w:val="false"/>
        </w:trPr>
        <w:tc>
          <w:tcPr>
            <w:tcW w:type="dxa" w:w="11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Economic</w:t>
            </w:r>
          </w:p>
        </w:tc>
        <w:tc>
          <w:tcPr>
            <w:tcW w:type="dxa" w:w="11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Salary relative to alternatives</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Each USD 1 000 of salary is associated with 0.34 percentage points lower turnover; yet few leavers out-earn teaching after exit (Tan et al., 2026; Scafidi, Sjoquist and Stinebrickner, 2006)</w:t>
            </w:r>
          </w:p>
        </w:tc>
        <w:tc>
          <w:tcPr>
            <w:tcW w:type="dxa" w:w="19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Where pay gaps with other graduate occupations are wide (United States)</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 Money attached to the return</w:t>
            </w:r>
          </w:p>
        </w:tc>
      </w:tr>
      <w:tr>
        <w:trPr>
          <w:tblHeader w:val="false"/>
        </w:trPr>
        <w:tc>
          <w:tcPr>
            <w:tcW w:type="dxa" w:w="11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Economic</w:t>
            </w:r>
          </w:p>
        </w:tc>
        <w:tc>
          <w:tcPr>
            <w:tcW w:type="dxa" w:w="11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design</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wealth accrues in spikes in the mid-to-late 50s that pull retirement forward; teachers value current cash over deferred pension wealth at roughly five to one (Costrell and Podgursky, 2009; Fitzpatrick, 2015)</w:t>
            </w:r>
          </w:p>
        </w:tc>
        <w:tc>
          <w:tcPr>
            <w:tcW w:type="dxa" w:w="19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Defined-benefit systems with nonlinear accrual (United States)</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Pension and employment rules</w:t>
            </w:r>
          </w:p>
        </w:tc>
      </w:tr>
      <w:tr>
        <w:trPr>
          <w:tblHeader w:val="false"/>
        </w:trPr>
        <w:tc>
          <w:tcPr>
            <w:tcW w:type="dxa" w:w="11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Life-cycle</w:t>
            </w:r>
          </w:p>
        </w:tc>
        <w:tc>
          <w:tcPr>
            <w:tcW w:type="dxa" w:w="11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Family formation and care</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newborn child was the dominant exit factor in the historic United States cohort; returners are less likely to come back while children are young (Stinebrickner, 2002; Grissom and Reininger, 2012)</w:t>
            </w:r>
          </w:p>
        </w:tc>
        <w:tc>
          <w:tcPr>
            <w:tcW w:type="dxa" w:w="19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Where childcare and part-time options are limited</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 Certification and licensing routes back; D. Active recruitment and accompaniment</w:t>
            </w:r>
          </w:p>
        </w:tc>
      </w:tr>
      <w:tr>
        <w:trPr>
          <w:tblHeader w:val="false"/>
        </w:trPr>
        <w:tc>
          <w:tcPr>
            <w:tcW w:type="dxa" w:w="11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Life-cycle</w:t>
            </w:r>
          </w:p>
        </w:tc>
        <w:tc>
          <w:tcPr>
            <w:tcW w:type="dxa" w:w="114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Early-career exploration</w:t>
            </w:r>
          </w:p>
        </w:tc>
        <w:tc>
          <w:tcPr>
            <w:tcW w:type="dxa" w:w="32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 in three resigning teachers across seven OECD countries had under five years of experience (OECD, 2025a)</w:t>
            </w:r>
          </w:p>
        </w:tc>
        <w:tc>
          <w:tcPr>
            <w:tcW w:type="dxa" w:w="19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Systems with high leave intentions among under-30s (Estonia, Latvia, Lithuania)</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 Certification and licensing routes back</w:t>
            </w:r>
          </w:p>
        </w:tc>
      </w:tr>
      <w:tr>
        <w:trPr>
          <w:tblHeader w:val="false"/>
        </w:trPr>
        <w:tc>
          <w:tcPr>
            <w:tcW w:type="dxa" w:w="112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Life-cycle</w:t>
            </w:r>
          </w:p>
        </w:tc>
        <w:tc>
          <w:tcPr>
            <w:tcW w:type="dxa" w:w="114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Retirement timing</w:t>
            </w:r>
          </w:p>
        </w:tc>
        <w:tc>
          <w:tcPr>
            <w:tcW w:type="dxa" w:w="32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Retirements exceed half of all departures in France, the French Community of Belgium, Greece, Ireland and Israel (OECD, 2025a)</w:t>
            </w:r>
          </w:p>
        </w:tc>
        <w:tc>
          <w:tcPr>
            <w:tcW w:type="dxa" w:w="193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Retirement-heavy systems</w:t>
            </w:r>
          </w:p>
        </w:tc>
        <w:tc>
          <w:tcPr>
            <w:tcW w:type="dxa" w:w="15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A. Pension and employment rules</w:t>
            </w:r>
          </w:p>
        </w:tc>
      </w:tr>
    </w:tbl>
    <w:p>
      <w:pPr>
        <w:spacing w:after="120"/>
      </w:pPr>
    </w:p>
    <w:p>
      <w:pPr>
        <w:spacing w:after="60"/>
        <w:jc w:val="left"/>
      </w:pPr>
      <w:r>
        <w:rPr>
          <w:sz w:val="18"/>
          <w:szCs w:val="18"/>
        </w:rPr>
        <w:t xml:space="preserve">Note: The policy families are defined in Section 3: A. pension and employment rules that set the price of a return; B. certification and licensing routes back; C. money attached to the return; D. active recruitment and accompaniment; E. return as a defined role. Associations in the third column are correlational unless a study design is stated.</w:t>
      </w:r>
    </w:p>
    <w:p>
      <w:pPr>
        <w:spacing w:after="60"/>
        <w:jc w:val="left"/>
      </w:pPr>
      <w:r>
        <w:rPr>
          <w:sz w:val="18"/>
          <w:szCs w:val="18"/>
        </w:rPr>
        <w:t xml:space="preserve">Source: Authors' compilation from the studies cited in each row; categories adapted from Nguyen et al. (2020).</w:t>
      </w:r>
    </w:p>
    <w:p>
      <w:pPr>
        <w:spacing w:after="160" w:line="264" w:lineRule="auto"/>
        <w:jc w:val="both"/>
      </w:pPr>
      <w:r>
        <w:t xml:space="preserve">Intrinsic motives are the best measured internationally, though mostly as intentions. Across OECD countries, 19% of teachers report experiencing a lot of stress at work, and stress arising from student intimidation or from maintaining classroom discipline is more closely associated with the intention to leave than workload, accountability or reform pressures (OECD, 2025b).</w:t>
      </w:r>
      <w:r>
        <w:rPr>
          <w:vertAlign w:val="superscript"/>
        </w:rPr>
        <w:t xml:space="preserve">4</w:t>
      </w:r>
      <w:r>
        <w:t xml:space="preserve"> Intentions overstate exits by a wide margin, with around 25% of teachers stating an intention to leave within five years against realised leaving rates of 5% to 11%, so intention data are informative about the patterning of dissatisfaction rather than about future attrition (OECD, 2020; Nguyen et al., 2025). Revealed trajectories point the same way. In the Australian panel, job satisfaction declines in the years before exit and rises afterwards, by 0.13 standard deviations at one year and 0.19 at three, while overall life satisfaction does not change significantly (Cuervo and Vera-Toscano, 2025); the pre-exit decline suggests that dissatisfaction is measurable in advance of departure.</w:t>
      </w:r>
    </w:p>
    <w:p>
      <w:pPr>
        <w:spacing w:after="160" w:line="264" w:lineRule="auto"/>
        <w:jc w:val="both"/>
      </w:pPr>
      <w:r>
        <w:t xml:space="preserve">Environmental motives carry the strongest revealed-preference support. Fixed-effects estimates from two decades of Australian panel data identify workload, stress and work-life balance, and not salary, as the drivers of exit (Cuervo and Vera-Toscano, 2025), and English leavers accept an average wage cut of around 10% relative to comparable stayers in exchange for shorter hours and higher job satisfaction (Worth, Bamford and Durbin, 2015). Stated reasons align with these estimates, with school leadership issues (17.7%) and workload (16.6%) leading the accounts of 256 Australian leavers surveyed between 2016 and 2022 (Brandenburg et al., 2024), and supportive school leadership is the key non-pay correlate in the quasi-experimental retention literature (Sims, Lowes-Belk and Routledge, 2026). A notable example is the case of the Netherlands, where the qualified teachers who constitute the country's hidden reserve were asked directly what would bring them back. Lower work pressure, more control over working hours and greater autonomy ranked ahead of salary, and inactive teachers rated several working conditions in their current jobs more favourably than active teachers rated theirs (Somers et al., 2024a).</w:t>
      </w:r>
    </w:p>
    <w:p>
      <w:pPr>
        <w:spacing w:after="160" w:line="264" w:lineRule="auto"/>
        <w:jc w:val="both"/>
      </w:pPr>
      <w:r>
        <w:t xml:space="preserve">The economic evidence is substantial but geographically skewed. In the United States, each additional USD 1 000 of cost-of-living-adjusted salary is associated with a turnover reduction of 0.34 percentage points (Tan et al., 2026), and 33% of Michigan certificate-holders outside the classroom placed higher salary among their top three reasons for not teaching, in a survey whose 30% response rate its authors describe as unrepresentative (Lindsay, Gnedko-Berry and Wan, 2021). Causal estimates indicate that targeted payments do retain teachers. In England, a payment of GBP 2 000 a year after tax made eligible mathematics and physics teachers 23% less likely to leave (Sims and Benhenda, 2022), and bonus and loan-forgiveness schemes in Florida and North Carolina cut attrition in shortage subjects by roughly 9% to 17% (Feng and Sass, 2018; Clotfelter et al., 2008). These estimates price retention, however, and no quasi-experimental study anywhere directly prices re-entry incentives, which concern people who have already revealed a preference against current conditions. The weight of the evidence is also American, since 72 of the roughly 86 studies in the causal base are from the United States (Fleck et al., 2025), which cautions against reading the salary margin as universal.</w:t>
      </w:r>
    </w:p>
    <w:p>
      <w:pPr>
        <w:spacing w:after="160" w:line="264" w:lineRule="auto"/>
        <w:jc w:val="both"/>
      </w:pPr>
      <w:r>
        <w:t xml:space="preserve">Life-cycle motives operate at both ends of the career. Early-career resignation partly reflects ordinary labour-market behaviour, as young teachers change jobs at rates comparable to young professionals in similar occupations (Harris and Adams, 2007), and one in five teachers under 30 intends to leave within five years, rising to around half in Estonia, Latvia and Lithuania (OECD, 2025b). At the other end, what distinguishes teacher turnover from that of comparable professions is early, pension-driven retirement. Pension wealth in six United States state systems accrues in spikes in the mid-to-late 50s and then declines, encouraging exit at ages young for professionals (Costrell and Podgursky, 2009; Harris and Adams, 2007), while pension enhancements that reward delayed retirement have been found to cut retirements by 4 to 10 percentage points (Fleck et al., 2025). Between the two ends lies the family margin. The segment of registrants for an English returner programme labelled career breakers returned at about double the rate of the other segments and sought part-time work that schools rarely advertise (Buchanan et al., 2018; Worth and Sharp, 2018).</w:t>
      </w:r>
    </w:p>
    <w:p>
      <w:pPr>
        <w:spacing w:after="160" w:line="264" w:lineRule="auto"/>
        <w:jc w:val="both"/>
      </w:pPr>
      <w:r>
        <w:t xml:space="preserve">Entry motives, by contrast, appear broadly similar across countries; what differs is what the profession offers. In comparative applications of the FIT-Choice scale, social utility and intrinsic value rank highest everywhere, while perceptions of salary, status and demand carry the country differences (Watt et al., 2012). A parallel reading fits the exit evidence. Where the pay gap with alternative graduate employment is wide, as in the United States, the salary motive weighs most; where part-time work inside teaching is scarce, as in the Netherlands and England, hours and working conditions weigh most; and where retirement dominates departures, as in France, Greece and Ireland, pension rules matter more than any workplace motive. Policies to re-attract former teachers therefore require a diagnosis of the local exit mix before an instrument is chosen.</w:t>
      </w:r>
    </w:p>
    <w:p>
      <w:pPr>
        <w:pStyle w:val="Heading2"/>
      </w:pPr>
      <w:r>
        <w:t xml:space="preserve">2.3 Where leavers go and what they can bring back</w:t>
      </w:r>
    </w:p>
    <w:p>
      <w:pPr>
        <w:spacing w:after="160" w:line="264" w:lineRule="auto"/>
        <w:jc w:val="both"/>
      </w:pPr>
      <w:r>
        <w:t xml:space="preserve">Not only does the leaving rate vary across countries; so does the composition of destinations. In the United States, district records linked to tax and census data show that more than half of leavers remain in education broadly defined, about one fifth exit the labour force entirely and fewer than one quarter take jobs outside education, while mean earnings remain slightly below pre-exit levels even eight years later (Brummet et al., 2024). Australian panel data draw a comparable picture, with 22.1% of leavers in non-teaching roles within school education and a further 21.8% elsewhere in education, health care and social assistance in the first year after exit (Cuervo and Vera-Toscano, 2025); in a national survey of Australian leavers, 62% reported using their teaching skills a great deal in their new work (Brandenburg et al., 2024). In England, more than half of non-retiring leavers take jobs in the education sector, at the wage cut of around 10% noted above (Worth, Bamford and Durbin, 2015).</w:t>
      </w:r>
    </w:p>
    <w:p>
      <w:pPr>
        <w:spacing w:after="160" w:line="264" w:lineRule="auto"/>
        <w:jc w:val="both"/>
      </w:pPr>
      <w:r>
        <w:t xml:space="preserve">The stock that these flows accumulate into is large, mostly of working age and formally still qualified. In Michigan, 61 252 of 141 810 certified teachers, 43%, were not teaching in a public school in 2017/18; 93% of them were under 60, and although 44% to 49% held expired certificates, against 6% of active teachers, an expired certificate can be restored (Lindsay, Gnedko-Berry and Wan, 2021). England counted around 260 000 qualified teachers of working age out of service in 2018, alongside 106 000 who never entered service (Worth, 2023). These stocks already generate substantial return flows. Roughly 17 000 teachers return to English state schools each year, about one third of all new entrants (Department for Education, 2023), and re-entrants have made up between 37% and 49% of new hires in the United States (Sutcher, Darling-Hammond and Carver-Thomas, 2016), although only a minority of leavers, between one fifth and one half depending on the cohort, ever return (Grissom and Reininger, 2012; Moyer, 2022).</w:t>
      </w:r>
    </w:p>
    <w:p>
      <w:pPr>
        <w:spacing w:after="160" w:line="264" w:lineRule="auto"/>
        <w:jc w:val="both"/>
      </w:pPr>
      <w:r>
        <w:t xml:space="preserve">What returners could contribute rests, in the first instance, on experience. The best causal footing for the claim that exposure to experienced educators transfers skill comes from peer effects among serving teachers. A one standard deviation increase in the quality of a teacher's peers raises her students' test-score growth by 0.02 standard deviations in reading and 0.04 in mathematics, about one third of the own-teacher effect, with the strongest spillovers accruing to less experienced colleagues (Jackson and Bruegmann, 2009). Experience is also what returns when rules change. When North Carolina allowed retirees to teach full-time without pension penalty, the roughly 3 500 teachers who returned over the decade, 2.1% of the sampled workforce, averaged 31 years of experience and went disproportionately to high-need schools (Jarrold-Grapes and Mahler, 2024).</w:t>
      </w:r>
    </w:p>
    <w:p>
      <w:pPr>
        <w:spacing w:after="160" w:line="264" w:lineRule="auto"/>
        <w:jc w:val="both"/>
      </w:pPr>
      <w:r>
        <w:t xml:space="preserve">A second line of evidence concerns structured tutoring, the designed role in which older and former educators have been tested most rigorously. Across randomised trials of tutoring from pre-school to secondary school, the pooled effect is 0.288 standard deviations, with the largest effects for teacher and paraprofessional tutors, in earlier grades and at doses of three or more days per week (Nickow, Oreopoulos and Quan, 2024). In the Number Rockets replication, 86 tutors drawn from retired and substitute teacher pools delivered a first-grade mathematics protocol to 994 students across 76 schools in four urban districts, reproducing at scale an effect of 0.34 standard deviations first obtained with graduate students (Gersten et al., 2015; Rolfhus et al., 2012). These trials do not isolate former teachers as a tutor class; the Number Rockets pool mixed retirees with substitutes, and the meta-analytic tutor categories are broader still, so the inference to returners specifically remains indirect. Dose also recurs as a condition of effect across this literature, and recruitment at token hours should not be expected to reproduce these results.</w:t>
      </w:r>
    </w:p>
    <w:p>
      <w:pPr>
        <w:spacing w:after="160" w:line="264" w:lineRule="auto"/>
        <w:jc w:val="both"/>
      </w:pPr>
      <w:r>
        <w:t xml:space="preserve">The mentoring record is thinner. The one randomised trial of retired educators as mentors to new teachers, rated by the What Works Clearinghouse as meeting standards without reservations, found indeterminate effects in all three reviewed domains of reading, mathematics and retention (DeCesare, McClelland and Randel, 2017; What Works Clearinghouse, 2019), and the largest trial of comprehensive induction found no effect on the retention of the teachers mentored (Glazerman et al., 2010). The asymmetry between the tutoring and mentoring records is one of measurement effort rather than a verdict on returning teachers' craft. The tutoring role was specified, dosed and tested at scale; the mentoring role was tested once, without a specified dose. More generally, no study in the international record links an individual returner to the outcomes of the students or colleagues they work with, and the authors of the largest re-entry episode note that their data did not permit the attempt (Jarrold-Grapes and Mahler, 2024). What the record does establish is narrower. A former teacher holds a valid or restorable licence, can be deployed without consuming a place in initial teacher education, and brings institutional familiarity while standing outside the school's evaluation hierarchy (DeCesare, McClelland and Randel, 2017). Settling the wider question would require linking returner records to the classes and colleagues they join, and trials of designed roles at specified doses.</w:t>
      </w:r>
    </w:p>
    <w:p>
      <w:pPr>
        <w:spacing w:after="160" w:line="264" w:lineRule="auto"/>
        <w:jc w:val="both"/>
      </w:pPr>
      <w:r>
        <w:t xml:space="preserve">The destination and contribution evidence therefore describes a population that is mostly employed, mostly close to education and formally qualified, with tested usefulness in at least one specified role. Whether any part of it returns depends on conditions that governments set, namely the pension and employment rules, licensing requirements, financial incentives, outreach efforts and role designs that determine what a return costs the returner and what it offers. Across OECD countries these instruments have been deployed in varying combinations over the past two decades, with results that range from audited take-up at scale to independently evaluated failure.</w:t>
      </w:r>
    </w:p>
    <w:p>
      <w:pPr>
        <w:pStyle w:val="Heading1"/>
        <w:pageBreakBefore/>
      </w:pPr>
      <w:r>
        <w:t xml:space="preserve">3. Policies to bring former teachers back</w:t>
      </w:r>
    </w:p>
    <w:p>
      <w:pPr>
        <w:spacing w:after="160" w:line="264" w:lineRule="auto"/>
        <w:jc w:val="both"/>
      </w:pPr>
      <w:r>
        <w:t xml:space="preserve">Governments have implemented policies to re-attract former teachers for decades, with two purposes that recur across otherwise dissimilar systems. The first is cover, in which returners fill posts that would otherwise stand vacant or pass to unqualified substitutes. The second is the recovery of experienced capacity, since a returner arrives with classroom experience that initial teacher education cannot produce at short notice and does not consume a training place. The OECD identified the policy field as early as 2005, recommending that education systems maintain contact with former teachers, keep them informed of educational developments and job opportunities, and provide targeted retraining (OECD, 2005). The international record now contains statutory return-to-work windows, waiver regimes, employer subsidies, letter campaigns and redesigned roles across North America, Europe, Asia and Oceania, most of them adopted or expanded under post-pandemic staffing pressure.</w:t>
      </w:r>
    </w:p>
    <w:p>
      <w:pPr>
        <w:spacing w:after="160" w:line="264" w:lineRule="auto"/>
        <w:jc w:val="both"/>
      </w:pPr>
      <w:r>
        <w:t xml:space="preserve">These instruments group into five families according to what they change (Table 2). Pension and employment rules alter the statutory terms on which a pensioner or leaver may be re-employed; certification and licensing routes back remove the regulatory steps between a lapsed licence and a classroom; a third family attaches money to the act of returning; a fourth has education authorities locate former teachers and accompany them back; a fifth defines a role, such as structured tutoring or mentoring, other than the classroom post the leaver gave up. The first two families act on what this paper terms the price of a return, the sum of salary-step placement, pension-salary concurrency, waiting periods and licensing costs that a qualified former teacher faces when weighing re-entry; the remaining families add money, information or a different job on top of whatever price the rules have set. The families correspond to the exit motives documented in Section 2, and the final column of Table 1 indicates which family addresses which motive.</w:t>
      </w:r>
    </w:p>
    <w:p>
      <w:pPr>
        <w:spacing w:after="160" w:line="264" w:lineRule="auto"/>
        <w:jc w:val="both"/>
      </w:pPr>
      <w:r>
        <w:t xml:space="preserve">The record these families have produced consists mainly of administrative take-up counts rather than evaluations, and the counts measure different outcomes against different denominators, so any comparative reading must stay modest. One pattern is nonetheless visible. Among the many campaigns implemented to attract teachers back, both those providing incentives and those easing certification, there is suggestive evidence that they weigh less than changes to the legal rules of the game, which appear more successful in re-attracting teachers. The largest documented return flows follow changes to pension and employment rules, while marketing-led and subsidy-led schemes have converted registrations into placements at rates their own sponsors describe as disappointing. That reading rests on uncontrolled episodes rather than on designed comparisons, and it is qualified wherever the underlying counts are missing or unpublished.</w:t>
      </w:r>
    </w:p>
    <w:p>
      <w:pPr>
        <w:keepNext/>
        <w:spacing w:after="120" w:before="200"/>
      </w:pPr>
      <w:r>
        <w:rPr>
          <w:b/>
          <w:bCs/>
          <w:color w:val="4E81BD"/>
          <w:sz w:val="23"/>
          <w:szCs w:val="23"/>
        </w:rPr>
        <w:t xml:space="preserve">Table 2. Five families of re-entry policy change different components of the return decision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8"/>
        <w:gridCol w:w="1898"/>
        <w:gridCol w:w="1558"/>
        <w:gridCol w:w="1593"/>
        <w:gridCol w:w="2505"/>
      </w:tblGrid>
      <w:tr>
        <w:trPr>
          <w:tblHeader/>
        </w:trPr>
        <w:tc>
          <w:tcPr>
            <w:tcW w:type="dxa" w:w="151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Family</w:t>
            </w:r>
          </w:p>
        </w:tc>
        <w:tc>
          <w:tcPr>
            <w:tcW w:type="dxa" w:w="189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What it changes</w:t>
            </w:r>
          </w:p>
        </w:tc>
        <w:tc>
          <w:tcPr>
            <w:tcW w:type="dxa" w:w="155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Primary beneficiary</w:t>
            </w:r>
          </w:p>
        </w:tc>
        <w:tc>
          <w:tcPr>
            <w:tcW w:type="dxa" w:w="159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Flagship example</w:t>
            </w:r>
          </w:p>
        </w:tc>
        <w:tc>
          <w:tcPr>
            <w:tcW w:type="dxa" w:w="250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Headline learning</w:t>
            </w:r>
          </w:p>
        </w:tc>
      </w:tr>
      <w:tr>
        <w:trPr>
          <w:tblHeader w:val="false"/>
        </w:trPr>
        <w:tc>
          <w:tcPr>
            <w:tcW w:type="dxa" w:w="15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Pension and employment rules that set the price of a return</w:t>
            </w:r>
          </w:p>
        </w:tc>
        <w:tc>
          <w:tcPr>
            <w:tcW w:type="dxa" w:w="18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caps, waiting periods, service thresholds and concurrency provisions</w:t>
            </w:r>
          </w:p>
        </w:tc>
        <w:tc>
          <w:tcPr>
            <w:tcW w:type="dxa" w:w="155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Pension-drawing retirees</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Return-to-work window, North Carolina (United States)</w:t>
            </w:r>
          </w:p>
        </w:tc>
        <w:tc>
          <w:tcPr>
            <w:tcW w:type="dxa" w:w="25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Removing the pension penalty re-activated retirees at a scale no campaign approaches; stacked eligibility screens depress take-up</w:t>
            </w:r>
          </w:p>
        </w:tc>
      </w:tr>
      <w:tr>
        <w:trPr>
          <w:tblHeader w:val="false"/>
        </w:trPr>
        <w:tc>
          <w:tcPr>
            <w:tcW w:type="dxa" w:w="15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 Certification and licensing routes back</w:t>
            </w:r>
          </w:p>
        </w:tc>
        <w:tc>
          <w:tcPr>
            <w:tcW w:type="dxa" w:w="18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Lapsed certificates, refresher requirements and re-accreditation steps</w:t>
            </w:r>
          </w:p>
        </w:tc>
        <w:tc>
          <w:tcPr>
            <w:tcW w:type="dxa" w:w="155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Qualified leavers whose licences have lapsed</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Zealand's certification package</w:t>
            </w:r>
          </w:p>
        </w:tc>
        <w:tc>
          <w:tcPr>
            <w:tcW w:type="dxa" w:w="25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Friction removal is most credible as a standing rule tied to a job offer; no system has published take-up</w:t>
            </w:r>
          </w:p>
        </w:tc>
      </w:tr>
      <w:tr>
        <w:trPr>
          <w:tblHeader w:val="false"/>
        </w:trPr>
        <w:tc>
          <w:tcPr>
            <w:tcW w:type="dxa" w:w="15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 Money attached to the return</w:t>
            </w:r>
          </w:p>
        </w:tc>
        <w:tc>
          <w:tcPr>
            <w:tcW w:type="dxa" w:w="18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financial terms of the act of returning</w:t>
            </w:r>
          </w:p>
        </w:tc>
        <w:tc>
          <w:tcPr>
            <w:tcW w:type="dxa" w:w="155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Recent retirees and leavers weighing a return</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Decreto-Lei 51/2024, Portugal</w:t>
            </w:r>
          </w:p>
        </w:tc>
        <w:tc>
          <w:tcPr>
            <w:tcW w:type="dxa" w:w="25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Under one law, the route preventing exits was taken far more often than the route reversing them, at comparable money</w:t>
            </w:r>
          </w:p>
        </w:tc>
      </w:tr>
      <w:tr>
        <w:trPr>
          <w:tblHeader w:val="false"/>
        </w:trPr>
        <w:tc>
          <w:tcPr>
            <w:tcW w:type="dxa" w:w="15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 Active recruitment and accompaniment</w:t>
            </w:r>
          </w:p>
        </w:tc>
        <w:tc>
          <w:tcPr>
            <w:tcW w:type="dxa" w:w="18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Who is contacted, and with what support</w:t>
            </w:r>
          </w:p>
        </w:tc>
        <w:tc>
          <w:tcPr>
            <w:tcW w:type="dxa" w:w="155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Recent resignees and retirees on employer records</w:t>
            </w:r>
          </w:p>
        </w:tc>
        <w:tc>
          <w:tcPr>
            <w:tcW w:type="dxa" w:w="15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"Teachers Re-Engage", New South Wales (Australia)</w:t>
            </w:r>
          </w:p>
        </w:tc>
        <w:tc>
          <w:tcPr>
            <w:tcW w:type="dxa" w:w="250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Interest is inexpensive to generate and conversion is the constraint; no scheme has measured additionality</w:t>
            </w:r>
          </w:p>
        </w:tc>
      </w:tr>
      <w:tr>
        <w:trPr>
          <w:tblHeader w:val="false"/>
        </w:trPr>
        <w:tc>
          <w:tcPr>
            <w:tcW w:type="dxa" w:w="15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E. Return as a defined role</w:t>
            </w:r>
          </w:p>
        </w:tc>
        <w:tc>
          <w:tcPr>
            <w:tcW w:type="dxa" w:w="18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The job itself, from full classroom return to tutoring, mentoring or reserve duty</w:t>
            </w:r>
          </w:p>
        </w:tc>
        <w:tc>
          <w:tcPr>
            <w:tcW w:type="dxa" w:w="155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Retirees seeking partial re-engagement</w:t>
            </w:r>
          </w:p>
        </w:tc>
        <w:tc>
          <w:tcPr>
            <w:tcW w:type="dxa" w:w="15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"Number Rockets" tutoring trial (United States)</w:t>
            </w:r>
          </w:p>
        </w:tc>
        <w:tc>
          <w:tcPr>
            <w:tcW w:type="dxa" w:w="250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The only family with randomised evidence; measured effects track role specification and dose</w:t>
            </w:r>
          </w:p>
        </w:tc>
      </w:tr>
    </w:tbl>
    <w:p>
      <w:pPr>
        <w:spacing w:after="120"/>
      </w:pPr>
    </w:p>
    <w:p>
      <w:pPr>
        <w:spacing w:after="60"/>
        <w:jc w:val="left"/>
      </w:pPr>
      <w:r>
        <w:rPr>
          <w:sz w:val="18"/>
          <w:szCs w:val="18"/>
        </w:rPr>
        <w:t xml:space="preserve">Note: Families are lettered as in the note to Table 1. Flagship examples are the best-documented case in each family, not necessarily the largest.</w:t>
      </w:r>
    </w:p>
    <w:p>
      <w:pPr>
        <w:spacing w:after="60"/>
        <w:jc w:val="left"/>
      </w:pPr>
      <w:r>
        <w:rPr>
          <w:sz w:val="18"/>
          <w:szCs w:val="18"/>
        </w:rPr>
        <w:t xml:space="preserve">Source: Authors' compilation from the sources cited in Section 3.</w:t>
      </w:r>
    </w:p>
    <w:p>
      <w:pPr>
        <w:pStyle w:val="Heading2"/>
      </w:pPr>
      <w:r>
        <w:t xml:space="preserve">3.1 Pension and employment rules that set the price of a return</w:t>
      </w:r>
    </w:p>
    <w:p>
      <w:pPr>
        <w:spacing w:after="160" w:line="264" w:lineRule="auto"/>
        <w:jc w:val="both"/>
      </w:pPr>
      <w:r>
        <w:t xml:space="preserve">For a retired teacher, the price of a return is set by the pension system before any school makes an offer. Governments in this family spend little new money; they move the statutory settings, the earnings caps, waiting periods, service thresholds and suspension provisions, that determine what a pensioner forfeits by drawing a salary again. The route the family enables is the re-employment of pension-drawing retirees, occasionally of all leavers, on terms the pension system will tolerate. Its evidence base is the strongest of the five families, because rule changes generate administrative take-up data as a by-product, and because in North Carolina and Georgia (United States) and in Austria the resulting record has been examined at arm's length rather than by the sponsoring authority.</w:t>
      </w:r>
    </w:p>
    <w:p>
      <w:pPr>
        <w:spacing w:after="160" w:line="264" w:lineRule="auto"/>
        <w:jc w:val="both"/>
      </w:pPr>
      <w:r>
        <w:t xml:space="preserve">Across the systems whose rules could be documented, the price of a return is set on four regulatory dials (Table 3). A pay dial governs salary-step placement and pension-salary concurrency; an exclusion dial sets waiting periods, service thresholds and eligibility screens; an intensity dial caps how much a returner may work; a licence dial determines what re-certification a return requires. Systems position the dials very differently. Austria's crediting rules place formerly civil-servant returners at the starting salary, because service that already generates a pension is excluded from crediting, while former contract-scheme teachers broadly recover their pre-retirement pay (BMBWF, 2023). Ontario prices intensity rather than pay, through a cap on days worked per school year. Georgia stacks the exclusion dial, combining a long service threshold with a waiting period and a subject screen. The dials matter jointly, since a return that is permitted on one dial can remain unaffordable on another, and most systems document their settings without publishing what happened under them.</w:t>
      </w:r>
    </w:p>
    <w:p>
      <w:pPr>
        <w:keepNext/>
        <w:spacing w:after="120" w:before="200"/>
      </w:pPr>
      <w:r>
        <w:rPr>
          <w:b/>
          <w:bCs/>
          <w:color w:val="4E81BD"/>
          <w:sz w:val="23"/>
          <w:szCs w:val="23"/>
        </w:rPr>
        <w:t xml:space="preserve">Table 3. The price of a return is set on four regulatory dials, positioned differently in every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91"/>
        <w:gridCol w:w="1984"/>
        <w:gridCol w:w="2927"/>
        <w:gridCol w:w="1642"/>
        <w:gridCol w:w="1028"/>
      </w:tblGrid>
      <w:tr>
        <w:trPr>
          <w:tblHeader/>
        </w:trPr>
        <w:tc>
          <w:tcPr>
            <w:tcW w:type="dxa" w:w="149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 (instrument)</w:t>
            </w:r>
          </w:p>
        </w:tc>
        <w:tc>
          <w:tcPr>
            <w:tcW w:type="dxa" w:w="198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Pay: step and pension concurrency</w:t>
            </w:r>
          </w:p>
        </w:tc>
        <w:tc>
          <w:tcPr>
            <w:tcW w:type="dxa" w:w="29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Exclusion: waits, thresholds, screens</w:t>
            </w:r>
          </w:p>
        </w:tc>
        <w:tc>
          <w:tcPr>
            <w:tcW w:type="dxa" w:w="164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Intensity: caps on quantity</w:t>
            </w:r>
          </w:p>
        </w:tc>
        <w:tc>
          <w:tcPr>
            <w:tcW w:type="dxa" w:w="102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Licence: lapse, refresh, waiver</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 (crediting rules; Länder contracts)</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Ex-civil-servants: full pension + starting salary (pension-generating service excluded from crediting); ex-contract teachers: service credited, broadly pre-retirement pay</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formal</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Reduced hours common in new fixed-term contracts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Portugal (Decreto-Lei 51/2024, Art. 5)</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 pay indexed to first career step, pro-rated by hours</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Retired five years or less; annual quota</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Pro-rating by teaching hours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North Carolina, US (RTW window, 1999-2009)</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salary + full pension during the window; half-salary part-time earnings cap before and after</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First year only: low-performing schools, certification match</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during the window</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 US (HB 385 / SB 150)</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pension + placement on the salary schedule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30 years' service; one-year break; three highest-need subjects per region (district-determined from 2026); sunset 2030</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only</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Certification required</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 US (HB 73 / SB 133)</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no salary limits on the newest route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90-day layout; no pre-arranged return; board approval</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Routes at ≤0.25 FTE, under USD 25 000, or no limits for up to 60 months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 US (PA 184 / PA 147)</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and insurance subsidy kept; no earnings limit after the wait</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Bona fide termination; six-month wait (reverts to nine months in 2028 unless renewed); USD 15 100 earnings cap during the wait</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after the wait</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 US (Acts 394/2024, 344/2026)</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 salary in certified critical-shortage posts</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12-month wait; fewer-than-three-certified-applicants test; no-impact route at 65+ from 2026</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cap of 50% of final average compensation outside shortage routes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General certification suffices from 2026</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 US (Va. Code § 51.1-155; ED-3)</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 salary in critical-shortage positions (statutory since 2001)</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Six-month break (previously twelve); no pre-arranged return; closed to early-retirement-incentive retirees; sunset 2028</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critical-shortage posts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Lapsed licences fast-tracked under the 2022 directive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Ontario, Canada (Teachers' Pension Act, Sch. 1)</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within the cap</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50 days per school year (95 in 1990-2012 for the first three years, and 2020/21-2022/23); movable only by co-sponsor agreement</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 (cumul emploi-retraite)</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Capped pension-earnings combination unless full-rate conditions are met; new pension rights accrue since 2023</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 before re-employment with the last employer</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 UK (Teachers' Pension Scheme)</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Abatement of final-salary Age/Premature benefits above the salary of reference; career-average benefits never abated</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limit rather than day cap</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Zealand (Education and Training Act 2020; Teaching Council policy)</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20 half-days per year of relief teaching without a practising certificate; extension possible with a job offer</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Refresh required mainly without a job offer; certificate fees paid by government to mid-2028</w:t>
            </w:r>
          </w:p>
        </w:tc>
      </w:tr>
      <w:tr>
        <w:trPr>
          <w:tblHeader w:val="false"/>
        </w:trPr>
        <w:tc>
          <w:tcPr>
            <w:tcW w:type="dxa" w:w="149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Ireland (career break scheme; annual information notes)</w:t>
            </w:r>
          </w:p>
        </w:tc>
        <w:tc>
          <w:tcPr>
            <w:tcW w:type="dxa" w:w="198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Substitute pay at regular rates; increments accrue under general rules</w:t>
            </w:r>
          </w:p>
        </w:tc>
        <w:tc>
          <w:tcPr>
            <w:tcW w:type="dxa" w:w="29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Career-break status</w:t>
            </w:r>
          </w:p>
        </w:tc>
        <w:tc>
          <w:tcPr>
            <w:tcW w:type="dxa" w:w="164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Substitute-work limits suspended annually since at least 2021/22</w:t>
            </w:r>
          </w:p>
        </w:tc>
        <w:tc>
          <w:tcPr>
            <w:tcW w:type="dxa" w:w="10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bl>
    <w:p>
      <w:pPr>
        <w:spacing w:after="120"/>
      </w:pPr>
    </w:p>
    <w:p>
      <w:pPr>
        <w:spacing w:after="60"/>
        <w:jc w:val="left"/>
      </w:pPr>
      <w:r>
        <w:rPr>
          <w:sz w:val="18"/>
          <w:szCs w:val="18"/>
        </w:rPr>
        <w:t xml:space="preserve">Note: "—" indicates no provision specific to returners identified in the sources consulted. The table records rule design, not effect; published take-up under each rule appears in Table 4 where it exists.</w:t>
      </w:r>
    </w:p>
    <w:p>
      <w:pPr>
        <w:spacing w:after="60"/>
        <w:jc w:val="left"/>
      </w:pPr>
      <w:r>
        <w:rPr>
          <w:sz w:val="18"/>
          <w:szCs w:val="18"/>
        </w:rPr>
        <w:t xml:space="preserve">Source: BMBWF (2023); Teachers' Pensions (n.d.); Decreto-Lei n.º 51/2024; Jarrold-Grapes and Mahler (2024); Georgia Department of Audits and Accounts (2025); Teachers Retirement System of Georgia (2026); New Mexico Legislature (2022); New Mexico Educational Retirement Board (2025); Michigan Office of Retirement Services (2022; 2023); Teachers' Retirement System of Louisiana (2024; 2026); Virginia Retirement System (n.d.); Commonwealth of Virginia (2023); Will (2022); Ontario Teachers' Pension Plan (2026); Ontario Ministry of Education (2022); Assemblée nationale (2020); New Zealand Legislation (2020); Teaching Council of Aotearoa New Zealand (2026); New Zealand Ministry of Education (2026); Department of Education (2019); Department of Education and Youth (2025).</w:t>
      </w:r>
    </w:p>
    <w:p>
      <w:pPr>
        <w:spacing w:after="160" w:line="264" w:lineRule="auto"/>
        <w:jc w:val="both"/>
      </w:pPr>
      <w:r>
        <w:t xml:space="preserve">The family's benchmark case is the return-to-work window that North Carolina (United States) operated between 1999 and 2009, the only pension-rule re-entry episode anywhere to have received a large-scale peer-reviewed evaluation (Box 1). Suspending the rule under which a full-time return cost a retiree the pension, without any bonus payment, drew roughly 3 500 retirees back into full-time posts over the decade, 2.1% of the sampled workforce, and returns ended when the window expired (Jarrold-Grapes and Mahler, 2024). The episode supports two claims found nowhere else at this scale. Removing the concurrency penalty can re-activate retirees in numbers that campaigns do not approach, and the returners flowed disproportionately to schools serving disadvantaged students without any mandate directing them there. What the evaluation cannot support is equally well defined, since the data contain no vacancy or achievement counterfactual, and some hires may have displaced other candidates.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1. The return-to-work window in North Carolina (United States), 1999-2009</w:t>
            </w:r>
          </w:p>
          <w:p>
            <w:pPr>
              <w:spacing w:after="120" w:line="252" w:lineRule="auto"/>
              <w:jc w:val="both"/>
            </w:pPr>
            <w:r>
              <w:rPr>
                <w:sz w:val="22"/>
                <w:szCs w:val="22"/>
              </w:rPr>
              <w:t xml:space="preserve">The Teachers' and State Employees' Retirement System allowed retirement at any age after 30 years of service, but a retiree returning to full-time teaching forfeited pension and retiree health benefits, and part-time work was permitted only under an earnings cap of half the previous full-time salary. In 1999 the General Assembly suspended that rule, initially for low-performing schools only and from June 2000 for all schools. Under the window, a retiree could teach full-time on a full salary while drawing a full pension, for a combined income of up to about 50% more than that of a regular full-time teacher. The window was repeatedly extended and expired in autumn 2009, when the earlier earnings cap returned.</w:t>
            </w:r>
          </w:p>
          <w:p>
            <w:pPr>
              <w:spacing w:after="120" w:line="252" w:lineRule="auto"/>
              <w:jc w:val="both"/>
            </w:pPr>
            <w:r>
              <w:rPr>
                <w:sz w:val="22"/>
                <w:szCs w:val="22"/>
              </w:rPr>
              <w:t xml:space="preserve">The evaluation, on administrative records covering about 169 000 teachers in 2 900 schools, counted roughly 3 500 returners over the decade. More than half of schools hired at least one, 54% of returners went back to their pre-retirement school, and returners were disproportionately Black, more likely to teach mathematics, and more likely to work in schools with higher shares of economically disadvantaged students. By 2009, just over 35% of teachers who had been retirement-eligible in the previous year were returning to full-time work; after the window closed, returns fell to zero. The authors note that the marginal cost of a returner is the salary difference relative to a novice, since the annuity is paid regardless. The data permit no conclusions about effects on vacancies or student achievement, and cannot rule out that some hires displaced other candidates.</w:t>
            </w:r>
          </w:p>
          <w:p>
            <w:pPr>
              <w:spacing w:after="40"/>
            </w:pPr>
            <w:r>
              <w:rPr>
                <w:sz w:val="18"/>
                <w:szCs w:val="18"/>
              </w:rPr>
              <w:t xml:space="preserve">Source: Jarrold-Grapes and Mahler (2024).</w:t>
            </w:r>
          </w:p>
        </w:tc>
      </w:tr>
    </w:tbl>
    <w:p>
      <w:pPr>
        <w:spacing w:after="160"/>
      </w:pPr>
    </w:p>
    <w:p>
      <w:pPr>
        <w:spacing w:after="160" w:line="264" w:lineRule="auto"/>
        <w:jc w:val="both"/>
      </w:pPr>
      <w:r>
        <w:t xml:space="preserve">In Georgia (United States), a notable example of statutory self-evaluation, House Bill 385 allowed selected retirees to teach full-time on a full pension and wrote a performance audit into the statute itself (Box 2). The design stacked the exclusion dial, combining a long service threshold, a waiting period and a subject-and-region screen, the most restrictive combination among the eight southern states with comparable laws. The mandated audit counted 635 full-time returners over three fiscal years, under 1% of the workforce in any given year against roughly 6 000 vacant or not-fully-certified posts; it reported that nearly half of surveyed school systems said the statutory conditions had blocked a hire they would otherwise have made, and it judged the effect on the shortage and on the pension fund alike to be minimal (Georgia Department of Audits and Accounts, 2025). On the authority of an official audit rather than of advocacy, the case supports the claim that stacked eligibility screens depress take-up. It cannot show that a looser design would have filled the vacancies.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2. Statutory self-evaluation in Georgia (United States): House Bill 385 and its mandated audit</w:t>
            </w:r>
          </w:p>
          <w:p>
            <w:pPr>
              <w:spacing w:after="120" w:line="252" w:lineRule="auto"/>
              <w:jc w:val="both"/>
            </w:pPr>
            <w:r>
              <w:rPr>
                <w:sz w:val="22"/>
                <w:szCs w:val="22"/>
              </w:rPr>
              <w:t xml:space="preserve">House Bill 385, in force from July 2022 with an automatic expiry written into the law, allowed retired teachers to work full-time on a full pension provided they had at least 30 years of creditable service, had been retired for at least one year and taught primarily in one of the three highest-need content areas of their region, determined annually from five-year vacancy surveys; employers pay both the employer and the employee pension contributions. The statute required a performance audit before the legislature decided on renewal.</w:t>
            </w:r>
          </w:p>
          <w:p>
            <w:pPr>
              <w:spacing w:after="120" w:line="252" w:lineRule="auto"/>
              <w:jc w:val="both"/>
            </w:pPr>
            <w:r>
              <w:rPr>
                <w:sz w:val="22"/>
                <w:szCs w:val="22"/>
              </w:rPr>
              <w:t xml:space="preserve">The audit found that 635 retired teachers had worked full-time under the law for at least one school year between fiscal years 2023 and 2025, in 55% of eligible school systems, with roughly 350 employed in any given year, under 1% of a workforce of about 125 000 against roughly 6 000 vacant or not-fully-certified positions. Some 45% of surveyed systems reported that the statutory conditions had blocked a hire they would otherwise have made. The audit judged the effect on both the shortage and the pension system minimal. Senate Bill 150, signed in May 2026 with the audit on the table, extended the programme to 2030, retained the 30-year service requirement and allowed school systems to determine their own high-need areas.</w:t>
            </w:r>
          </w:p>
          <w:p>
            <w:pPr>
              <w:spacing w:after="40"/>
            </w:pPr>
            <w:r>
              <w:rPr>
                <w:sz w:val="18"/>
                <w:szCs w:val="18"/>
              </w:rPr>
              <w:t xml:space="preserve">Source: Georgia Department of Audits and Accounts (2025); Teachers Retirement System of Georgia (2026).</w:t>
            </w:r>
          </w:p>
        </w:tc>
      </w:tr>
    </w:tbl>
    <w:p>
      <w:pPr>
        <w:spacing w:after="160"/>
      </w:pPr>
    </w:p>
    <w:p>
      <w:pPr>
        <w:spacing w:after="160" w:line="264" w:lineRule="auto"/>
        <w:jc w:val="both"/>
      </w:pPr>
      <w:r>
        <w:t xml:space="preserve">New Mexico marks the permissive end of the same design spectrum. Legislation passed near-unanimously lets educational retirees return to any local administrative unit for an extended period with no limits on salary or hours and no pension suspension, subject to a layout of about three months, board approval and a prohibition on pre-arranged returns (New Mexico Legislature, 2022; New Mexico Educational Retirement Board, 2025). The pension board's tiered reporting counted 2 792 working retirees across all four statutory routes in the first fiscal year, of whom 154 used the new no-limits route, against roughly 48 000 potentially eligible retirees (New Mexico Educational Retirement Board, 2023).</w:t>
      </w:r>
      <w:r>
        <w:rPr>
          <w:vertAlign w:val="superscript"/>
        </w:rPr>
        <w:t xml:space="preserve">5</w:t>
      </w:r>
      <w:r>
        <w:t xml:space="preserve"> No outcome evaluation exists. The first-year figure carries a caution for the family as a whole, since even a maximally permissive rule converted only a small fraction of the retiree stock.</w:t>
      </w:r>
    </w:p>
    <w:p>
      <w:pPr>
        <w:spacing w:after="160" w:line="264" w:lineRule="auto"/>
        <w:jc w:val="both"/>
      </w:pPr>
      <w:r>
        <w:t xml:space="preserve">Several other American systems have moved the same dials without publishing what followed. Recent Michigan legislation replaced a patchwork of critical-shortage exceptions with two conditions, a bona fide termination and a waiting period, after which a retiree may work in any public-school position with no earnings limit; a later amendment cut the wait from nine months to six (Michigan Office of Retirement Services, 2022; Michigan Office of Retirement Services, 2023). A Virginia executive directive repackaged a statutory mechanism dating from 2001, under which retirees may draw salary and pension concurrently in designated critical-shortage positions, and added the licensure fast-tracking treated in the next subsection (Will, 2022; Commonwealth of Virginia, 2023; Virginia Retirement System, n.d.). Louisiana has liberalised progressively, first extending its no-suspension critical-shortage route to all retirees and then consolidating the rules from 2026. The consolidated law adds a route with no pension impact for retirees aged 65 and over and a market test under which a critical-shortage hire requires the employer to have received fewer than three certified applications for the advertised post; it also schedules an actuarial review before the 2034 legislative session (Teachers' Retirement System of Louisiana, 2024; Teachers' Retirement System of Louisiana, 2026). None of the three systems has published take-up counts, so their record consists of rule design alone.</w:t>
      </w:r>
    </w:p>
    <w:p>
      <w:pPr>
        <w:spacing w:after="160" w:line="264" w:lineRule="auto"/>
        <w:jc w:val="both"/>
      </w:pPr>
      <w:r>
        <w:t xml:space="preserve">A recurring design choice across these American cases is the sunset clause. North Carolina's window was allowed to expire, Georgia's statute carried an automatic expiry, Michigan's shortened waiting period reverts to the longer one unless renewed, and Virginia's amended provisions expire in the same period. Tying a loosened rule to the shortage episode that justified it keeps the pension concession reviewable, and in Georgia the expiry date is what forced the take-up evidence into existence, since the audit was due before the renewal decision. The pattern suggests that legislatures treat concurrency concessions as exceptional, which is consistent with their fiscal logic, in that every loosening also pays pensioners who might have returned anyway.</w:t>
      </w:r>
    </w:p>
    <w:p>
      <w:pPr>
        <w:spacing w:after="160" w:line="264" w:lineRule="auto"/>
        <w:jc w:val="both"/>
      </w:pPr>
      <w:r>
        <w:t xml:space="preserve">The Canadian province of Ontario shows that the intensity dial turns in both directions. Under the Teachers' Pension Act, a retired member may work 50 days per school year without affecting the pension; the ceiling was raised from 20 to 95 days during an earlier severe shortage and cut back after a newspaper investigation found the ten largest school boards spending over CAD 100 million a year on retired teachers while newly certified graduates outnumbered openings by roughly two to one (Ontario Teachers' Pension Plan, 2026; Hammer and Alphonso, 2010). The higher ceiling returned temporarily during the pandemic years by agreement between the co-sponsors (Ontario Ministry of Education, 2022; OTF, 2023). Because changes require the agreement of those co-sponsors, the provincial government and the Ontario Teachers' Federation, organised labour holds a veto, and the federation refused a further extension once the temporary ceiling had lapsed, on the stated ground that the pension plan is not a tool for addressing labour-market challenges (OCEOTA, 2024; Alphonso, 2024). Ontario is the only documented case in which a re-employment ceiling was lowered for equity reasons, to protect the hiring prospects of new graduates. The pandemic episode also gauges appetite, since only around sixty of the plan's roughly 142 000 retired members had expressed interest in returning by the second pandemic winter (Global News, 2022).</w:t>
      </w:r>
    </w:p>
    <w:p>
      <w:pPr>
        <w:spacing w:after="160" w:line="264" w:lineRule="auto"/>
        <w:jc w:val="both"/>
      </w:pPr>
      <w:r>
        <w:t xml:space="preserve">France illustrates a price that education authorities do not control. Under the "cumul emploi-retraite" framework, a six-month waiting period applies to resuming work with one's last employer, a rule designed to stop employers re-hiring their own just-retired staff at lower pay; because the education ministry is a single employer, the rule delays every retired public-school teacher who wishes to return, including as a substitute (Assemblée nationale, 2020). Teachers who left before 2015 with early pension rights also face income ceilings that teachers with complete careers do not, a differential the government has defended on contributory grounds while pointing to harmonising legislation (Assemblée nationale, 2026). While a recent pension reform liberalised the framework and lets resumed work accrue new pension rights, no aggregate count of retired teachers returning under it has been published, and a parliamentary question proposing to lift the obstacles for substitute work lapsed unanswered (Assemblée nationale, 2023; Assemblée nationale, 2024). The French case is thus a barrier documented in parliamentary exchange rather than a policy documented in take-up.</w:t>
      </w:r>
    </w:p>
    <w:p>
      <w:pPr>
        <w:spacing w:after="160" w:line="264" w:lineRule="auto"/>
        <w:jc w:val="both"/>
      </w:pPr>
      <w:r>
        <w:t xml:space="preserve">In England, by contrast, the equivalent barrier is dissolving without any reform decision. Abatement, the suspension of pension above an earnings ceiling, attaches only to legacy final-salary benefits, and all service since 2015 accrues in a career-average scheme whose benefits are never abated, so the constraint applies to a shrinking cohort of entitlements (Teachers' Pensions, n.d.). A pension barrier can therefore disappear passively through scheme succession, which places England at the zero-reform end of a spectrum whose opposite end, in Georgia, legislates each screen explicitly.</w:t>
      </w:r>
    </w:p>
    <w:p>
      <w:pPr>
        <w:spacing w:after="160" w:line="264" w:lineRule="auto"/>
        <w:jc w:val="both"/>
      </w:pPr>
      <w:r>
        <w:t xml:space="preserve">The family's record supports a conditional learning rather than a universal one. Where the concurrency penalty was removed cleanly, in North Carolina, retirees returned at a scale that no outreach or subsidy scheme in the record approaches. Where screens were stacked, in Georgia, an official audit found take-up too small to matter, and most systems in between have not counted at all. No system has varied one dial while holding the others constant, so the inference that the pay and exclusion dials govern take-up remains suggestive. What the family establishes beyond that is procedural, since the arms-length examinations it contains are the only ones in the whole re-entry record, and each exists because a rule change left administrative traces that a body was obliged to inspect.</w:t>
      </w:r>
    </w:p>
    <w:p>
      <w:pPr>
        <w:pStyle w:val="Heading2"/>
      </w:pPr>
      <w:r>
        <w:t xml:space="preserve">3.2 Certification and licensing routes back</w:t>
      </w:r>
    </w:p>
    <w:p>
      <w:pPr>
        <w:spacing w:after="160" w:line="264" w:lineRule="auto"/>
        <w:jc w:val="both"/>
      </w:pPr>
      <w:r>
        <w:t xml:space="preserve">A former teacher who has decided to return must still pass the regulator. Lapsed practising certificates, refresher requirements, re-accreditation paperwork and vetting stand between a qualified person and a classroom, and each step carries fees, delays and uncertainty that fall entirely on the returner. Governments in this family remove those steps, seeking the conversion of an already-qualified stock at low fiscal cost, and the routes they enable run from statutory relief-teaching allowances and refresher waivers to licensing relief folded into pension legislation.</w:t>
      </w:r>
    </w:p>
    <w:p>
      <w:pPr>
        <w:spacing w:after="160" w:line="264" w:lineRule="auto"/>
        <w:jc w:val="both"/>
      </w:pPr>
      <w:r>
        <w:t xml:space="preserve">The empirical warrant for the family comes from Michigan, the one system to have measured how far certification decays once teachers leave. Between 44% and 49% of the 61 252 certified Michigan teachers who were not teaching in a public school in the most recent measured year held expired certificates, against 6% of active teachers (Lindsay, Gnedko-Berry and Wan, 2021). An expired certificate can be restored, but roughly half of the visible reserve would face re-certification before any return, which makes relicensing friction a first-order policy margin rather than an administrative detail. The same analysis cautions against treating the certified stock as available supply, since it also contains out-of-state residents and subject mismatches.</w:t>
      </w:r>
    </w:p>
    <w:p>
      <w:pPr>
        <w:spacing w:after="160" w:line="264" w:lineRule="auto"/>
        <w:jc w:val="both"/>
      </w:pPr>
      <w:r>
        <w:t xml:space="preserve">The most complete removal of re-certification friction in the record is New Zealand's, assembled from separate instruments rather than announced as a programme. A standing statutory rule allows a registered teacher whose practising certificate has expired to relief teach for up to twenty half-days per calendar year without a certificate, with extensions available where an employment offer exists (New Zealand Legislation, 2020; New Zealand Ministry of Education, 2026). A returner with a relief-teaching job offer is exempted from the refresher course normally required after five or more years out of teaching, agreeing instead a light-touch "Kia Maia | Future-Ready Teaching Plan" with the principal, and the exemption has effectively been mainstreamed, since the Teaching Council's 2026 registration policy makes the refresher contingent mainly on not having a job offer (Teaching Council of Aotearoa New Zealand, 2026). The government also pays practising-certificate fees and levies until mid-2028 (New Zealand Ministry of Education, 2026). The design principle is consistent across the package, in that friction is removed as a standing rule keyed to a job offer, treating the offer itself as the market test of whether a return is real. While the package is the clearest example of regulatory barrier removal for re-entry in the record, no take-up figures or evaluation have been published for any element of it.</w:t>
      </w:r>
    </w:p>
    <w:p>
      <w:pPr>
        <w:spacing w:after="160" w:line="264" w:lineRule="auto"/>
        <w:jc w:val="both"/>
      </w:pPr>
      <w:r>
        <w:t xml:space="preserve">Licensing relief also travels inside instruments that belong primarily to other families. Virginia's directive ordered the schools superintendent to expedite renewal licences for retired teachers whose licences had lapsed and to classify all vacant teaching posts so that retirees could fill them, a fast, legislature-free lever on the licensing margin whose effects were never counted (Will, 2022; Commonwealth of Virginia, 2023). Louisiana's consolidated return-to-work law provides that, from mid-2026, a critical-shortage hire requires only general teacher certification rather than a subject-specific match (Teachers' Retirement System of Louisiana, 2026). While neither measure has published counts, together they indicate that certification-matching requirements are themselves an adjustable screen, and that legislatures tend to bundle licensing relief inside pension bills rather than treat it as a separate policy.</w:t>
      </w:r>
    </w:p>
    <w:p>
      <w:pPr>
        <w:spacing w:after="160" w:line="264" w:lineRule="auto"/>
        <w:jc w:val="both"/>
      </w:pPr>
      <w:r>
        <w:t xml:space="preserve">Ireland applies the family's logic to teachers who have not fully left. Registered teachers may take unpaid career breaks of up to five years at a time with a right of return, and the scheme ordinarily bars them from publicly funded teaching posts and caps their substitute work (Department of Education, 2019). Since at least 2021/22 the education department has suspended those restrictions annually, most recently for 2025/26, so that career-break teachers may substitute without restriction and are paid as regular substitutes, with substitute days counting toward salary progression under the general rules (Department of Education and Youth, 2025). The population addressed is the least costly reserve to activate, because it never fully left and its registration has not lapsed. At the same time, the instrument illustrates a design weakness the rest of the family avoids, an annually renewed waiver that a prospective returner cannot plan a school year around, and no counts of the substitution flexibility's use have been published.</w:t>
      </w:r>
    </w:p>
    <w:p>
      <w:pPr>
        <w:spacing w:after="160" w:line="264" w:lineRule="auto"/>
        <w:jc w:val="both"/>
      </w:pPr>
      <w:r>
        <w:t xml:space="preserve">This family is therefore documented as design and undocumented as outcomes. In no system in the family has a take-up count or an evaluation been published, a gap that is itself informative given how inexpensive the counting would be, since every waiver granted and every certificate restored passes through a regulator's records. The learning the family supports is accordingly a design principle, that friction removal appears most credible as a standing rule tied to a job offer rather than as an annually renewed concession, and the principle awaits its first published test.</w:t>
      </w:r>
    </w:p>
    <w:p>
      <w:pPr>
        <w:pStyle w:val="Heading2"/>
      </w:pPr>
      <w:r>
        <w:t xml:space="preserve">3.3 Money attached to the return</w:t>
      </w:r>
    </w:p>
    <w:p>
      <w:pPr>
        <w:spacing w:after="160" w:line="264" w:lineRule="auto"/>
        <w:jc w:val="both"/>
      </w:pPr>
      <w:r>
        <w:t xml:space="preserve">A third family attaches cash to the act of returning, through per-head subsidies to employers, monthly supplements, annual allowances and relocation or bonding grants. The temptation to read this family through the causal literature on teacher pay should be resisted. Quasi-experimental studies show that targeted payments retain serving teachers (Section 2), but no such study anywhere directly prices re-entry, and elasticities estimated on people still in post cannot be carried over to people who have already revealed a preference against current conditions (Fleck et al., 2025). What the family offers instead is take-up evidence under real budgets, from three governments that published at least part of what happened.</w:t>
      </w:r>
    </w:p>
    <w:p>
      <w:pPr>
        <w:spacing w:after="160" w:line="264" w:lineRule="auto"/>
        <w:jc w:val="both"/>
      </w:pPr>
      <w:r>
        <w:t xml:space="preserve">A notable example is the case of the Netherlands, the system with the best-measured teacher reserve, where a hidden reserve of roughly 62 000 qualified people stood against a measured shortage of 13 600 full-time-equivalent posts (Somers, Groot and van Merode, 2024b). The dedicated activation instrument, the "Regeling tegemoetkoming herintreders primair onderwijs", paid primary school boards, not teachers, a one-off EUR 2 500 per returner appointed for at least six months after at least twelve months out of teaching, to finance the board's induction and guidance of the returner, with an initial budget sized for five hundred returners (Ministerie van OCW, 2017). Just over a hundred returners were subsidised in the first full year and nearly two hundred cumulatively by the second; the ministry then lowered its own annual ceilings explicitly because the budget was not being exhausted, and the regulation lapsed without a published evaluation (Ministerie van OCW, 2019a; Ministerie van OCW, 2019b; Tweede Kamer, 2019). Under-subscription is thus documented in the sponsor's own regulatory text. The episode cannot show that subsidies fail in general, since the instrument was small and paid to boards rather than to returners, but it does indicate that a well-measured reserve did not respond to a marginal payment.</w:t>
      </w:r>
    </w:p>
    <w:p>
      <w:pPr>
        <w:spacing w:after="160" w:line="264" w:lineRule="auto"/>
        <w:jc w:val="both"/>
      </w:pPr>
      <w:r>
        <w:t xml:space="preserve">Portugal ran the family's clearest natural comparison, although not by design. Decreto-Lei 51/2024, part of the "+Aulas +Sucesso" plan, created two instruments in one law. Under one route, teachers retired for five years or less may return on fixed-term contracts in shortage subjects or understaffed schools, keeping their full pension plus compensation indexed to the first step of the career salary scale, pro-rated by teaching hours; under the other, teachers who meet retirement conditions but stay in the classroom to the end of the school year receive a monthly supplement of EUR 750 (Decreto-Lei n.º 51/2024). Against a government quota of 200 returner contracts for the first school year, 63 retirees were accepted, most of them near the end of their sixties (Diário de Notícias, 2024; Renascença, 2024). Roughly 2 200 teachers extended their careers under the stay-on supplement in its second year, after which the government confined it to shortage areas, conceding that the blanket version was in many cases not justified (RTP, 2026). The two routes differ in design as well as in money, so the comparison is not a controlled one; what it suggests is that, at broadly comparable cost per teacher, preventing a departure is far easier than reversing one. Teacher unions read the returner figures as revealed preference, with one federation describing the idea that the retired would return as an illusion (SÁBADO, 2024).</w:t>
      </w:r>
    </w:p>
    <w:p>
      <w:pPr>
        <w:spacing w:after="160" w:line="264" w:lineRule="auto"/>
        <w:jc w:val="both"/>
      </w:pPr>
      <w:r>
        <w:t xml:space="preserve">In China, money is attached to a defined destination rather than to return as such. The National Silver Age Teachers Action Plan, issued by the education ministry together with nine other agencies, expands an earlier rural lecturing scheme into a target corps of roughly 120 000 silver-age teachers across five strands of the education system, including part-time and volunteer service (MOE et al., 2023; MOE and MOF, 2018). In the school strand, retired principals, teaching-research staff, special-grade and senior teachers, generally aged sixty-five or under, keep their full pension and receive working funds of CNY 20 000 per person per year for service in poverty-lifted, ethnic-minority and border counties, with housing, travel and insurance provided by hosts and the central budget carrying the full cost in western provinces (MOE et al., 2023; State Council, 2023). The predecessor schemes had cumulatively recruited over 20 000 retired schoolteachers by the time the plan was issued (State Council, 2023; MOE, 2025). All published figures are government-reported recruitment counts, no independent evaluation exists, and secondary coverage warns that some localities may use silver-age recruits to delay hiring new full-time teachers (R.I.S.E. Magazine, 2025). As policy design, however, the plan is the family's cleanest example of targeting, since the allowance compensates one identifiable cost of returning, service in remote counties, rather than subsidising returns that might have happened anyway.</w:t>
      </w:r>
    </w:p>
    <w:p>
      <w:pPr>
        <w:spacing w:after="160" w:line="264" w:lineRule="auto"/>
        <w:jc w:val="both"/>
      </w:pPr>
      <w:r>
        <w:t xml:space="preserve">New Zealand has recently opened place-based money to returners. From late 2025, a bonding scheme pays any teacher appointed to a designated vacancy at a priority staffing school rising annual amounts of up to NZD 40 000 before tax over five years, and a relocation grant of up to NZD 10 000 supports New Zealand-trained teachers returning from abroad (New Zealand Government, 2025). Both instruments price location rather than return as such, and both are too recent for any take-up to have been published.</w:t>
      </w:r>
    </w:p>
    <w:p>
      <w:pPr>
        <w:spacing w:after="160" w:line="264" w:lineRule="auto"/>
        <w:jc w:val="both"/>
      </w:pPr>
      <w:r>
        <w:t xml:space="preserve">Across the family, the take-up records point in one direction, although none of them is causal. Modest money went largely unclaimed where working conditions had caused the exits, in the Netherlands and in Portugal's returner route, while money aimed at a specific, identifiable friction, remoteness in the Chinese case, recruited at scale on the government's own count. The evidence therefore suggests that a payment attached to the act of returning does not re-price a job the leaver has already judged, and that the margin money moves most readily is the one it moved in Portugal, the decision of a teacher still in post to stay another year.</w:t>
      </w:r>
    </w:p>
    <w:p>
      <w:pPr>
        <w:pStyle w:val="Heading2"/>
      </w:pPr>
      <w:r>
        <w:t xml:space="preserve">3.4 Active recruitment and accompaniment</w:t>
      </w:r>
    </w:p>
    <w:p>
      <w:pPr>
        <w:spacing w:after="160" w:line="264" w:lineRule="auto"/>
        <w:jc w:val="both"/>
      </w:pPr>
      <w:r>
        <w:t xml:space="preserve">The fourth family treats the reserve as a recruitment problem. Education authorities locate their own former teachers, through departmental staffing or pension records or through open marketing, contact them directly and accompany the return with a named adviser, bundled re-licensure, refresher training and placement support. The approach operationalises a recommendation the OECD made in 2005, to maintain contact with former teachers, keep them informed of educational developments and job opportunities and provide targeted retraining schemes (OECD, 2005). It is also the only family that has ever published a complete recruitment funnel, from contacts through expressions of interest to placements, which makes it the family in which conversion can actually be observed.</w:t>
      </w:r>
    </w:p>
    <w:p>
      <w:pPr>
        <w:spacing w:after="160" w:line="264" w:lineRule="auto"/>
        <w:jc w:val="both"/>
      </w:pPr>
      <w:r>
        <w:t xml:space="preserve">England has run the family's instruments for longest and evaluated them most rigorously. The Return to Teaching pilot of 2015-16 offered returners to priority secondary subjects non-financial support, subject-knowledge refreshers, classroom experience and mentoring, through grant-funded school partnerships behind a national campaign. Registrations ran at nearly double the target, 354 returners were supported, and 27 of them were in a permanent post in a target subject in a state-funded secondary school by the workforce census of the following November (Table 4; Buchanan et al., 2018). The independent evaluation costed the outcome at GBP 17 800 per supported returner employed, or roughly twice that per additional returner once plausible deadweight is assumed, judged the programme unlikely to represent good value for money, and found that returners retain worse than new entrants, with odds of leaving after the first year back around 60% above average (Buchanan et al., 2018). The successor programme corrected the mechanisms the evaluation identified, tying funded places to actual vacancies and synchronising support with the hiring cycle (NCTL, 2017).</w:t>
      </w:r>
    </w:p>
    <w:p>
      <w:pPr>
        <w:spacing w:after="160" w:line="264" w:lineRule="auto"/>
        <w:jc w:val="both"/>
      </w:pPr>
      <w:r>
        <w:t xml:space="preserve">The standing English instrument, a free one-to-one adviser service for prospective returners, has never been independently evaluated. While the service was restricted to mathematics, physics and modern foreign languages, the department recorded around 128 returns over two years, implying a cost near GBP 5 400 per recorded returner with additionality unknown (UK Parliament, 2022; Walker, 2022).</w:t>
      </w:r>
      <w:r>
        <w:rPr>
          <w:vertAlign w:val="superscript"/>
        </w:rPr>
        <w:t xml:space="preserve">6</w:t>
      </w:r>
      <w:r>
        <w:t xml:space="preserve"> The service has since been extended to all subjects and phases (Department for Education, 2023). Two features of the English record frame the whole family. Interest proved inexpensive to generate while conversion was the constraint, since expressions of interest far outstripped what the pilot could convert into posts; and by mid-2026 the government was reporting more returners than at any point in ten years without any returner-specific scheme in operation, an indication that the background return flow of roughly 17 000 teachers a year dwarfs anything the programmes themselves recorded (UK Parliament, 2026; Department for Education, 2023).</w:t>
      </w:r>
    </w:p>
    <w:p>
      <w:pPr>
        <w:spacing w:after="160" w:line="264" w:lineRule="auto"/>
        <w:jc w:val="both"/>
      </w:pPr>
      <w:r>
        <w:t xml:space="preserve">In New South Wales (Australia), the education department turned its own staffing records into the family's only complete published funnel. "Teachers Re-Engage", launched in late 2023, contacted teachers who had resigned from the public system in the previous five years and packaged the re-employment friction into one contact, covering accreditation reactivation, approval to teach and the working-with-children check, with no programme-specific bonus (NSW Government, 2024). Within six months, more than 1 500 former teachers had been contacted, more than 260 had expressed interest and 145 had been placed in casual or temporary roles, about 60% of them returning from retirement (Table 4; NSW Government, 2024; NSW Department of Education, 2024). The funnel suggests, without proving, that employer-records outreach with one-stop re-licensure converts contacts at a far higher rate than England's marketing-led pilot converted registrants, although the outcomes differ in kind, casual placements against permanent posts. No cost figures or evaluation were published, the programme is absent from the following annual report, and no figures have appeared since the launch-year media release, although the returner webpage remains live (NSW Department of Education, 2025; NSW Department of Education, 2026).</w:t>
      </w:r>
    </w:p>
    <w:p>
      <w:pPr>
        <w:spacing w:after="160" w:line="264" w:lineRule="auto"/>
        <w:jc w:val="both"/>
      </w:pPr>
      <w:r>
        <w:t xml:space="preserve">Austria ran the same outreach without the funnel. Facing one of the highest vacancy rates in the OECD's most recent data collection, with unfilled positions equal to 107% of the previous year's teaching graduates, the nine regional education directorates acted as the retirement wave crested, under the federal "Klasse Job" umbrella; Vienna wrote directly to already-retired teachers, Salzburg contacted all recent retirees with transport tickets and premiums, Styria encouraged principals to approach teachers of retirement age, and Vorarlberg created a standing service point, "Arbeitsplatz Schule", that sends re-entry information out with the retirement paperwork (OECD, 2025a; APA/ORF, 2023). The Court of Audit subsequently counted 1 062 retired teachers resuming service nationwide across the six school years to 2023/24, against a workforce of roughly 123 000, with the peak in the pandemic-adjacent years and decline thereafter (Rechnungshof, 2025). The outreach cannot be credited with the returns, since the audited series begins four years before the letters. What qualitative evidence exists points away from marketing altogether, as episodic interviews with returning and non-returning retirees find the decision biographically rooted in individual, family, school and system factors, with continuing professional contact with the former school the main facilitator (Resch, 2025a; Resch, 2025b). The price the returner faces is meanwhile set by the crediting rule recorded in Table 3, under which formerly civil-servant teachers return at the starting salary.</w:t>
      </w:r>
    </w:p>
    <w:p>
      <w:pPr>
        <w:spacing w:after="160" w:line="264" w:lineRule="auto"/>
        <w:jc w:val="both"/>
      </w:pPr>
      <w:r>
        <w:t xml:space="preserve">Germany shows the pattern at federation scale. Thirteen of the sixteen Länder actively recruit pensioned teachers, typically pairing direct letters with lifted earnings limits, salary supplements where pension caps bind, and flexible hours; Hesse alone wrote to about 7 000 retired teachers in a single school year (Deutsches Schulportal, 2023; Hessisches Ministerium für Kultus, Bildung und Chancen, 2024). The visible result is just over 5 000 pensioners teaching nationwide, under 1% of the workforce, with counts collected by journalistic survey under varying definitions.</w:t>
      </w:r>
      <w:r>
        <w:rPr>
          <w:vertAlign w:val="superscript"/>
        </w:rPr>
        <w:t xml:space="preserve">7</w:t>
      </w:r>
      <w:r>
        <w:t xml:space="preserve"> No Land publishes a letters-to-returns conversion rate, and Hesse attributes its roughly 550 filled posts to a combined short-term package of retiree hiring, service extensions and part-time top-ups rather than to retirees alone (Hessisches Ministerium für Kultus, Bildung und Chancen, 2024). Germany also lacks any register of qualified people outside its schools, so the recruitment debate defaults to the one pool that is countable, a retiree stock more than half the size of the active workforce (Deutsches Schulportal, 2023).</w:t>
      </w:r>
      <w:r>
        <w:rPr>
          <w:vertAlign w:val="superscript"/>
        </w:rPr>
        <w:t xml:space="preserve">8</w:t>
      </w:r>
    </w:p>
    <w:p>
      <w:pPr>
        <w:spacing w:after="160" w:line="264" w:lineRule="auto"/>
        <w:jc w:val="both"/>
      </w:pPr>
      <w:r>
        <w:t xml:space="preserve">The Netherlands embedded accompaniment in regional infrastructure rather than in a single scheme. From 2019 the regional staffing programmes required each funded partnership of school boards and teacher-training institutions to run an information desk for prospective entrants and returners, and listed activation of the hidden reserve with tailored guidance among fundable goals (De Jong et al., 2022). The programme evaluation, process-based and self-reported, found tailored support to returners among the least-realised activities, and several regions reported receiving more applications from side entrants and returners than schools could place (De Jong et al., 2022). The second finding matters beyond the Netherlands, since it identifies school absorption capacity, rather than applicant interest, as a binding constraint that outreach alone cannot relieve.</w:t>
      </w:r>
    </w:p>
    <w:p>
      <w:pPr>
        <w:spacing w:after="160" w:line="264" w:lineRule="auto"/>
        <w:jc w:val="both"/>
      </w:pPr>
      <w:r>
        <w:t xml:space="preserve">Setting this family's funnels beside the take-up counts of the other families shows how thin the published evidence layer is (Table 4). Every count in the table measures a different outcome, from a permanent shortage-subject post to a casual placement to a subsidy grant, against a different denominator, so the rows do not rank the instruments. Read each against its own denominator, however, and the counts cluster well below 1% of the relevant workforce or eligible stock, with the North Carolina window the only instrument to have moved a full percentage point of its denominator. The clustering is consistent with the suggestive evidence that changes to the legal rules of the game weigh more than campaigns and incentives, although the outcome definitions differ enough that the comparison offers orientation rather than measurement.</w:t>
      </w:r>
    </w:p>
    <w:p>
      <w:pPr>
        <w:keepNext/>
        <w:spacing w:after="120" w:before="200"/>
      </w:pPr>
      <w:r>
        <w:rPr>
          <w:b/>
          <w:bCs/>
          <w:color w:val="4E81BD"/>
          <w:sz w:val="23"/>
          <w:szCs w:val="23"/>
        </w:rPr>
        <w:t xml:space="preserve">Table 4. Published take-up of re-entry instruments is counted against a different outcome and denominator in every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20"/>
        <w:gridCol w:w="1724"/>
        <w:gridCol w:w="1626"/>
        <w:gridCol w:w="1665"/>
        <w:gridCol w:w="1352"/>
        <w:gridCol w:w="1285"/>
      </w:tblGrid>
      <w:tr>
        <w:trPr>
          <w:tblHeader/>
        </w:trPr>
        <w:tc>
          <w:tcPr>
            <w:tcW w:type="dxa" w:w="142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Instrument (system, period)</w:t>
            </w:r>
          </w:p>
        </w:tc>
        <w:tc>
          <w:tcPr>
            <w:tcW w:type="dxa" w:w="172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Who was addressed</w:t>
            </w:r>
          </w:p>
        </w:tc>
        <w:tc>
          <w:tcPr>
            <w:tcW w:type="dxa" w:w="162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Outcome as the publisher defined it</w:t>
            </w:r>
          </w:p>
        </w:tc>
        <w:tc>
          <w:tcPr>
            <w:tcW w:type="dxa" w:w="166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Verified count</w:t>
            </w:r>
          </w:p>
        </w:tc>
        <w:tc>
          <w:tcPr>
            <w:tcW w:type="dxa" w:w="135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Intensity of the post</w:t>
            </w:r>
          </w:p>
        </w:tc>
        <w:tc>
          <w:tcPr>
            <w:tcW w:type="dxa" w:w="128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Denominator the count is measured against</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 to Teaching pilot (England, 2015-16)</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Qualified teachers not in post, open national registration</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In a permanent post in a target subject in a state-funded secondary school by the November 2016 workforce census</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5 729 registered; 354 supported; 27 in target posts (62 in any state-funded post)</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Permanent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Self-selected registrants; no population denominator</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Return-to-teaching adviser service (England, 2019/20-2020/21, subject-restricted phase)</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Former teachers of mathematics, physics and modern foreign languages who requested an adviser</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Returns recorded by the department; other subjects and unreported returns not captured</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~128 recorded returns over two years; over 600 advised</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Not recorded</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None published</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Re-Engage (New South Wales, 2023-24)</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who resigned from the public system in the previous five years, contacted from employer records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Placed in casual or temporary work</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&gt;1 500 contacted; &gt;260 expressed interest; 145 placed (~60% from retirement)</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Casual and temporary work, spread across &gt;600 schools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Contacted recent leavers</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Herintreders subsidy (Netherlands, 2017-20)</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Primary school boards appointing a qualified teacher out of teaching for at least twelve months (or never started)</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EUR 2 500 grants paid to boards for induction and guidance of an appointee of six months or more</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Just over 100 grants in 2018; nearly 200 cumulative by late 2019; final uptake unpublished</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Appointments of at least six months, any fraction of a post</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Budget for 500; estimated primary-sector silent reserve of at least 31 000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Länder retiree recruitment (Germany, 2022/23)</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Recently retired teachers, contacted directly in most Länder</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Pensioners teaching, as surveyed</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Just over 5 000 nationwide; ~550 posts in Hesse from a combined short-term package after ~7 000 letters</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Flexible hours, lifted earnings limits and salary supplements of around 10% offered; contract forms not standardised in the survey</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~800 000; retiree stock 457 000 (2021)</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 re-employment (Austria, 2018/19-2023/24)</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Retired teachers, contacted by regional education directorates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Retired teachers who resumed teaching, audited by the Court of Audit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1 062 across six school years, peaking 2021/22-2022/23 and falling thereafter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New fixed-term contracts, often at reduced hours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~123 000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Decreto-Lei 51/2024, Article 5 (Portugal, 2024/25)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retired five years or less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Accepted for a fixed-term returner contract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79-80 applied; 63 accepted; 55 placed in the first wave (average age ~68)</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Fixed-term; pay pro-rated by teaching hours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Government quota of 200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HB 385 (Georgia, United States, FY2023-FY2025)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Retirees with 30 years' creditable service, retired at least one year, in regionally defined high-need subjects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rehires employed for at least one school year, counted by mandated audit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635 cumulative; ~350 in any given year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~125 000; ~6 000 vacant or not-fully-certified posts</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window (North Carolina, United States, 1999-2009)</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All state-retired teachers (restrictions in the first year only)</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Retirees in full-time posts drawing salary and pension concurrently</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~3 500 over the decade; just over 35% of the previously retirement-eligible returning by 2009</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~169 000 teachers in the study sample</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routes (New Mexico, United States, FY2023)</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Educational retirees, four statutory routes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Working retirees registered with the pension board, by route</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2 792 in total; newest no-limits route 154 in its first year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From a quarter-post or less to unlimited, by route</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~48 000 potentially eligible retirees</w:t>
            </w:r>
          </w:p>
        </w:tc>
      </w:tr>
      <w:tr>
        <w:trPr>
          <w:tblHeader w:val="false"/>
        </w:trPr>
        <w:tc>
          <w:tcPr>
            <w:tcW w:type="dxa" w:w="142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Silver Age plans (China, 2018-)</w:t>
            </w:r>
          </w:p>
        </w:tc>
        <w:tc>
          <w:tcPr>
            <w:tcW w:type="dxa" w:w="172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Retired principals, teaching-research staff, special-grade and senior teachers, generally aged 65 or under</w:t>
            </w:r>
          </w:p>
        </w:tc>
        <w:tc>
          <w:tcPr>
            <w:tcW w:type="dxa" w:w="162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Cumulative recruits, self-reported; no independent audit</w:t>
            </w:r>
          </w:p>
        </w:tc>
        <w:tc>
          <w:tcPr>
            <w:tcW w:type="dxa" w:w="16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&gt;20 000 by mid-2023 under the predecessor schemes</w:t>
            </w:r>
          </w:p>
        </w:tc>
        <w:tc>
          <w:tcPr>
            <w:tcW w:type="dxa" w:w="135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Minimum one school year; teaching plus demonstration and mentoring roles</w:t>
            </w:r>
          </w:p>
        </w:tc>
        <w:tc>
          <w:tcPr>
            <w:tcW w:type="dxa" w:w="128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None published</w:t>
            </w:r>
          </w:p>
        </w:tc>
      </w:tr>
    </w:tbl>
    <w:p>
      <w:pPr>
        <w:spacing w:after="120"/>
      </w:pPr>
    </w:p>
    <w:p>
      <w:pPr>
        <w:spacing w:after="60"/>
        <w:jc w:val="left"/>
      </w:pPr>
      <w:r>
        <w:rPr>
          <w:sz w:val="18"/>
          <w:szCs w:val="18"/>
        </w:rPr>
        <w:t xml:space="preserve">Note: The outcome counted differs in every row, from a permanent shortage-subject post to a casual placement to a subsidy grant, so the rows cannot be ranked against one another and no such reading is intended. Funnel stages are as each authority reported them and are not comparable across programmes.</w:t>
      </w:r>
    </w:p>
    <w:p>
      <w:pPr>
        <w:spacing w:after="60"/>
        <w:jc w:val="left"/>
      </w:pPr>
      <w:r>
        <w:rPr>
          <w:sz w:val="18"/>
          <w:szCs w:val="18"/>
        </w:rPr>
        <w:t xml:space="preserve">Source: Buchanan et al. (2018); UK Parliament (2022); Walker (2022); NSW Government (2024); Ministerie van OCW (2017; 2019a; 2019b); Tweede Kamer (2019); Deutsches Schulportal (2023); Hessisches Ministerium für Kultus, Bildung und Chancen (2024); Rechnungshof (2025); Decreto-Lei n.º 51/2024; Diário de Notícias (2024); Renascença (2024); Georgia Department of Audits and Accounts (2025); Jarrold-Grapes and Mahler (2024); New Mexico Educational Retirement Board (2023); MOE and MOF (2018); MOE et al. (2023); State Council (2023).</w:t>
      </w:r>
    </w:p>
    <w:p>
      <w:pPr>
        <w:spacing w:after="160" w:line="264" w:lineRule="auto"/>
        <w:jc w:val="both"/>
      </w:pPr>
      <w:r>
        <w:t xml:space="preserve">The learning this family supports has two parts. Interest is inexpensive to generate and conversion is the constraint, a result visible in every funnel stage that has been published. No scheme anywhere has measured additionality, so every cost-per-returner figure in the family divides spending by returns that may have happened anyway; and where a funnel was published, publication stopped within a year, in New South Wales after a single media cycle, which suggests that reporting practice follows the announcement rather than the instrument.</w:t>
      </w:r>
    </w:p>
    <w:p>
      <w:pPr>
        <w:pStyle w:val="Heading2"/>
      </w:pPr>
      <w:r>
        <w:t xml:space="preserve">3.5 Return as a defined role</w:t>
      </w:r>
    </w:p>
    <w:p>
      <w:pPr>
        <w:spacing w:after="160" w:line="264" w:lineRule="auto"/>
        <w:jc w:val="both"/>
      </w:pPr>
      <w:r>
        <w:t xml:space="preserve">The fifth family stops trying to refill the post the leaver gave up. Instead, the system defines a different job, a tutor working to a protocol and a dose, a mentor of novice teachers, a member of a standing reserve, a re-employed retiree on adjusted terms, and recruits former teachers into that role. The family rests on the destination evidence of Section 2, which describes leavers as mostly employed, mostly close to education and often still using their teaching skills, and on the working-conditions motives that make the original post unattractive at any price; a defined role at reduced intensity answers the workload motive in a way a full-time classroom return cannot. It is also the only family with randomised evidence, and the pattern of that evidence tracks role specification closely.</w:t>
      </w:r>
    </w:p>
    <w:p>
      <w:pPr>
        <w:spacing w:after="160" w:line="264" w:lineRule="auto"/>
        <w:jc w:val="both"/>
      </w:pPr>
      <w:r>
        <w:t xml:space="preserve">The strongest result concerns structured tutoring. Small-group tutoring is among the best-evidenced interventions in education, with a pooled effect of 0.288 standard deviations across randomised trials and the largest effects for teacher and paraprofessional tutors, but the original efficacy trials used graduate students as tutors, leaving open whether a realistic workforce could deliver the effect (Nickow, Oreopoulos and Quan, 2024; Fuchs et al., 2005). The "Number Rockets" replication in the United States made the workforce itself the question. Eighty-six tutors recruited from local pools of retired and substitute teachers delivered a scripted first-grade mathematics protocol, in small groups several times a week across a semester, to 994 at-risk students in four urban districts, and reproduced an effect of 0.34 standard deviations first obtained with graduate students (Gersten et al., 2015; Rolfhus et al., 2012). The trial supports the hedged claim that a tutor workforce drawn from retired and substitute teachers can deliver a specified role at scale. It does not isolate retirees as a tutor class, since the pool mixed them with substitutes and no split was published, and the dose conditions attached to the wider tutoring literature travel with the result.</w:t>
      </w:r>
    </w:p>
    <w:p>
      <w:pPr>
        <w:spacing w:after="160" w:line="264" w:lineRule="auto"/>
        <w:jc w:val="both"/>
      </w:pPr>
      <w:r>
        <w:t xml:space="preserve">The mentoring record consists of one rigorous trial and a qualified null. In Aurora (Colorado, United States), the "Retired Mentors for New Teachers" programme paid recently retired master educators with long careers in the district's high-need schools USD 41 per hour to mentor probationary teachers in disadvantaged elementary schools for two years, through weekly one-to-one sessions layered on top of the district's ordinary induction (DeCesare, McClelland and Randel, 2017). The randomised evaluation of 77 teachers within a single district met the What Works Clearinghouse's standards without reservations, and the Clearinghouse characterised every reviewed domain, reading, mathematics and retention, as indeterminate, with no statistically significant positive findings; the programme cost about USD 171 per student per year (What Works Clearinghouse, 2019; DeCesare, McClelland and Randel, 2017). The verdict is a statement about evidential power rather than a negative result, from one small trial in one district that specified no dose. Mentoring roles for retirees are therefore best justified on instructional support and on the engagement of the retirees themselves, while any effect on whether mentees stay remains unestablished, consistent with the null result of the largest induction trial (Glazerman et al., 2010).</w:t>
      </w:r>
    </w:p>
    <w:p>
      <w:pPr>
        <w:spacing w:after="160" w:line="264" w:lineRule="auto"/>
        <w:jc w:val="both"/>
      </w:pPr>
      <w:r>
        <w:t xml:space="preserve">A parallel record concerns older volunteers more broadly. The "Experience Corps" programme places trained volunteers aged fifty and over, of whom retired educators are an undocumented subset, as structured reading tutors for early-grade students reading behind level, typically in two half-hour sessions a week after substantial initial training (Morrow-Howell et al., 2009; AARP, 2025). A randomised evaluation of nearly nine hundred students found gains of 0.13 standard deviations in passage comprehension and 0.16 in teacher-rated reading skills, larger at higher session counts, and randomised studies on the volunteer side document increased physical activity and gains in cortical and hippocampal volumes against age-typical decline (Morrow-Howell et al., 2009; What Works Clearinghouse, 2010; Varma et al., 2016; Carlson et al., 2015; Fried et al., 2004). The programme shows nothing specific about former teachers. What it adds to the family is a dual-benefit rationale, in which a designed role produces measured value on both sides of the exchange, and with it the possibility of engaging a second budget, since the volunteer-side findings belong to healthy-ageing policy rather than to education.</w:t>
      </w:r>
    </w:p>
    <w:p>
      <w:pPr>
        <w:spacing w:after="160" w:line="264" w:lineRule="auto"/>
        <w:jc w:val="both"/>
      </w:pPr>
      <w:r>
        <w:t xml:space="preserve">Japan is the system in which the defined role is not a programme but the labour market's standing answer. Boards of education conventionally re-employ teachers after mandatory retirement until pension age, and retirees dominate the substitute and adjunct pool; in the one prefecture studied in depth, over half of part-time adjunct hires were in their sixties and retirees made up roughly 60% of adjuncts (Sakuma and Shimazaki, 2024). Institutionalised re-employment absorbs retirees at a scale no campaign in the record approaches, which places Japan beside North Carolina as the only cases outside the fraction-of-one-per-cent band, in both instances because an institution changed rather than because individuals were contacted. The same study documents the model's fragility, since only about 35% of age-based retirees in elementary schools now seek full-time re-employment and ageing adjuncts increasingly decline the most demanding replacement work, so a staffing model resting on retirees depletes on the retirees' schedule rather than the system's (Sakuma and Shimazaki, 2024; Nippon.com, 2026).</w:t>
      </w:r>
    </w:p>
    <w:p>
      <w:pPr>
        <w:spacing w:after="160" w:line="264" w:lineRule="auto"/>
        <w:jc w:val="both"/>
      </w:pPr>
      <w:r>
        <w:t xml:space="preserve">The newest design in the family formalises the reserve itself. In the Bahamas, the "Teacher Reservist Program" announced in mid-2026 creates a standing register of qualified nationals, retired educators, trained teachers who left for other professions and recent graduates, whom schools can call on, with a multi-agency task force fast-tracking vetting and credential assessment, against a national shortfall of about 300 teachers across the archipelago's public schools (Cooper, 2026; ZNS Bahamas, 2026). The programme, still at announcement stage as of that date, has no published reservist counts. Its interest is the design contrast, a register that former teachers join once and remain reachable through, rather than a campaign that must find them each time a shortage recurs, and it formalises an existing reliance, since retired educators were already working full-time in supply roles (ZNS Bahamas, 2026).</w:t>
      </w:r>
    </w:p>
    <w:p>
      <w:pPr>
        <w:spacing w:after="160" w:line="264" w:lineRule="auto"/>
        <w:jc w:val="both"/>
      </w:pPr>
      <w:r>
        <w:t xml:space="preserve">Defined roles also anchor the largest scheme in the record, since China's silver-age plan assigns its recruits teaching, demonstration lessons, vice-principalships and the mentoring of young local teachers (MOE et al., 2023). At the other extreme of scale, a Spanish university project, "10 mirrors", paired ten retired teachers of recognised standing with 57 teacher-education students at the University of Zaragoza for three guidance sessions on the profession, evaluated by satisfaction questionnaires only (Lizalde Gil and Cortés Pascual, 2019). Neither adds outcome evidence. Together they mark how far the defined-role logic stretches, from national redeployment to the accompaniment of students who have not yet entered the profession.</w:t>
      </w:r>
    </w:p>
    <w:p>
      <w:pPr>
        <w:spacing w:after="160" w:line="264" w:lineRule="auto"/>
        <w:jc w:val="both"/>
      </w:pPr>
      <w:r>
        <w:t xml:space="preserve">The family's learning is the most precise in the record because it is the only one produced by trials. Where the role was specified and dosed, as in structured tutoring, it was measured at scale and the effect was positive; where the role was left to the veteran educator's discretion, as in mentoring, it was measured once, in a small trial, and the answer was indeterminate. The asymmetry reflects measurement effort rather than any verdict on returning teachers' craft, and it carries an implication that reaches beyond the family, since a role that is specified can be tested while a role that is merely permitted cannot. Across the five families, the instruments that changed rules or defined roles are also the instruments that produced a record worth learning from, and it is that record, rather than the announcements surrounding it, on which the concluding section draws.</w:t>
      </w:r>
    </w:p>
    <w:p>
      <w:pPr>
        <w:pStyle w:val="Heading1"/>
        <w:pageBreakBefore/>
      </w:pPr>
      <w:r>
        <w:t xml:space="preserve">4. Conclusions and recommendations</w:t>
      </w:r>
    </w:p>
    <w:p>
      <w:pPr>
        <w:spacing w:after="160" w:line="264" w:lineRule="auto"/>
        <w:jc w:val="both"/>
      </w:pPr>
      <w:r>
        <w:t xml:space="preserve">Most OECD countries face serious teacher shortages, and a growing number of governments have turned to the profession's former members as part of the response. The record those efforts have produced is administrative rather than experimental, and it is uneven across systems, but it is no longer thin. Read against its own denominators, it supports a small set of conclusions with direct consequences for how re-entry policy is designed and accounted for.</w:t>
      </w:r>
    </w:p>
    <w:p>
      <w:pPr>
        <w:pStyle w:val="Heading2"/>
      </w:pPr>
      <w:r>
        <w:t xml:space="preserve">4.1 What the compiled record supports</w:t>
      </w:r>
    </w:p>
    <w:p>
      <w:pPr>
        <w:spacing w:after="160" w:line="264" w:lineRule="auto"/>
        <w:jc w:val="both"/>
      </w:pPr>
      <w:r>
        <w:t xml:space="preserve">Former teachers form three populations whose differences govern which instruments can reach them. Teachers who move to other jobs, teachers who withdraw from the labour market and teachers who retire leave for different motives and face different obstacles to coming back, so each population answers to a different family of instruments (Section 2). Systems in which retirements dominate departures are addressed most directly by the pension and employment rules of family A, while systems dominated by working-age resignations, whose leavers cite workload and hours ahead of pay, are addressed by the part-time and defined-role designs of family E more plausibly than by money attached to a return the motives evidence has already priced (Table 1). The evidence therefore suggests that education systems could benefit from decomposing their own departures into the three populations before an instrument is chosen, since a measure that succeeds with one population says little about the others.</w:t>
      </w:r>
    </w:p>
    <w:p>
      <w:pPr>
        <w:spacing w:after="160" w:line="264" w:lineRule="auto"/>
        <w:jc w:val="both"/>
      </w:pPr>
      <w:r>
        <w:t xml:space="preserve">Across the five families, the largest documented return flows follow changes to the statutory terms of re-employment. Among the many campaigns implemented to re-attract teachers, both those providing incentives and those easing certification, there is suggestive evidence that they weigh less than changes to the legal rules under which a returner is employed and paid, which appear more successful in bringing former teachers back (Section 3). The two documented episodes in which returns exceeded a fraction of one per cent of the relevant workforce, the North Carolina window and Japan's standing re-employment of retirees, each involved an institution changing rather than a message being sent (Jarrold-Grapes and Mahler, 2024; Sakuma and Shimazaki, 2024), while marketing-led and subsidy-led schemes converted registrations into placements at rates their own sponsors described as disappointing (Buchanan et al., 2018; Ministerie van OCW, 2019a). This reading rests on uncontrolled episodes counted against different outcome definitions (Table 4), so it orients policy without measuring it.</w:t>
      </w:r>
    </w:p>
    <w:p>
      <w:pPr>
        <w:spacing w:after="160" w:line="264" w:lineRule="auto"/>
        <w:jc w:val="both"/>
      </w:pPr>
      <w:r>
        <w:t xml:space="preserve">The rules that appear to weigh most are also the rules a government can describe most precisely. The price of a return, the sum of salary-step placement, pension-salary concurrency, waiting periods and licensing costs (Section 3), is written in statute and scheme regulation, and the settings it comprises were assembled entirely from public sources (Table 3); any system can compile and publish what its own rules charge a returner without new expenditure. Most of those rules, however, sit with pensions and finance authorities rather than with education ministries. In France the waiting period belongs to the general pension framework (Assemblée nationale, 2020), and in Ontario the re-employment ceiling moves only by agreement between the pension plan's co-sponsors (Ontario Ministry of Education, 2022). Education authorities seeking to lower the price of a return should therefore expect to negotiate it with the bodies that set it, and to treat re-entry as a matter of cross-portfolio co-ordination as much as of education policy.</w:t>
      </w:r>
    </w:p>
    <w:p>
      <w:pPr>
        <w:spacing w:after="160" w:line="264" w:lineRule="auto"/>
        <w:jc w:val="both"/>
      </w:pPr>
      <w:r>
        <w:t xml:space="preserve">What returners are offered matters as much as what they are charged. The motives evidence indicates that workload, working hours and work-life balance drive the resignations of working-age teachers more than pay does, and the best-documented returner segment sought part-time work that schools rarely advertise (Section 2; Worth and Sharp, 2018). Offers of partial intensity, reduced-hours contracts in Austria, day-capped supply work in Ontario, pro-rated returner contracts in Portugal, adjunct posts in Japan, match that evidence in a way that a full-time return to the post the leaver gave up does not. Within the defined-role family, the only purchases whose learning value the record demonstrates are specified roles with evaluation attached. The tutoring role that was scripted, dosed and trialled at scale reproduced its measured effect (Gersten et al., 2015), while the mentoring role that was left to the veteran's discretion was tested once and returned an indeterminate answer (What Works Clearinghouse, 2019). On the current evidence, what a system can defensibly buy from its former teachers is a specified role at a specified dose, with the evaluation written into the instrument.</w:t>
      </w:r>
    </w:p>
    <w:p>
      <w:pPr>
        <w:pStyle w:val="Heading2"/>
      </w:pPr>
      <w:r>
        <w:t xml:space="preserve">4.2 What education systems could do</w:t>
      </w:r>
    </w:p>
    <w:p>
      <w:pPr>
        <w:spacing w:after="160" w:line="264" w:lineRule="auto"/>
        <w:jc w:val="both"/>
      </w:pPr>
      <w:r>
        <w:t xml:space="preserve">Little of the counting that would most improve this record requires new data systems. Education systems could benefit from compiling and publishing a netted count of their potential-returner population, discounting lapsed certificates, residence outside the jurisdiction and subject mismatch in the way the Michigan analysis did (Lindsay, Gnedko-Berry and Wan, 2021), since gross register counts overstate the stock that could plausibly be recruited. The records needed are already held in teacher registers and pension files, and the gap such a count would close is documented, with many education systems lacking accurate data on the number and characteristics of potential returners (OECD, 2024). A published netted figure would discipline both the ambitions announced for this population and the budgets attached to them.</w:t>
      </w:r>
    </w:p>
    <w:p>
      <w:pPr>
        <w:spacing w:after="160" w:line="264" w:lineRule="auto"/>
        <w:jc w:val="both"/>
      </w:pPr>
      <w:r>
        <w:t xml:space="preserve">Governments should also audit the price of a return that their own rules set, and publish the result. The four regulatory dials (Table 3) give such an audit its structure, and the exercise separates charges that serve a stated purpose from settings that persist on inertia; a waiting period designed to prevent abusive re-hiring may be judged worth its cost, while a crediting rule that returns an experienced teacher at the starting salary is at least a setting its owner can be asked to defend (BMBWF, 2023). Where the audit identifies settings that no authority defends, those settings are the natural first candidates for change, and because most of them belong to pension and finance portfolios, the audit itself supplies the agenda for the co-ordination described above.</w:t>
      </w:r>
    </w:p>
    <w:p>
      <w:pPr>
        <w:spacing w:after="160" w:line="264" w:lineRule="auto"/>
        <w:jc w:val="both"/>
      </w:pPr>
      <w:r>
        <w:t xml:space="preserve">On the offer side, the evidence points towards specificity. Schools could advertise the part-time and job-share posts that the documented returner segments seek, and public authorities could tie returner support to identified vacancies instead of open registration, the correction England made after its pilot converted wide interest into few posts (NCTL, 2017; Buchanan et al., 2018). Licensing waivers appear most credible when keyed to a job offer as a standing rule, treating the offer as the market test of whether a return is real (Teaching Council of Aotearoa New Zealand, 2026). Where the purpose is instructional capacity, systems should specify the role and the dose and write evaluation into the instrument, since the one role designed that way is the one whose value was measured (Section 3).</w:t>
      </w:r>
    </w:p>
    <w:p>
      <w:pPr>
        <w:spacing w:after="160" w:line="264" w:lineRule="auto"/>
        <w:jc w:val="both"/>
      </w:pPr>
      <w:r>
        <w:t xml:space="preserve">Reporting should extend past the moment of placement. The one programme whose returners were followed in linked workforce records found them more likely than the average entrant to have left again after the first year back (Buchanan et al., 2018), and the destination studies show how quickly leavers settle into work outside the classroom (Brummet et al., 2024; Cuervo and Vera-Toscano, 2025). Placement counts therefore overstate what a programme durably adds, and sponsors should report destinations and one- and three-year survival against a stated denominator, so that a return that lasts a term is distinguishable from one that lasts a career stage.</w:t>
      </w:r>
    </w:p>
    <w:p>
      <w:pPr>
        <w:spacing w:after="160" w:line="264" w:lineRule="auto"/>
        <w:jc w:val="both"/>
      </w:pPr>
      <w:r>
        <w:t xml:space="preserve">The record also documents conditions under which spending less is the better course. The Netherlands lowered its own subsidy ceilings because returners were not claiming the money (Ministerie van OCW, 2019a; Tweede Kamer, 2019), Dutch regional partnerships reported more returner applications than schools could absorb (De Jong et al., 2022), and England recorded its largest returner flows in years with no returner-specific scheme in operation (UK Parliament, 2026). An instrument whose budget goes unclaimed, or whose binding constraint is school absorption capacity, gains little from renewal. Policymakers must therefore be prepared to conclude that the appropriate expenditure on a given margin is zero, and to let an instrument lapse when its own take-up record points that way.</w:t>
      </w:r>
    </w:p>
    <w:p>
      <w:pPr>
        <w:spacing w:after="160" w:line="264" w:lineRule="auto"/>
        <w:jc w:val="both"/>
      </w:pPr>
      <w:r>
        <w:t xml:space="preserve">Whether any of this is learned depends on who is obliged to count. Across the documented systems, a published take-up record exists where the duty to count sits outside the sponsoring authority, and is generally absent where it sits with the sponsor or with nobody (Table 5). Of particular interest is the case of Georgia (United States), where the statute wrote the audit and the expiry date into the same law, so that the renewal decision was taken with the take-up evidence on the table (Georgia Department of Audits and Accounts, 2025; Teachers Retirement System of Georgia, 2026); the audit existed because the law required it, and the sunset gave it a decision to inform. It is crucial that new re-entry instruments carry the same pairing, a counting duty lodged outside the sponsoring authority and a sunset matched to the decision the count is meant to inform, since the alternative documented in the same table is reporting that stops after the launch announcement (NSW Government, 2024; NSW Department of Education, 2025).</w:t>
      </w:r>
    </w:p>
    <w:p>
      <w:pPr>
        <w:keepNext/>
        <w:spacing w:after="120" w:before="200"/>
      </w:pPr>
      <w:r>
        <w:rPr>
          <w:b/>
          <w:bCs/>
          <w:color w:val="4E81BD"/>
          <w:sz w:val="23"/>
          <w:szCs w:val="23"/>
        </w:rPr>
        <w:t xml:space="preserve">Table 5. Published take-up records exist where a counting duty sits outside the sponsoring authority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41"/>
        <w:gridCol w:w="1821"/>
        <w:gridCol w:w="1364"/>
        <w:gridCol w:w="2027"/>
        <w:gridCol w:w="1519"/>
      </w:tblGrid>
      <w:tr>
        <w:trPr>
          <w:tblHeader/>
        </w:trPr>
        <w:tc>
          <w:tcPr>
            <w:tcW w:type="dxa" w:w="234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 and instrument</w:t>
            </w:r>
          </w:p>
        </w:tc>
        <w:tc>
          <w:tcPr>
            <w:tcW w:type="dxa" w:w="182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Counting body</w:t>
            </w:r>
          </w:p>
        </w:tc>
        <w:tc>
          <w:tcPr>
            <w:tcW w:type="dxa" w:w="136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Independent of the sponsor?</w:t>
            </w:r>
          </w:p>
        </w:tc>
        <w:tc>
          <w:tcPr>
            <w:tcW w:type="dxa" w:w="20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What has been published</w:t>
            </w:r>
          </w:p>
        </w:tc>
        <w:tc>
          <w:tcPr>
            <w:tcW w:type="dxa" w:w="151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Publication status</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 (United States), full-time re-employment of retired teachers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State auditor, mandated in the statute itself</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Take-up by year, employer survey of blocked hires, cost analysis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audit; renewal legislated with the audit on the table</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 return of retired and former teachers to service</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Court of Audit, own mandate</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Audited national take-up across six school years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audit</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 (United States), return-to-work routes for education retirees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Educational Retirement Board, reporting to a legislative oversight committee</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Participation counts by route</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Recurring, annual</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 (United Kingdom), Return to Teaching pilot</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Independent evaluator commissioned by the department</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Arm's length (commissioned)</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recruitment funnel, cost per additional returner, survival analysis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evaluation, published in full; programme closed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South Wales (Australia), Teachers Re-Engage</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Sponsoring department</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recruitment funnel in a one-off media release (May 2024), with a one-line outcome in one annual report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Absent from the following annual report</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 (United States), working-after-retirement rules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(pension system holds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 (United States), critical-shortage rehire provisions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(retirement system holds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 (United States), return-to-work framework</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Actuarial review only, due before the 2034 session</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Pending</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 to date</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 cumul emploi-retraite as applied to teachers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(pension administrations hold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teacher-specific count; parliamentary questions answered without one</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China, Silver Age teacher action plans</w:t>
            </w:r>
          </w:p>
        </w:tc>
        <w:tc>
          <w:tcPr>
            <w:tcW w:type="dxa" w:w="182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None identified</w:t>
            </w:r>
          </w:p>
        </w:tc>
        <w:tc>
          <w:tcPr>
            <w:tcW w:type="dxa" w:w="136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Recruitment targets and round announcements; no audited progress count</w:t>
            </w:r>
          </w:p>
        </w:tc>
        <w:tc>
          <w:tcPr>
            <w:tcW w:type="dxa" w:w="151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Announcements only</w:t>
            </w:r>
          </w:p>
        </w:tc>
      </w:tr>
    </w:tbl>
    <w:p>
      <w:pPr>
        <w:spacing w:after="120"/>
      </w:pPr>
    </w:p>
    <w:p>
      <w:pPr>
        <w:spacing w:after="60"/>
        <w:jc w:val="left"/>
      </w:pPr>
      <w:r>
        <w:rPr>
          <w:sz w:val="18"/>
          <w:szCs w:val="18"/>
        </w:rPr>
        <w:t xml:space="preserve">Note: The table records who holds a duty to count, not how the instruments performed; outcome definitions, denominators and the intensity of the posts counted differ across rows and are not comparable.</w:t>
      </w:r>
    </w:p>
    <w:p>
      <w:pPr>
        <w:spacing w:after="60"/>
        <w:jc w:val="left"/>
      </w:pPr>
      <w:r>
        <w:rPr>
          <w:sz w:val="18"/>
          <w:szCs w:val="18"/>
        </w:rPr>
        <w:t xml:space="preserve">Source: Georgia Department of Audits and Accounts (2025); Teachers Retirement System of Georgia (2026); Rechnungshof (2025); New Mexico Educational Retirement Board (2023); Buchanan et al. (2018); NSW Government (2024); NSW Department of Education (2024; 2025); Michigan Office of Retirement Services (2022; 2023); Virginia Retirement System (n.d.); Teachers' Retirement System of Louisiana (2024; 2026); Assemblée nationale (2023; 2026); MOE et al. (2023); MOE (2025).</w:t>
      </w:r>
    </w:p>
    <w:p>
      <w:pPr>
        <w:pStyle w:val="Heading2"/>
      </w:pPr>
      <w:r>
        <w:t xml:space="preserve">4.3 What remains unknown</w:t>
      </w:r>
    </w:p>
    <w:p>
      <w:pPr>
        <w:spacing w:after="160" w:line="264" w:lineRule="auto"/>
        <w:jc w:val="both"/>
      </w:pPr>
      <w:r>
        <w:t xml:space="preserve">The research agenda that follows from this record is narrow and mostly inexpensive. No quasi-experimental study anywhere prices re-entry incentives, so the causal literature on teacher pay concerns retention only and cannot be carried over to people who have already left (Fleck et al., 2025). The decomposition of departures into the three exit populations likewise lacks a cross-country source; comparable data now separate resignations from retirements, without distinguishing job switchers from labour-market exits, so the composition question can be answered only nationally (OECD, 2025a). Take-up of licensing waivers remains unpublished in every system that grants them, although every waiver and every restored certificate passes through a regulator's records. The two cheapest items on this agenda, the netted count of the potential-returner population and the audit of the price of a return, rest on data systems that already exist, which suggests that the binding constraint on learning in this field is the assignment of duties rather than the cost of data.</w:t>
      </w:r>
    </w:p>
    <w:p>
      <w:pPr>
        <w:spacing w:after="160" w:line="264" w:lineRule="auto"/>
        <w:jc w:val="both"/>
      </w:pPr>
      <w:r>
        <w:t xml:space="preserve">Encouraging the re-entry of former teachers is consistent with a view of teaching as a profession that people may leave and rejoin over a working life, and not one they exit permanently on first departure (OECD, 2024). The compiled record does not show that any instrument resolves a shortage, and the best-documented flows remain small against the stocks they draw on. What the record does indicate is that former teachers respond to the terms on which a return is priced and defined more than to the invitations extended to them. Systems that publish what their own rules charge a returner, and that count what follows under a duty lodged outside the sponsoring authority, are likely to learn more from the next decade of re-entry policy than the record of the last one has preserved.</w:t>
      </w:r>
    </w:p>
    <w:p>
      <w:pPr>
        <w:pStyle w:val="Heading1"/>
        <w:pageBreakBefore/>
      </w:pPr>
      <w:r>
        <w:t xml:space="preserve">References</w:t>
      </w:r>
    </w:p>
    <w:p>
      <w:pPr>
        <w:spacing w:after="120"/>
        <w:ind w:left="567" w:hanging="567"/>
        <w:jc w:val="left"/>
      </w:pPr>
      <w:r>
        <w:rPr>
          <w:sz w:val="21"/>
          <w:szCs w:val="21"/>
        </w:rPr>
        <w:t xml:space="preserve">AARP (2025), "AARP Foundation Experience Corps Celebrates 30 Years", AARP, Washington, DC, https://www.aarp.org/advocacy/experience-corps-celebrates-30-years-2025/.</w:t>
      </w:r>
    </w:p>
    <w:p>
      <w:pPr>
        <w:spacing w:after="120"/>
        <w:ind w:left="567" w:hanging="567"/>
        <w:jc w:val="left"/>
      </w:pPr>
      <w:r>
        <w:rPr>
          <w:sz w:val="21"/>
          <w:szCs w:val="21"/>
        </w:rPr>
        <w:t xml:space="preserve">AITSL (2025), </w:t>
      </w:r>
      <w:r>
        <w:rPr>
          <w:i/>
          <w:iCs/>
          <w:sz w:val="21"/>
          <w:szCs w:val="21"/>
        </w:rPr>
        <w:t xml:space="preserve">National Trends: Teacher Workforce — Australian Teacher Workforce Data (June 2025)</w:t>
      </w:r>
      <w:r>
        <w:rPr>
          <w:sz w:val="21"/>
          <w:szCs w:val="21"/>
        </w:rPr>
        <w:t xml:space="preserve">, Australian Institute for Teaching and School Leadership, Melbourne, https://www.aitsl.edu.au/research/australian-teacher-workforce-data/atwd-reports/national-trends-teacher-workforce-jun2025 (accessed on 4 August 2026).</w:t>
      </w:r>
    </w:p>
    <w:p>
      <w:pPr>
        <w:spacing w:after="120"/>
        <w:ind w:left="567" w:hanging="567"/>
        <w:jc w:val="left"/>
      </w:pPr>
      <w:r>
        <w:rPr>
          <w:sz w:val="21"/>
          <w:szCs w:val="21"/>
        </w:rPr>
        <w:t xml:space="preserve">Aldeman, C. and S. Yi (2025), "Are Teachers Abandoning Teaching? Data Show Teacher Turnover Remains Low", </w:t>
      </w:r>
      <w:r>
        <w:rPr>
          <w:i/>
          <w:iCs/>
          <w:sz w:val="21"/>
          <w:szCs w:val="21"/>
        </w:rPr>
        <w:t xml:space="preserve">Education Next</w:t>
      </w:r>
      <w:r>
        <w:rPr>
          <w:sz w:val="21"/>
          <w:szCs w:val="21"/>
        </w:rPr>
        <w:t xml:space="preserve">, published online 18 December 2025, https://www.educationnext.org/are-teachers-abandoning-teaching-data-show-teacher-turnover-remains-low/.</w:t>
      </w:r>
    </w:p>
    <w:p>
      <w:pPr>
        <w:spacing w:after="120"/>
        <w:ind w:left="567" w:hanging="567"/>
        <w:jc w:val="left"/>
      </w:pPr>
      <w:r>
        <w:rPr>
          <w:sz w:val="21"/>
          <w:szCs w:val="21"/>
        </w:rPr>
        <w:t xml:space="preserve">Alphonso, C. (2024), "Federation opposes proposal to boost number of days retired Ontario teachers can work in classrooms", </w:t>
      </w:r>
      <w:r>
        <w:rPr>
          <w:i/>
          <w:iCs/>
          <w:sz w:val="21"/>
          <w:szCs w:val="21"/>
        </w:rPr>
        <w:t xml:space="preserve">The Globe and Mail</w:t>
      </w:r>
      <w:r>
        <w:rPr>
          <w:sz w:val="21"/>
          <w:szCs w:val="21"/>
        </w:rPr>
        <w:t xml:space="preserve">, 18 March 2024, https://www.theglobeandmail.com/canada/article-proposal-to-boost-number-of-days-retired-ontario-teachers-can-work-in/ (accessed on 4 August 2026).</w:t>
      </w:r>
    </w:p>
    <w:p>
      <w:pPr>
        <w:spacing w:after="120"/>
        <w:ind w:left="567" w:hanging="567"/>
        <w:jc w:val="left"/>
      </w:pPr>
      <w:r>
        <w:rPr>
          <w:sz w:val="21"/>
          <w:szCs w:val="21"/>
        </w:rPr>
        <w:t xml:space="preserve">APA/ORF (2023), "Lehrkräftemangel: Pensionisten umworben", oesterreich.ORF.at, 11 March 2023, https://oesterreich.orf.at/stories/3198263/ (accessed on 4 August 2026).</w:t>
      </w:r>
    </w:p>
    <w:p>
      <w:pPr>
        <w:spacing w:after="120"/>
        <w:ind w:left="567" w:hanging="567"/>
        <w:jc w:val="left"/>
      </w:pPr>
      <w:r>
        <w:rPr>
          <w:sz w:val="21"/>
          <w:szCs w:val="21"/>
        </w:rPr>
        <w:t xml:space="preserve">Assemblée nationale (2020), Question écrite n° 25142 (15e législature) de M. Thibault Bazin sur le délai de carence de 6 mois du cumul emploi-retraite, réponse du 1er septembre 2020, https://questions.assemblee-nationale.fr/q15/15-25142QE.htm (accessed on 4 August 2026).</w:t>
      </w:r>
    </w:p>
    <w:p>
      <w:pPr>
        <w:spacing w:after="120"/>
        <w:ind w:left="567" w:hanging="567"/>
        <w:jc w:val="left"/>
      </w:pPr>
      <w:r>
        <w:rPr>
          <w:sz w:val="21"/>
          <w:szCs w:val="21"/>
        </w:rPr>
        <w:t xml:space="preserve">Assemblée nationale (2023), Question écrite n° 2072 (16e législature) de M. Robin Reda, "Recrutement des enseignants retraités comme enseignants vacataires", réponse du 28 mars 2023, https://questions.assemblee-nationale.fr/q16/16-2072QE.htm (accessed on 4 August 2026).</w:t>
      </w:r>
    </w:p>
    <w:p>
      <w:pPr>
        <w:spacing w:after="120"/>
        <w:ind w:left="567" w:hanging="567"/>
        <w:jc w:val="left"/>
      </w:pPr>
      <w:r>
        <w:rPr>
          <w:sz w:val="21"/>
          <w:szCs w:val="21"/>
        </w:rPr>
        <w:t xml:space="preserve">Assemblée nationale (2024), Question écrite n° 7305 (16e législature) de Mme Béatrice Bellamy, "Volontariat des enseignants retraités pour les remplacements", clôturée sans réponse le 11 juin 2024, https://questions.assemblee-nationale.fr/q16/16-7305QE.htm (accessed on 4 August 2026).</w:t>
      </w:r>
    </w:p>
    <w:p>
      <w:pPr>
        <w:spacing w:after="120"/>
        <w:ind w:left="567" w:hanging="567"/>
        <w:jc w:val="left"/>
      </w:pPr>
      <w:r>
        <w:rPr>
          <w:sz w:val="21"/>
          <w:szCs w:val="21"/>
        </w:rPr>
        <w:t xml:space="preserve">Assemblée nationale (2026), Question écrite n° 11063 (17e législature) de M. Julien Odoul, "Cumul emploi-retraite : quand la réforme de 2015 pénalise les professeurs", réponse du 12 mai 2026, https://questions.assemblee-nationale.fr/q17/17-11063QE.htm (accessed on 4 August 2026).</w:t>
      </w:r>
    </w:p>
    <w:p>
      <w:pPr>
        <w:spacing w:after="120"/>
        <w:ind w:left="567" w:hanging="567"/>
        <w:jc w:val="left"/>
      </w:pPr>
      <w:r>
        <w:rPr>
          <w:sz w:val="21"/>
          <w:szCs w:val="21"/>
        </w:rPr>
        <w:t xml:space="preserve">BMBWF (2023), </w:t>
      </w:r>
      <w:r>
        <w:rPr>
          <w:i/>
          <w:iCs/>
          <w:sz w:val="21"/>
          <w:szCs w:val="21"/>
        </w:rPr>
        <w:t xml:space="preserve">Anfragebeantwortung 15155/AB betreffend Quereinstieg und Sonderverträge für Lehrer:innen</w:t>
      </w:r>
      <w:r>
        <w:rPr>
          <w:sz w:val="21"/>
          <w:szCs w:val="21"/>
        </w:rPr>
        <w:t xml:space="preserve"> (answer to parliamentary question 15692/J of 6 July 2023 by Mag. Martina Künsberg Sarre and colleagues), XXVII. GP, Geschäftszahl 2023-0.505.716, Bundesministerium für Bildung, Wissenschaft und Forschung, Vienna, 6 September 2023, https://www.parlament.gv.at/dokument/XXVII/AB/15155/imfname_1582019.pdf (accessed on 5 August 2026).</w:t>
      </w:r>
    </w:p>
    <w:p>
      <w:pPr>
        <w:spacing w:after="120"/>
        <w:ind w:left="567" w:hanging="567"/>
        <w:jc w:val="left"/>
      </w:pPr>
      <w:r>
        <w:rPr>
          <w:sz w:val="21"/>
          <w:szCs w:val="21"/>
        </w:rPr>
        <w:t xml:space="preserve">Brandenburg, R., E. Larsen, A. Simpson, R. Sallis and D. Trần (2024), "'I left the teaching profession … and this is what I am doing now': a national study of teacher attrition", </w:t>
      </w:r>
      <w:r>
        <w:rPr>
          <w:i/>
          <w:iCs/>
          <w:sz w:val="21"/>
          <w:szCs w:val="21"/>
        </w:rPr>
        <w:t xml:space="preserve">The Australian Educational Researcher</w:t>
      </w:r>
      <w:r>
        <w:rPr>
          <w:sz w:val="21"/>
          <w:szCs w:val="21"/>
        </w:rPr>
        <w:t xml:space="preserve">, Vol. 51/5, pp. 2381-2400, https://doi.org/10.1007/s13384-024-00697-1 (accessed on 5 August 2026).</w:t>
      </w:r>
    </w:p>
    <w:p>
      <w:pPr>
        <w:spacing w:after="120"/>
        <w:ind w:left="567" w:hanging="567"/>
        <w:jc w:val="left"/>
      </w:pPr>
      <w:r>
        <w:rPr>
          <w:sz w:val="21"/>
          <w:szCs w:val="21"/>
        </w:rPr>
        <w:t xml:space="preserve">Brummet, Q., E. K. Penner, N. Pharris-Ciurej and S. R. Porter (2024), "After School: An Examination of the Career Paths and Earnings of Former Teachers", </w:t>
      </w:r>
      <w:r>
        <w:rPr>
          <w:i/>
          <w:iCs/>
          <w:sz w:val="21"/>
          <w:szCs w:val="21"/>
        </w:rPr>
        <w:t xml:space="preserve">Educational Evaluation and Policy Analysis</w:t>
      </w:r>
      <w:r>
        <w:rPr>
          <w:sz w:val="21"/>
          <w:szCs w:val="21"/>
        </w:rPr>
        <w:t xml:space="preserve">, published online 26 February 2024, https://doi.org/10.3102/01623737241227906.</w:t>
      </w:r>
    </w:p>
    <w:p>
      <w:pPr>
        <w:spacing w:after="120"/>
        <w:ind w:left="567" w:hanging="567"/>
        <w:jc w:val="left"/>
      </w:pPr>
      <w:r>
        <w:rPr>
          <w:sz w:val="21"/>
          <w:szCs w:val="21"/>
        </w:rPr>
        <w:t xml:space="preserve">Buchanan, E., C. Sharp, J. Worth, K. Martin, S. Bamford and Z. Des Clayes (2018), </w:t>
      </w:r>
      <w:r>
        <w:rPr>
          <w:i/>
          <w:iCs/>
          <w:sz w:val="21"/>
          <w:szCs w:val="21"/>
        </w:rPr>
        <w:t xml:space="preserve">Evaluation of the Return to Teaching Pilot Programme</w:t>
      </w:r>
      <w:r>
        <w:rPr>
          <w:sz w:val="21"/>
          <w:szCs w:val="21"/>
        </w:rPr>
        <w:t xml:space="preserve">, National Foundation for Educational Research report for the Department for Education, London, https://assets.publishing.service.gov.uk/media/5b33aeef40f0b67f6744de9d/Evaluation_of_the_Return_to_Teaching_pilot_programme.pdf (report page: https://www.nfer.ac.uk/publications/evaluation-of-the-return-to-teaching-pilot-programme/) (accessed on 4 August 2026).</w:t>
      </w:r>
    </w:p>
    <w:p>
      <w:pPr>
        <w:spacing w:after="120"/>
        <w:ind w:left="567" w:hanging="567"/>
        <w:jc w:val="left"/>
      </w:pPr>
      <w:r>
        <w:rPr>
          <w:sz w:val="21"/>
          <w:szCs w:val="21"/>
        </w:rPr>
        <w:t xml:space="preserve">Carlson, M. C. et al. (2015), "Impact of the Baltimore Experience Corps Trial on cortical and hippocampal volumes", </w:t>
      </w:r>
      <w:r>
        <w:rPr>
          <w:i/>
          <w:iCs/>
          <w:sz w:val="21"/>
          <w:szCs w:val="21"/>
        </w:rPr>
        <w:t xml:space="preserve">Alzheimer's &amp; Dementia</w:t>
      </w:r>
      <w:r>
        <w:rPr>
          <w:sz w:val="21"/>
          <w:szCs w:val="21"/>
        </w:rPr>
        <w:t xml:space="preserve">, Vol. 11/11, pp. 1340-1348, https://doi.org/10.1016/j.jalz.2014.12.005 (accessed on 4 August 2026).</w:t>
      </w:r>
    </w:p>
    <w:p>
      <w:pPr>
        <w:spacing w:after="120"/>
        <w:ind w:left="567" w:hanging="567"/>
        <w:jc w:val="left"/>
      </w:pPr>
      <w:r>
        <w:rPr>
          <w:sz w:val="21"/>
          <w:szCs w:val="21"/>
        </w:rPr>
        <w:t xml:space="preserve">Clotfelter, C., E. Glennie, H. Ladd and J. Vigdor (2008), "Would higher salaries keep teachers in high-poverty schools? Evidence from a policy intervention in North Carolina", </w:t>
      </w:r>
      <w:r>
        <w:rPr>
          <w:i/>
          <w:iCs/>
          <w:sz w:val="21"/>
          <w:szCs w:val="21"/>
        </w:rPr>
        <w:t xml:space="preserve">Journal of Public Economics</w:t>
      </w:r>
      <w:r>
        <w:rPr>
          <w:sz w:val="21"/>
          <w:szCs w:val="21"/>
        </w:rPr>
        <w:t xml:space="preserve">, Vol. 92/5-6, pp. 1352-1370, https://www.sciencedirect.com/science/article/abs/pii/S0047272707001065 (accessed on 4 August 2026).</w:t>
      </w:r>
    </w:p>
    <w:p>
      <w:pPr>
        <w:spacing w:after="120"/>
        <w:ind w:left="567" w:hanging="567"/>
        <w:jc w:val="left"/>
      </w:pPr>
      <w:r>
        <w:rPr>
          <w:sz w:val="21"/>
          <w:szCs w:val="21"/>
        </w:rPr>
        <w:t xml:space="preserve">Commonwealth of Virginia (2023), 2023 Acts of Assembly, Chapter 708 (SB 1479; return to work, approved 27 March 2023), https://law.lis.virginia.gov/uncodifiedacts/2023/session1/chapter708/ (accessed on 4 August 2026).</w:t>
      </w:r>
    </w:p>
    <w:p>
      <w:pPr>
        <w:spacing w:after="120"/>
        <w:ind w:left="567" w:hanging="567"/>
        <w:jc w:val="left"/>
      </w:pPr>
      <w:r>
        <w:rPr>
          <w:sz w:val="21"/>
          <w:szCs w:val="21"/>
        </w:rPr>
        <w:t xml:space="preserve">Cooper, I. C. (2026), "Statement by the Minister of Education DPM Chester Cooper on the recruitment of up to 300 teachers", ministerial statement, Ministry of Education, Science and Technology, Nassau, 12 July 2026, reproduced by </w:t>
      </w:r>
      <w:r>
        <w:rPr>
          <w:i/>
          <w:iCs/>
          <w:sz w:val="21"/>
          <w:szCs w:val="21"/>
        </w:rPr>
        <w:t xml:space="preserve">Bahamas Press</w:t>
      </w:r>
      <w:r>
        <w:rPr>
          <w:sz w:val="21"/>
          <w:szCs w:val="21"/>
        </w:rPr>
        <w:t xml:space="preserve">, https://www.bahamaspress.com/statement-by-the-minister-of-education-dpm-chester-cooper-on-the-recruitment-of-upto-300-teachers/.</w:t>
      </w:r>
    </w:p>
    <w:p>
      <w:pPr>
        <w:spacing w:after="120"/>
        <w:ind w:left="567" w:hanging="567"/>
        <w:jc w:val="left"/>
      </w:pPr>
      <w:r>
        <w:rPr>
          <w:sz w:val="21"/>
          <w:szCs w:val="21"/>
        </w:rPr>
        <w:t xml:space="preserve">Costrell, R. M. and M. Podgursky (2009), "Peaks, Cliffs, and Valleys: The Peculiar Incentives in Teacher Retirement Systems and Their Consequences for School Staffing", </w:t>
      </w:r>
      <w:r>
        <w:rPr>
          <w:i/>
          <w:iCs/>
          <w:sz w:val="21"/>
          <w:szCs w:val="21"/>
        </w:rPr>
        <w:t xml:space="preserve">Education Finance and Policy</w:t>
      </w:r>
      <w:r>
        <w:rPr>
          <w:sz w:val="21"/>
          <w:szCs w:val="21"/>
        </w:rPr>
        <w:t xml:space="preserve">, Vol. 4/2, pp. 175-211, https://direct.mit.edu/edfp/article/4/2/175/10094/.</w:t>
      </w:r>
    </w:p>
    <w:p>
      <w:pPr>
        <w:spacing w:after="120"/>
        <w:ind w:left="567" w:hanging="567"/>
        <w:jc w:val="left"/>
      </w:pPr>
      <w:r>
        <w:rPr>
          <w:sz w:val="21"/>
          <w:szCs w:val="21"/>
        </w:rPr>
        <w:t xml:space="preserve">Cuervo, H. and E. Vera-Toscano (2025), "Teacher retention and attrition: understanding why teachers leave and their post-teaching pathways in Australia", </w:t>
      </w:r>
      <w:r>
        <w:rPr>
          <w:i/>
          <w:iCs/>
          <w:sz w:val="21"/>
          <w:szCs w:val="21"/>
        </w:rPr>
        <w:t xml:space="preserve">Asia Pacific Journal of Education</w:t>
      </w:r>
      <w:r>
        <w:rPr>
          <w:sz w:val="21"/>
          <w:szCs w:val="21"/>
        </w:rPr>
        <w:t xml:space="preserve">, pp. 1-18, published online 10 March 2025, https://doi.org/10.1080/02188791.2025.2473356 (accessed on 5 August 2026).</w:t>
      </w:r>
    </w:p>
    <w:p>
      <w:pPr>
        <w:spacing w:after="120"/>
        <w:ind w:left="567" w:hanging="567"/>
        <w:jc w:val="left"/>
      </w:pPr>
      <w:r>
        <w:rPr>
          <w:sz w:val="21"/>
          <w:szCs w:val="21"/>
        </w:rPr>
        <w:t xml:space="preserve">De Jong, A., A. Suijkerbuijk, S. van der Ploeg, S. Weijers, E. Stronkhorst and W. Schenke (2022), </w:t>
      </w:r>
      <w:r>
        <w:rPr>
          <w:i/>
          <w:iCs/>
          <w:sz w:val="21"/>
          <w:szCs w:val="21"/>
        </w:rPr>
        <w:t xml:space="preserve">Evaluatieonderzoek Regionale Aanpak Personeelstekorten: Eindrapportage augustus 2022</w:t>
      </w:r>
      <w:r>
        <w:rPr>
          <w:sz w:val="21"/>
          <w:szCs w:val="21"/>
        </w:rPr>
        <w:t xml:space="preserve">, Oberon/Kohnstamm Instituut, Utrecht/Amsterdam, https://www.aanpaklerarentekort.nl/site/binaries/site-content/collections/documents/2022/09/29/evaluatieonderzoek-rap-eindrapportage-augustus-2022/Evaluatieonderzoek+RAP+Eindrapportage+2022.pdf (accessed on 5 August 2026).</w:t>
      </w:r>
    </w:p>
    <w:p>
      <w:pPr>
        <w:spacing w:after="120"/>
        <w:ind w:left="567" w:hanging="567"/>
        <w:jc w:val="left"/>
      </w:pPr>
      <w:r>
        <w:rPr>
          <w:sz w:val="21"/>
          <w:szCs w:val="21"/>
        </w:rPr>
        <w:t xml:space="preserve">DeCesare, D., A. McClelland and B. Randel (2017), </w:t>
      </w:r>
      <w:r>
        <w:rPr>
          <w:i/>
          <w:iCs/>
          <w:sz w:val="21"/>
          <w:szCs w:val="21"/>
        </w:rPr>
        <w:t xml:space="preserve">Impacts of the Retired Mentors for New Teachers Program</w:t>
      </w:r>
      <w:r>
        <w:rPr>
          <w:sz w:val="21"/>
          <w:szCs w:val="21"/>
        </w:rPr>
        <w:t xml:space="preserve"> (REL 2017-225), Regional Educational Laboratory Central, Institute of Education Sciences, U.S. Department of Education, Washington, DC, https://files.eric.ed.gov/fulltext/ED573097.pdf (accessed on 4 August 2026).</w:t>
      </w:r>
    </w:p>
    <w:p>
      <w:pPr>
        <w:spacing w:after="120"/>
        <w:ind w:left="567" w:hanging="567"/>
        <w:jc w:val="left"/>
      </w:pPr>
      <w:r>
        <w:rPr>
          <w:sz w:val="21"/>
          <w:szCs w:val="21"/>
        </w:rPr>
        <w:t xml:space="preserve">Decreto-Lei n.º 51/2024, de 28 de agosto, </w:t>
      </w:r>
      <w:r>
        <w:rPr>
          <w:i/>
          <w:iCs/>
          <w:sz w:val="21"/>
          <w:szCs w:val="21"/>
        </w:rPr>
        <w:t xml:space="preserve">Diário da República</w:t>
      </w:r>
      <w:r>
        <w:rPr>
          <w:sz w:val="21"/>
          <w:szCs w:val="21"/>
        </w:rPr>
        <w:t xml:space="preserve">, 1.ª série, No. 166, 28 August 2024 (Arts. 5 and 6), official PDF via DGAE, https://www.dgae.medu.pt/download/ser-mais-professor-2024/decreto-lei-n-51-2024-de-28-de-agosto.pdf (accessed on 4 August 2026).</w:t>
      </w:r>
    </w:p>
    <w:p>
      <w:pPr>
        <w:spacing w:after="120"/>
        <w:ind w:left="567" w:hanging="567"/>
        <w:jc w:val="left"/>
      </w:pPr>
      <w:r>
        <w:rPr>
          <w:sz w:val="21"/>
          <w:szCs w:val="21"/>
        </w:rPr>
        <w:t xml:space="preserve">Department for Education (2023), "Teacher recruitment and retention: How we're helping former teachers return to education", </w:t>
      </w:r>
      <w:r>
        <w:rPr>
          <w:i/>
          <w:iCs/>
          <w:sz w:val="21"/>
          <w:szCs w:val="21"/>
        </w:rPr>
        <w:t xml:space="preserve">The Education Hub</w:t>
      </w:r>
      <w:r>
        <w:rPr>
          <w:sz w:val="21"/>
          <w:szCs w:val="21"/>
        </w:rPr>
        <w:t xml:space="preserve">, 9 August 2023, https://educationhub.blog.gov.uk/2023/08/teacher-recruitment-and-retention-how-were-helping-former-teachers-return-to-education/.</w:t>
      </w:r>
    </w:p>
    <w:p>
      <w:pPr>
        <w:spacing w:after="120"/>
        <w:ind w:left="567" w:hanging="567"/>
        <w:jc w:val="left"/>
      </w:pPr>
      <w:r>
        <w:rPr>
          <w:sz w:val="21"/>
          <w:szCs w:val="21"/>
        </w:rPr>
        <w:t xml:space="preserve">Department for Education (2025a), </w:t>
      </w:r>
      <w:r>
        <w:rPr>
          <w:i/>
          <w:iCs/>
          <w:sz w:val="21"/>
          <w:szCs w:val="21"/>
        </w:rPr>
        <w:t xml:space="preserve">School Workforce in England: Reporting Year 2024</w:t>
      </w:r>
      <w:r>
        <w:rPr>
          <w:sz w:val="21"/>
          <w:szCs w:val="21"/>
        </w:rPr>
        <w:t xml:space="preserve">, Explore Education Statistics, London, https://explore-education-statistics.service.gov.uk/find-statistics/school-workforce-in-england/2024.</w:t>
      </w:r>
    </w:p>
    <w:p>
      <w:pPr>
        <w:spacing w:after="120"/>
        <w:ind w:left="567" w:hanging="567"/>
        <w:jc w:val="left"/>
      </w:pPr>
      <w:r>
        <w:rPr>
          <w:sz w:val="21"/>
          <w:szCs w:val="21"/>
        </w:rPr>
        <w:t xml:space="preserve">Department for Education (2025b), </w:t>
      </w:r>
      <w:r>
        <w:rPr>
          <w:i/>
          <w:iCs/>
          <w:sz w:val="21"/>
          <w:szCs w:val="21"/>
        </w:rPr>
        <w:t xml:space="preserve">Working Lives of Teachers and Leaders</w:t>
      </w:r>
      <w:r>
        <w:rPr>
          <w:sz w:val="21"/>
          <w:szCs w:val="21"/>
        </w:rPr>
        <w:t xml:space="preserve"> survey series (2022-2024 waves), Department for Education, London; figures cited as reported in SecEd (2025), "Teachers' working hours fall – to 48.1 a week", https://www.sec-ed.co.uk/content/news/teachers-weekly-working-hours-48-a-week.</w:t>
      </w:r>
    </w:p>
    <w:p>
      <w:pPr>
        <w:spacing w:after="120"/>
        <w:ind w:left="567" w:hanging="567"/>
        <w:jc w:val="left"/>
      </w:pPr>
      <w:r>
        <w:rPr>
          <w:sz w:val="21"/>
          <w:szCs w:val="21"/>
        </w:rPr>
        <w:t xml:space="preserve">Department of Education (2019), </w:t>
      </w:r>
      <w:r>
        <w:rPr>
          <w:i/>
          <w:iCs/>
          <w:sz w:val="21"/>
          <w:szCs w:val="21"/>
        </w:rPr>
        <w:t xml:space="preserve">Circular 0054/2019 – Leave Schemes for Registered Teachers Employed in Recognised Primary and Post Primary Schools</w:t>
      </w:r>
      <w:r>
        <w:rPr>
          <w:sz w:val="21"/>
          <w:szCs w:val="21"/>
        </w:rPr>
        <w:t xml:space="preserve">, Department of Education, Dublin, https://assets.gov.ie/static/documents/Circular_0054.2019.pdf (accessed on 4 August 2026).</w:t>
      </w:r>
    </w:p>
    <w:p>
      <w:pPr>
        <w:spacing w:after="120"/>
        <w:ind w:left="567" w:hanging="567"/>
        <w:jc w:val="left"/>
      </w:pPr>
      <w:r>
        <w:rPr>
          <w:sz w:val="21"/>
          <w:szCs w:val="21"/>
        </w:rPr>
        <w:t xml:space="preserve">Department of Education and Youth (2025), </w:t>
      </w:r>
      <w:r>
        <w:rPr>
          <w:i/>
          <w:iCs/>
          <w:sz w:val="21"/>
          <w:szCs w:val="21"/>
        </w:rPr>
        <w:t xml:space="preserve">Information Note TC/IN 0005/2025 – Temporary changes to the Career Break Scheme for Registered Teachers employed in Recognised Primary and Post Primary Schools – 2025/26 School Year</w:t>
      </w:r>
      <w:r>
        <w:rPr>
          <w:sz w:val="21"/>
          <w:szCs w:val="21"/>
        </w:rPr>
        <w:t xml:space="preserve">, Department of Education and Youth, Dublin, 26 June 2025, https://assets.gov.ie/static/documents/TC.IN_0005.2025_Information_Note_Career_Break_for_Teachers_25.26_school_year.pdf (accessed on 4 August 2026).</w:t>
      </w:r>
    </w:p>
    <w:p>
      <w:pPr>
        <w:spacing w:after="120"/>
        <w:ind w:left="567" w:hanging="567"/>
        <w:jc w:val="left"/>
      </w:pPr>
      <w:r>
        <w:rPr>
          <w:sz w:val="21"/>
          <w:szCs w:val="21"/>
        </w:rPr>
        <w:t xml:space="preserve">Deutsches Schulportal (2023), "Mehrheit der Länder wirbt gezielt um Lehrkräfte im Pensionsalter" (Länderüberblick survey, 2 August 2023), Robert Bosch Stiftung, https://deutsches-schulportal.de/bildungswesen/laenderueberblick-umfrage-lehrermangel-pensionierte-lehrer/ (accessed on 5 August 2026).</w:t>
      </w:r>
    </w:p>
    <w:p>
      <w:pPr>
        <w:spacing w:after="120"/>
        <w:ind w:left="567" w:hanging="567"/>
        <w:jc w:val="left"/>
      </w:pPr>
      <w:r>
        <w:rPr>
          <w:sz w:val="21"/>
          <w:szCs w:val="21"/>
        </w:rPr>
        <w:t xml:space="preserve">Diário de Notícias (2024), "Governo queria 200 professores reformados nas escolas. Regressam 63", dn.pt, 3 December 2024, https://www.dn.pt/5687900830/governo-queria-200-professores-reformados-nas-escolas-regressam-63 (accessed on 4 August 2026).</w:t>
      </w:r>
    </w:p>
    <w:p>
      <w:pPr>
        <w:spacing w:after="120"/>
        <w:ind w:left="567" w:hanging="567"/>
        <w:jc w:val="left"/>
      </w:pPr>
      <w:r>
        <w:rPr>
          <w:sz w:val="21"/>
          <w:szCs w:val="21"/>
        </w:rPr>
        <w:t xml:space="preserve">DUO (2026), "Stille reserve oud-leraren in het onderwijs afgelopen 10 jaar afgenomen", press release, 28 May 2026, Dienst Uitvoering Onderwijs, https://duo.nl/organisatie/pers/stille-reserve-oud-leraren-in-het-onderwijs-afgelopen-10-jaar-afgenomen.jsp (accessed on 4 August 2026).</w:t>
      </w:r>
    </w:p>
    <w:p>
      <w:pPr>
        <w:spacing w:after="120"/>
        <w:ind w:left="567" w:hanging="567"/>
        <w:jc w:val="left"/>
      </w:pPr>
      <w:r>
        <w:rPr>
          <w:sz w:val="21"/>
          <w:szCs w:val="21"/>
        </w:rPr>
        <w:t xml:space="preserve">European Commission (2023), </w:t>
      </w:r>
      <w:r>
        <w:rPr>
          <w:i/>
          <w:iCs/>
          <w:sz w:val="21"/>
          <w:szCs w:val="21"/>
        </w:rPr>
        <w:t xml:space="preserve">Education and Training Monitor 2023: Comparative Report</w:t>
      </w:r>
      <w:r>
        <w:rPr>
          <w:sz w:val="21"/>
          <w:szCs w:val="21"/>
        </w:rPr>
        <w:t xml:space="preserve">, Publications Office of the European Union, Luxembourg, https://op.europa.eu/webpub/eac/education-and-training-monitor-2023/ (accessed on 4 August 2026).</w:t>
      </w:r>
    </w:p>
    <w:p>
      <w:pPr>
        <w:spacing w:after="120"/>
        <w:ind w:left="567" w:hanging="567"/>
        <w:jc w:val="left"/>
      </w:pPr>
      <w:r>
        <w:rPr>
          <w:sz w:val="21"/>
          <w:szCs w:val="21"/>
        </w:rPr>
        <w:t xml:space="preserve">Feng, L. and T. Sass (2018), "The impact of incentives to recruit and retain teachers in 'hard-to-staff' subjects", </w:t>
      </w:r>
      <w:r>
        <w:rPr>
          <w:i/>
          <w:iCs/>
          <w:sz w:val="21"/>
          <w:szCs w:val="21"/>
        </w:rPr>
        <w:t xml:space="preserve">Journal of Policy Analysis and Management</w:t>
      </w:r>
      <w:r>
        <w:rPr>
          <w:sz w:val="21"/>
          <w:szCs w:val="21"/>
        </w:rPr>
        <w:t xml:space="preserve">, Vol. 37/1, pp. 112-135, https://onlinelibrary.wiley.com/doi/10.1002/pam.22037 (accessed on 4 August 2026).</w:t>
      </w:r>
    </w:p>
    <w:p>
      <w:pPr>
        <w:spacing w:after="120"/>
        <w:ind w:left="567" w:hanging="567"/>
        <w:jc w:val="left"/>
      </w:pPr>
      <w:r>
        <w:rPr>
          <w:sz w:val="21"/>
          <w:szCs w:val="21"/>
        </w:rPr>
        <w:t xml:space="preserve">Fitzpatrick, M. D. (2015), "How much are public school teachers willing to pay for their retirement benefits?", </w:t>
      </w:r>
      <w:r>
        <w:rPr>
          <w:i/>
          <w:iCs/>
          <w:sz w:val="21"/>
          <w:szCs w:val="21"/>
        </w:rPr>
        <w:t xml:space="preserve">American Economic Journal: Economic Policy</w:t>
      </w:r>
      <w:r>
        <w:rPr>
          <w:sz w:val="21"/>
          <w:szCs w:val="21"/>
        </w:rPr>
        <w:t xml:space="preserve">, Vol. 7/4, https://www.aeaweb.org/articles?id=10.1257/pol.20140087 (accessed on 4 August 2026).</w:t>
      </w:r>
    </w:p>
    <w:p>
      <w:pPr>
        <w:spacing w:after="120"/>
        <w:ind w:left="567" w:hanging="567"/>
        <w:jc w:val="left"/>
      </w:pPr>
      <w:r>
        <w:rPr>
          <w:sz w:val="21"/>
          <w:szCs w:val="21"/>
        </w:rPr>
        <w:t xml:space="preserve">Fleck, L., M. Somers, T. Stolp, W. Groot, F. van Merode and R. de Vries (2025), "The Effectiveness of Interventions to Increase Employment in Education and Healthcare: A Systematic Literature Review", </w:t>
      </w:r>
      <w:r>
        <w:rPr>
          <w:i/>
          <w:iCs/>
          <w:sz w:val="21"/>
          <w:szCs w:val="21"/>
        </w:rPr>
        <w:t xml:space="preserve">De Economist</w:t>
      </w:r>
      <w:r>
        <w:rPr>
          <w:sz w:val="21"/>
          <w:szCs w:val="21"/>
        </w:rPr>
        <w:t xml:space="preserve">, Vol. 173, pp. 1-45, published online 16 December 2024, https://doi.org/10.1007/s10645-024-09440-8 (accessed on 5 August 2026).</w:t>
      </w:r>
    </w:p>
    <w:p>
      <w:pPr>
        <w:spacing w:after="120"/>
        <w:ind w:left="567" w:hanging="567"/>
        <w:jc w:val="left"/>
      </w:pPr>
      <w:r>
        <w:rPr>
          <w:sz w:val="21"/>
          <w:szCs w:val="21"/>
        </w:rPr>
        <w:t xml:space="preserve">Fried, L. P. et al. (2004), "A social model for health promotion for an aging population: Initial evidence on the Experience Corps model", </w:t>
      </w:r>
      <w:r>
        <w:rPr>
          <w:i/>
          <w:iCs/>
          <w:sz w:val="21"/>
          <w:szCs w:val="21"/>
        </w:rPr>
        <w:t xml:space="preserve">Journal of Urban Health</w:t>
      </w:r>
      <w:r>
        <w:rPr>
          <w:sz w:val="21"/>
          <w:szCs w:val="21"/>
        </w:rPr>
        <w:t xml:space="preserve">, Vol. 81/1, pp. 64-78, https://doi.org/10.1093/jurban/jth094 (accessed on 4 August 2026).</w:t>
      </w:r>
    </w:p>
    <w:p>
      <w:pPr>
        <w:spacing w:after="120"/>
        <w:ind w:left="567" w:hanging="567"/>
        <w:jc w:val="left"/>
      </w:pPr>
      <w:r>
        <w:rPr>
          <w:sz w:val="21"/>
          <w:szCs w:val="21"/>
        </w:rPr>
        <w:t xml:space="preserve">Fuchs, L. S., D. L. Compton, D. Fuchs, K. Paulsen, J. D. Bryant and C. L. Hamlett (2005), "The prevention, identification, and cognitive determinants of math difficulty", </w:t>
      </w:r>
      <w:r>
        <w:rPr>
          <w:i/>
          <w:iCs/>
          <w:sz w:val="21"/>
          <w:szCs w:val="21"/>
        </w:rPr>
        <w:t xml:space="preserve">Journal of Educational Psychology</w:t>
      </w:r>
      <w:r>
        <w:rPr>
          <w:sz w:val="21"/>
          <w:szCs w:val="21"/>
        </w:rPr>
        <w:t xml:space="preserve">, Vol. 97/3, pp. 493-513, https://doi.org/10.1037/0022-0663.97.3.493.</w:t>
      </w:r>
    </w:p>
    <w:p>
      <w:pPr>
        <w:spacing w:after="120"/>
        <w:ind w:left="567" w:hanging="567"/>
        <w:jc w:val="left"/>
      </w:pPr>
      <w:r>
        <w:rPr>
          <w:sz w:val="21"/>
          <w:szCs w:val="21"/>
        </w:rPr>
        <w:t xml:space="preserve">Georgia Department of Audits and Accounts, Performance Audit Division (2025), </w:t>
      </w:r>
      <w:r>
        <w:rPr>
          <w:i/>
          <w:iCs/>
          <w:sz w:val="21"/>
          <w:szCs w:val="21"/>
        </w:rPr>
        <w:t xml:space="preserve">Retired Teachers Return to Work: Requested Information on the Full-Time Employment of Retired Teachers</w:t>
      </w:r>
      <w:r>
        <w:rPr>
          <w:sz w:val="21"/>
          <w:szCs w:val="21"/>
        </w:rPr>
        <w:t xml:space="preserve">, Performance Audit Report No. 24-20, Atlanta, April 2025, https://www.audits.ga.gov/ReportSearch/download/32615 (accessed on 4 August 2026).</w:t>
      </w:r>
    </w:p>
    <w:p>
      <w:pPr>
        <w:spacing w:after="120"/>
        <w:ind w:left="567" w:hanging="567"/>
        <w:jc w:val="left"/>
      </w:pPr>
      <w:r>
        <w:rPr>
          <w:sz w:val="21"/>
          <w:szCs w:val="21"/>
        </w:rPr>
        <w:t xml:space="preserve">Gersten, R., E. Rolfhus, B. Clarke, L. E. Decker, C. Wilkins and J. Dimino (2015), "Intervention for first graders with limited number knowledge: Large-scale replication of a randomized controlled trial", </w:t>
      </w:r>
      <w:r>
        <w:rPr>
          <w:i/>
          <w:iCs/>
          <w:sz w:val="21"/>
          <w:szCs w:val="21"/>
        </w:rPr>
        <w:t xml:space="preserve">American Educational Research Journal</w:t>
      </w:r>
      <w:r>
        <w:rPr>
          <w:sz w:val="21"/>
          <w:szCs w:val="21"/>
        </w:rPr>
        <w:t xml:space="preserve">, Vol. 52/3, pp. 516-546, https://doi.org/10.3102/0002831214565787 (accessed on 4 August 2026).</w:t>
      </w:r>
    </w:p>
    <w:p>
      <w:pPr>
        <w:spacing w:after="120"/>
        <w:ind w:left="567" w:hanging="567"/>
        <w:jc w:val="left"/>
      </w:pPr>
      <w:r>
        <w:rPr>
          <w:sz w:val="21"/>
          <w:szCs w:val="21"/>
        </w:rPr>
        <w:t xml:space="preserve">Glazerman, S., E. Isenberg, S. Dolfin, M. Bleeker, A. Johnson, M. Grider and M. Jacobus (2010), </w:t>
      </w:r>
      <w:r>
        <w:rPr>
          <w:i/>
          <w:iCs/>
          <w:sz w:val="21"/>
          <w:szCs w:val="21"/>
        </w:rPr>
        <w:t xml:space="preserve">Impacts of Comprehensive Teacher Induction: Final Results from a Randomized Controlled Study</w:t>
      </w:r>
      <w:r>
        <w:rPr>
          <w:sz w:val="21"/>
          <w:szCs w:val="21"/>
        </w:rPr>
        <w:t xml:space="preserve"> (NCEE 2010-4028), National Center for Education Evaluation and Regional Assistance, Institute of Education Sciences, U.S. Department of Education, Washington, DC, https://ies.ed.gov/ncee/pubs/20104027/pdf/20104028.pdf.</w:t>
      </w:r>
    </w:p>
    <w:p>
      <w:pPr>
        <w:spacing w:after="120"/>
        <w:ind w:left="567" w:hanging="567"/>
        <w:jc w:val="left"/>
      </w:pPr>
      <w:r>
        <w:rPr>
          <w:sz w:val="21"/>
          <w:szCs w:val="21"/>
        </w:rPr>
        <w:t xml:space="preserve">Global News (2022), "Ontario allowing retired teachers to work more days in bid to address staffing shortages", 10 January 2022, https://globalnews.ca/news/8500734/ontario-retired-teachers-allowed-work-more-days-covid/ (accessed on 4 August 2026).</w:t>
      </w:r>
    </w:p>
    <w:p>
      <w:pPr>
        <w:spacing w:after="120"/>
        <w:ind w:left="567" w:hanging="567"/>
        <w:jc w:val="left"/>
      </w:pPr>
      <w:r>
        <w:rPr>
          <w:sz w:val="21"/>
          <w:szCs w:val="21"/>
        </w:rPr>
        <w:t xml:space="preserve">Grissom, J. A. and M. Reininger (2012), "Who Comes Back? A Longitudinal Analysis of the Reentry Behavior of Exiting Teachers", </w:t>
      </w:r>
      <w:r>
        <w:rPr>
          <w:i/>
          <w:iCs/>
          <w:sz w:val="21"/>
          <w:szCs w:val="21"/>
        </w:rPr>
        <w:t xml:space="preserve">Education Finance and Policy</w:t>
      </w:r>
      <w:r>
        <w:rPr>
          <w:sz w:val="21"/>
          <w:szCs w:val="21"/>
        </w:rPr>
        <w:t xml:space="preserve">, Vol. 7/4, pp. 425-454, https://direct.mit.edu/edfp/article-abstract/7/4/425/10162.</w:t>
      </w:r>
    </w:p>
    <w:p>
      <w:pPr>
        <w:spacing w:after="120"/>
        <w:ind w:left="567" w:hanging="567"/>
        <w:jc w:val="left"/>
      </w:pPr>
      <w:r>
        <w:rPr>
          <w:sz w:val="21"/>
          <w:szCs w:val="21"/>
        </w:rPr>
        <w:t xml:space="preserve">Hammer, K. and C. Alphonso (2010), "Ontario to monitor retired teachers' costly supply work", </w:t>
      </w:r>
      <w:r>
        <w:rPr>
          <w:i/>
          <w:iCs/>
          <w:sz w:val="21"/>
          <w:szCs w:val="21"/>
        </w:rPr>
        <w:t xml:space="preserve">The Globe and Mail</w:t>
      </w:r>
      <w:r>
        <w:rPr>
          <w:sz w:val="21"/>
          <w:szCs w:val="21"/>
        </w:rPr>
        <w:t xml:space="preserve">, 10 May 2010, https://www.theglobeandmail.com/news/national/ontario-to-monitor-retired-teachers-costly-supply-work/article1211108/ (accessed on 4 August 2026).</w:t>
      </w:r>
    </w:p>
    <w:p>
      <w:pPr>
        <w:spacing w:after="120"/>
        <w:ind w:left="567" w:hanging="567"/>
        <w:jc w:val="left"/>
      </w:pPr>
      <w:r>
        <w:rPr>
          <w:sz w:val="21"/>
          <w:szCs w:val="21"/>
        </w:rPr>
        <w:t xml:space="preserve">Harris, D. N. and S. J. Adams (2007), "Understanding the level and causes of teacher turnover: A comparison with other professions", </w:t>
      </w:r>
      <w:r>
        <w:rPr>
          <w:i/>
          <w:iCs/>
          <w:sz w:val="21"/>
          <w:szCs w:val="21"/>
        </w:rPr>
        <w:t xml:space="preserve">Economics of Education Review</w:t>
      </w:r>
      <w:r>
        <w:rPr>
          <w:sz w:val="21"/>
          <w:szCs w:val="21"/>
        </w:rPr>
        <w:t xml:space="preserve">, Vol. 26/3, pp. 325-337, https://www.sciencedirect.com/science/article/abs/pii/S027277570600029X.</w:t>
      </w:r>
    </w:p>
    <w:p>
      <w:pPr>
        <w:spacing w:after="120"/>
        <w:ind w:left="567" w:hanging="567"/>
        <w:jc w:val="left"/>
      </w:pPr>
      <w:r>
        <w:rPr>
          <w:sz w:val="21"/>
          <w:szCs w:val="21"/>
        </w:rPr>
        <w:t xml:space="preserve">Hessisches Ministerium für Kultus, Bildung und Chancen (2024), </w:t>
      </w:r>
      <w:r>
        <w:rPr>
          <w:i/>
          <w:iCs/>
          <w:sz w:val="21"/>
          <w:szCs w:val="21"/>
        </w:rPr>
        <w:t xml:space="preserve">Verlässlichkeit und Qualität – Hessen sichert die bestmögliche Unterrichtsversorgung</w:t>
      </w:r>
      <w:r>
        <w:rPr>
          <w:sz w:val="21"/>
          <w:szCs w:val="21"/>
        </w:rPr>
        <w:t xml:space="preserve">, Wiesbaden, https://kultus.hessen.de/sites/kultus.hessen.de/files/2024-03/handlungskonzept.pdf (accessed on 5 August 2026).</w:t>
      </w:r>
    </w:p>
    <w:p>
      <w:pPr>
        <w:spacing w:after="120"/>
        <w:ind w:left="567" w:hanging="567"/>
        <w:jc w:val="left"/>
      </w:pPr>
      <w:r>
        <w:rPr>
          <w:sz w:val="21"/>
          <w:szCs w:val="21"/>
        </w:rPr>
        <w:t xml:space="preserve">Jackson, C. K. and E. Bruegmann (2009), "Teaching students and teaching each other: The importance of peer learning for teachers", </w:t>
      </w:r>
      <w:r>
        <w:rPr>
          <w:i/>
          <w:iCs/>
          <w:sz w:val="21"/>
          <w:szCs w:val="21"/>
        </w:rPr>
        <w:t xml:space="preserve">American Economic Journal: Applied Economics</w:t>
      </w:r>
      <w:r>
        <w:rPr>
          <w:sz w:val="21"/>
          <w:szCs w:val="21"/>
        </w:rPr>
        <w:t xml:space="preserve">, Vol. 1/4, pp. 85-108, https://www.aeaweb.org/articles?id=10.1257/app.1.4.85.</w:t>
      </w:r>
    </w:p>
    <w:p>
      <w:pPr>
        <w:spacing w:after="120"/>
        <w:ind w:left="567" w:hanging="567"/>
        <w:jc w:val="left"/>
      </w:pPr>
      <w:r>
        <w:rPr>
          <w:sz w:val="21"/>
          <w:szCs w:val="21"/>
        </w:rPr>
        <w:t xml:space="preserve">Jarrold-Grapes, R. and P. P. Mahler (2024), "Retirees return to work: How a North Carolina policy helped staff high-need schools", </w:t>
      </w:r>
      <w:r>
        <w:rPr>
          <w:i/>
          <w:iCs/>
          <w:sz w:val="21"/>
          <w:szCs w:val="21"/>
        </w:rPr>
        <w:t xml:space="preserve">Education Policy Analysis Archives</w:t>
      </w:r>
      <w:r>
        <w:rPr>
          <w:sz w:val="21"/>
          <w:szCs w:val="21"/>
        </w:rPr>
        <w:t xml:space="preserve">, Vol. 32, No. 4, https://doi.org/10.14507/epaa.32.8241 (accessed on 4 August 2026).</w:t>
      </w:r>
    </w:p>
    <w:p>
      <w:pPr>
        <w:spacing w:after="120"/>
        <w:ind w:left="567" w:hanging="567"/>
        <w:jc w:val="left"/>
      </w:pPr>
      <w:r>
        <w:rPr>
          <w:sz w:val="21"/>
          <w:szCs w:val="21"/>
        </w:rPr>
        <w:t xml:space="preserve">Lindsay, J., N. Gnedko-Berry and C. Wan (2021), </w:t>
      </w:r>
      <w:r>
        <w:rPr>
          <w:i/>
          <w:iCs/>
          <w:sz w:val="21"/>
          <w:szCs w:val="21"/>
        </w:rPr>
        <w:t xml:space="preserve">Michigan Teachers Who Are Not Teaching: Who Are They, and What Would Motivate Them to Teach?</w:t>
      </w:r>
      <w:r>
        <w:rPr>
          <w:sz w:val="21"/>
          <w:szCs w:val="21"/>
        </w:rPr>
        <w:t xml:space="preserve"> (REL 2021-076), Regional Educational Laboratory Midwest, Institute of Education Sciences, U.S. Department of Education, Washington, DC, https://files.eric.ed.gov/fulltext/ED611790.pdf (Study Snapshot: https://eric.ed.gov/?id=ED611792) (accessed on 5 August 2026).</w:t>
      </w:r>
    </w:p>
    <w:p>
      <w:pPr>
        <w:spacing w:after="120"/>
        <w:ind w:left="567" w:hanging="567"/>
        <w:jc w:val="left"/>
      </w:pPr>
      <w:r>
        <w:rPr>
          <w:sz w:val="21"/>
          <w:szCs w:val="21"/>
        </w:rPr>
        <w:t xml:space="preserve">Lizalde Gil, M. and M. P. A. Cortés Pascual (2019), "10 mirrors: El acompañamiento y la orientación formativa de los estudiantes de los grados en magisterio desde la experiencia profesional", in P. Allueva Torres (coord.), </w:t>
      </w:r>
      <w:r>
        <w:rPr>
          <w:i/>
          <w:iCs/>
          <w:sz w:val="21"/>
          <w:szCs w:val="21"/>
        </w:rPr>
        <w:t xml:space="preserve">Orientación y calidad educativa universitarias</w:t>
      </w:r>
      <w:r>
        <w:rPr>
          <w:sz w:val="21"/>
          <w:szCs w:val="21"/>
        </w:rPr>
        <w:t xml:space="preserve">, Servicio de Publicaciones, Universidad de Zaragoza, Zaragoza, pp. 373-384, https://dialnet.unirioja.es/servlet/articulo?codigo=8153125.</w:t>
      </w:r>
    </w:p>
    <w:p>
      <w:pPr>
        <w:spacing w:after="120"/>
        <w:ind w:left="567" w:hanging="567"/>
        <w:jc w:val="left"/>
      </w:pPr>
      <w:r>
        <w:rPr>
          <w:sz w:val="21"/>
          <w:szCs w:val="21"/>
        </w:rPr>
        <w:t xml:space="preserve">Michigan Office of Retirement Services (2022), "Archive: PA 184 of 2022 – Change to working after retirement rules", https://www.michigan.gov/psru/administration-and-compliance/archive-legislative-updates/pa-184-of-2022---change-to-working-after-retirement-rules (accessed on 4 August 2026).</w:t>
      </w:r>
    </w:p>
    <w:p>
      <w:pPr>
        <w:spacing w:after="120"/>
        <w:ind w:left="567" w:hanging="567"/>
        <w:jc w:val="left"/>
      </w:pPr>
      <w:r>
        <w:rPr>
          <w:sz w:val="21"/>
          <w:szCs w:val="21"/>
        </w:rPr>
        <w:t xml:space="preserve">Michigan Office of Retirement Services (2023), "Public Act 147 of 2023 working after retirement FAQ", https://www.michigan.gov/psru/reporting-resources/frequently-asked-questions/public-act-147-of-2023-working-after-retirement-faq (accessed on 4 August 2026).</w:t>
      </w:r>
    </w:p>
    <w:p>
      <w:pPr>
        <w:spacing w:after="120"/>
        <w:ind w:left="567" w:hanging="567"/>
        <w:jc w:val="left"/>
      </w:pPr>
      <w:r>
        <w:rPr>
          <w:sz w:val="21"/>
          <w:szCs w:val="21"/>
        </w:rPr>
        <w:t xml:space="preserve">Ministerie van OCW (2017), "Regeling tegemoetkoming herintreders primair onderwijs", </w:t>
      </w:r>
      <w:r>
        <w:rPr>
          <w:i/>
          <w:iCs/>
          <w:sz w:val="21"/>
          <w:szCs w:val="21"/>
        </w:rPr>
        <w:t xml:space="preserve">Staatscourant</w:t>
      </w:r>
      <w:r>
        <w:rPr>
          <w:sz w:val="21"/>
          <w:szCs w:val="21"/>
        </w:rPr>
        <w:t xml:space="preserve"> 2017, No. 62002, https://zoek.officielebekendmakingen.nl/stcrt-2017-62002.html (accessed on 5 August 2026).</w:t>
      </w:r>
    </w:p>
    <w:p>
      <w:pPr>
        <w:spacing w:after="120"/>
        <w:ind w:left="567" w:hanging="567"/>
        <w:jc w:val="left"/>
      </w:pPr>
      <w:r>
        <w:rPr>
          <w:sz w:val="21"/>
          <w:szCs w:val="21"/>
        </w:rPr>
        <w:t xml:space="preserve">Ministerie van OCW (2019a), "Regeling tot wijziging van de Regeling tegemoetkoming herintreders primair onderwijs", </w:t>
      </w:r>
      <w:r>
        <w:rPr>
          <w:i/>
          <w:iCs/>
          <w:sz w:val="21"/>
          <w:szCs w:val="21"/>
        </w:rPr>
        <w:t xml:space="preserve">Staatscourant</w:t>
      </w:r>
      <w:r>
        <w:rPr>
          <w:sz w:val="21"/>
          <w:szCs w:val="21"/>
        </w:rPr>
        <w:t xml:space="preserve"> 2019, No. 28510, https://zoek.officielebekendmakingen.nl/stcrt-2019-28510.html (accessed on 5 August 2026).</w:t>
      </w:r>
    </w:p>
    <w:p>
      <w:pPr>
        <w:spacing w:after="120"/>
        <w:ind w:left="567" w:hanging="567"/>
        <w:jc w:val="left"/>
      </w:pPr>
      <w:r>
        <w:rPr>
          <w:sz w:val="21"/>
          <w:szCs w:val="21"/>
        </w:rPr>
        <w:t xml:space="preserve">Ministerie van OCW (2019b), "Subsidie voor herintreders", Nieuwsbrief, 3 July 2019, https://www.nieuwsbrievenminocw.nl/actueel/nieuws/2019/07/03/subsidie-voor-herintreders (accessed on 5 August 2026).</w:t>
      </w:r>
    </w:p>
    <w:p>
      <w:pPr>
        <w:spacing w:after="120"/>
        <w:ind w:left="567" w:hanging="567"/>
        <w:jc w:val="left"/>
      </w:pPr>
      <w:r>
        <w:rPr>
          <w:sz w:val="21"/>
          <w:szCs w:val="21"/>
        </w:rPr>
        <w:t xml:space="preserve">MOE (2025), "MOE to launch 2025 National Silver Age Teacher Action Plan", Ministry of Education of the People's Republic of China, 11 October 2025, http://en.moe.gov.cn/news/press_releases/202510/t20251011_1416386.html.</w:t>
      </w:r>
    </w:p>
    <w:p>
      <w:pPr>
        <w:spacing w:after="120"/>
        <w:ind w:left="567" w:hanging="567"/>
        <w:jc w:val="left"/>
      </w:pPr>
      <w:r>
        <w:rPr>
          <w:sz w:val="21"/>
          <w:szCs w:val="21"/>
        </w:rPr>
        <w:t xml:space="preserve">MOE and MOF (2018), 教育部 财政部关于印发《银龄讲学计划实施方案》的通知 [Notice on Issuing the Implementation Scheme of the Silver Age Lecturing Plan], 教师〔2018〕7号, Ministry of Education and Ministry of Finance, Beijing, July 2018, http://www.moe.gov.cn/srcsite/A10/s7151/201807/t20180719_343448.html (accessed on 4 August 2026).</w:t>
      </w:r>
    </w:p>
    <w:p>
      <w:pPr>
        <w:spacing w:after="120"/>
        <w:ind w:left="567" w:hanging="567"/>
        <w:jc w:val="left"/>
      </w:pPr>
      <w:r>
        <w:rPr>
          <w:sz w:val="21"/>
          <w:szCs w:val="21"/>
        </w:rPr>
        <w:t xml:space="preserve">MOE et al. (2023), 教育部等十部门关于印发《国家银龄教师行动计划》的通知 [Notice by the Ministry of Education and Nine Other Departments on Issuing the National Silver Age Teachers Action Plan], 教师〔2023〕6号, 14 July 2023, https://www.gov.cn/zhengce/zhengceku/202308/content_6900984.htm (accessed on 4 August 2026).</w:t>
      </w:r>
    </w:p>
    <w:p>
      <w:pPr>
        <w:spacing w:after="120"/>
        <w:ind w:left="567" w:hanging="567"/>
        <w:jc w:val="left"/>
      </w:pPr>
      <w:r>
        <w:rPr>
          <w:sz w:val="21"/>
          <w:szCs w:val="21"/>
        </w:rPr>
        <w:t xml:space="preserve">Morrow-Howell, N., M. Jonson-Reid, S. McCrary, Y. Lee and E. Spitznagel (2009), </w:t>
      </w:r>
      <w:r>
        <w:rPr>
          <w:i/>
          <w:iCs/>
          <w:sz w:val="21"/>
          <w:szCs w:val="21"/>
        </w:rPr>
        <w:t xml:space="preserve">Evaluation of Experience Corps: Student Reading Outcomes</w:t>
      </w:r>
      <w:r>
        <w:rPr>
          <w:sz w:val="21"/>
          <w:szCs w:val="21"/>
        </w:rPr>
        <w:t xml:space="preserve"> (CSD Research Report 09-01), Center for Social Development, Washington University in St. Louis, https://csd.wustl.edu/09-01/ (accessed on 5 August 2026).</w:t>
      </w:r>
    </w:p>
    <w:p>
      <w:pPr>
        <w:spacing w:after="120"/>
        <w:ind w:left="567" w:hanging="567"/>
        <w:jc w:val="left"/>
      </w:pPr>
      <w:r>
        <w:rPr>
          <w:sz w:val="21"/>
          <w:szCs w:val="21"/>
        </w:rPr>
        <w:t xml:space="preserve">Moyer, A. (2022), "Has 'Who Comes Back' Changed? Teacher Reentry 2000-2019", </w:t>
      </w:r>
      <w:r>
        <w:rPr>
          <w:i/>
          <w:iCs/>
          <w:sz w:val="21"/>
          <w:szCs w:val="21"/>
        </w:rPr>
        <w:t xml:space="preserve">Educational Researcher</w:t>
      </w:r>
      <w:r>
        <w:rPr>
          <w:sz w:val="21"/>
          <w:szCs w:val="21"/>
        </w:rPr>
        <w:t xml:space="preserve">, Vol. 51/8, pp. 544-546, https://doi.org/10.3102/0013189X221122746.</w:t>
      </w:r>
    </w:p>
    <w:p>
      <w:pPr>
        <w:spacing w:after="120"/>
        <w:ind w:left="567" w:hanging="567"/>
        <w:jc w:val="left"/>
      </w:pPr>
      <w:r>
        <w:rPr>
          <w:sz w:val="21"/>
          <w:szCs w:val="21"/>
        </w:rPr>
        <w:t xml:space="preserve">NCES (2023), "Eight Percent of Public School Teachers Left Teaching in 2021, a Rate Unchanged Since Last Measured in 2012", press release, 13 December 2023, National Center for Education Statistics, https://ies.ed.gov/learn/press-release/eight-percent-public-school-teachers-left-teaching-2021-rate-unchanged-last-measured-2012; First Look report: </w:t>
      </w:r>
      <w:r>
        <w:rPr>
          <w:i/>
          <w:iCs/>
          <w:sz w:val="21"/>
          <w:szCs w:val="21"/>
        </w:rPr>
        <w:t xml:space="preserve">Teacher Attrition and Mobility: Results From the 2021-22 Teacher Follow-up Survey to the National Teacher and Principal Survey</w:t>
      </w:r>
      <w:r>
        <w:rPr>
          <w:sz w:val="21"/>
          <w:szCs w:val="21"/>
        </w:rPr>
        <w:t xml:space="preserve"> (NCES 2024-039), https://nces.ed.gov/pubs2024/2024039M.pdf.</w:t>
      </w:r>
    </w:p>
    <w:p>
      <w:pPr>
        <w:spacing w:after="120"/>
        <w:ind w:left="567" w:hanging="567"/>
        <w:jc w:val="left"/>
      </w:pPr>
      <w:r>
        <w:rPr>
          <w:sz w:val="21"/>
          <w:szCs w:val="21"/>
        </w:rPr>
        <w:t xml:space="preserve">NCTL (2017), </w:t>
      </w:r>
      <w:r>
        <w:rPr>
          <w:i/>
          <w:iCs/>
          <w:sz w:val="21"/>
          <w:szCs w:val="21"/>
        </w:rPr>
        <w:t xml:space="preserve">Returners Engagement Programme Pilot: Programme and Application Guidance</w:t>
      </w:r>
      <w:r>
        <w:rPr>
          <w:sz w:val="21"/>
          <w:szCs w:val="21"/>
        </w:rPr>
        <w:t xml:space="preserve">, National College for Teaching and Leadership, January 2017, https://dera.ioe.ac.uk/28252/1/returners-engagement-programme-application-guidance-cohort-2.pdf (accessed on 4 August 2026).</w:t>
      </w:r>
    </w:p>
    <w:p>
      <w:pPr>
        <w:spacing w:after="120"/>
        <w:ind w:left="567" w:hanging="567"/>
        <w:jc w:val="left"/>
      </w:pPr>
      <w:r>
        <w:rPr>
          <w:sz w:val="21"/>
          <w:szCs w:val="21"/>
        </w:rPr>
        <w:t xml:space="preserve">New Mexico Educational Retirement Board (2023), </w:t>
      </w:r>
      <w:r>
        <w:rPr>
          <w:i/>
          <w:iCs/>
          <w:sz w:val="21"/>
          <w:szCs w:val="21"/>
        </w:rPr>
        <w:t xml:space="preserve">Discussion on Return to Work</w:t>
      </w:r>
      <w:r>
        <w:rPr>
          <w:sz w:val="21"/>
          <w:szCs w:val="21"/>
        </w:rPr>
        <w:t xml:space="preserve">, presentation to the Investments &amp; Pensions Oversight Committee, 31 October 2023, https://www.nmlegis.gov/handouts/IPOC%20103123%20Item%204%20E.%20Educational%20Retirement%20Board--Return%20to%20Work.pdf (accessed on 4 August 2026).</w:t>
      </w:r>
    </w:p>
    <w:p>
      <w:pPr>
        <w:spacing w:after="120"/>
        <w:ind w:left="567" w:hanging="567"/>
        <w:jc w:val="left"/>
      </w:pPr>
      <w:r>
        <w:rPr>
          <w:sz w:val="21"/>
          <w:szCs w:val="21"/>
        </w:rPr>
        <w:t xml:space="preserve">New Mexico Educational Retirement Board (2025), "Recent Legislation / Legislative Proposals" (SB 133 of 2025), https://www.erb.nm.gov/legislation/recent-legislation-legislative-proposals/ (accessed on 4 August 2026).</w:t>
      </w:r>
    </w:p>
    <w:p>
      <w:pPr>
        <w:spacing w:after="120"/>
        <w:ind w:left="567" w:hanging="567"/>
        <w:jc w:val="left"/>
      </w:pPr>
      <w:r>
        <w:rPr>
          <w:sz w:val="21"/>
          <w:szCs w:val="21"/>
        </w:rPr>
        <w:t xml:space="preserve">New Mexico Legislature (2022), "HB 73: Educational Retirees Returning to Work", 2022 Regular Session, Chapter 20, https://www.nmlegis.gov/Legislation/Legislation?chamber=H&amp;legType=B&amp;legNo=73&amp;year=22 (accessed on 4 August 2026).</w:t>
      </w:r>
    </w:p>
    <w:p>
      <w:pPr>
        <w:spacing w:after="120"/>
        <w:ind w:left="567" w:hanging="567"/>
        <w:jc w:val="left"/>
      </w:pPr>
      <w:r>
        <w:rPr>
          <w:sz w:val="21"/>
          <w:szCs w:val="21"/>
        </w:rPr>
        <w:t xml:space="preserve">New Zealand Government (2025), "New Teacher Bonding Scheme supports schools and teachers", Beehive press release, Hon Erica Stanford, 19 September 2025, https://www.beehive.govt.nz/release/new-teacher-bonding-scheme-supports-schools-and-teachers.</w:t>
      </w:r>
    </w:p>
    <w:p>
      <w:pPr>
        <w:spacing w:after="120"/>
        <w:ind w:left="567" w:hanging="567"/>
        <w:jc w:val="left"/>
      </w:pPr>
      <w:r>
        <w:rPr>
          <w:sz w:val="21"/>
          <w:szCs w:val="21"/>
        </w:rPr>
        <w:t xml:space="preserve">New Zealand Legislation (2020), </w:t>
      </w:r>
      <w:r>
        <w:rPr>
          <w:i/>
          <w:iCs/>
          <w:sz w:val="21"/>
          <w:szCs w:val="21"/>
        </w:rPr>
        <w:t xml:space="preserve">Education and Training Act 2020</w:t>
      </w:r>
      <w:r>
        <w:rPr>
          <w:sz w:val="21"/>
          <w:szCs w:val="21"/>
        </w:rPr>
        <w:t xml:space="preserve">, No 38, Schedule 3, https://www.legislation.govt.nz/act/public/2020/0038/latest/LMS261224.html (accessed on 4 August 2026).</w:t>
      </w:r>
    </w:p>
    <w:p>
      <w:pPr>
        <w:spacing w:after="120"/>
        <w:ind w:left="567" w:hanging="567"/>
        <w:jc w:val="left"/>
      </w:pPr>
      <w:r>
        <w:rPr>
          <w:sz w:val="21"/>
          <w:szCs w:val="21"/>
        </w:rPr>
        <w:t xml:space="preserve">New Zealand Ministry of Education (2026), "Looking for a relief teacher", Education Workforce website, Te Tāhuhu o te Mātauranga, updated 18 June 2026, https://workforce.education.govt.nz/principals-and-schools/local-employment-and-recruitment-support/looking-relief-teacher (accessed on 4 August 2026).</w:t>
      </w:r>
    </w:p>
    <w:p>
      <w:pPr>
        <w:spacing w:after="120"/>
        <w:ind w:left="567" w:hanging="567"/>
        <w:jc w:val="left"/>
      </w:pPr>
      <w:r>
        <w:rPr>
          <w:sz w:val="21"/>
          <w:szCs w:val="21"/>
        </w:rPr>
        <w:t xml:space="preserve">Nguyen, T. D., E. Bettini, C. Redding and A. F. Gilmour (2025), "Comparing Teacher Turnover Intentions to Actual Turnover: Cautions and Lessons for the Field", </w:t>
      </w:r>
      <w:r>
        <w:rPr>
          <w:i/>
          <w:iCs/>
          <w:sz w:val="21"/>
          <w:szCs w:val="21"/>
        </w:rPr>
        <w:t xml:space="preserve">Educational Evaluation and Policy Analysis</w:t>
      </w:r>
      <w:r>
        <w:rPr>
          <w:sz w:val="21"/>
          <w:szCs w:val="21"/>
        </w:rPr>
        <w:t xml:space="preserve">, https://journals.sagepub.com/doi/abs/10.3102/01623737241249459.</w:t>
      </w:r>
    </w:p>
    <w:p>
      <w:pPr>
        <w:spacing w:after="120"/>
        <w:ind w:left="567" w:hanging="567"/>
        <w:jc w:val="left"/>
      </w:pPr>
      <w:r>
        <w:rPr>
          <w:sz w:val="21"/>
          <w:szCs w:val="21"/>
        </w:rPr>
        <w:t xml:space="preserve">Nguyen, T. D., L. D. Pham, M. Crouch and M. G. Springer (2020), "The correlates of teacher turnover: An updated and expanded meta-analysis of the literature", </w:t>
      </w:r>
      <w:r>
        <w:rPr>
          <w:i/>
          <w:iCs/>
          <w:sz w:val="21"/>
          <w:szCs w:val="21"/>
        </w:rPr>
        <w:t xml:space="preserve">Educational Research Review</w:t>
      </w:r>
      <w:r>
        <w:rPr>
          <w:sz w:val="21"/>
          <w:szCs w:val="21"/>
        </w:rPr>
        <w:t xml:space="preserve">, Vol. 31, 100355, https://www.sciencedirect.com/science/article/abs/pii/S1747938X19305597.</w:t>
      </w:r>
    </w:p>
    <w:p>
      <w:pPr>
        <w:spacing w:after="120"/>
        <w:ind w:left="567" w:hanging="567"/>
        <w:jc w:val="left"/>
      </w:pPr>
      <w:r>
        <w:rPr>
          <w:sz w:val="21"/>
          <w:szCs w:val="21"/>
        </w:rPr>
        <w:t xml:space="preserve">Nickow, A., P. Oreopoulos and V. Quan (2024), "The promise of tutoring for preK-12 learning: A systematic review and meta-analysis of the experimental evidence", </w:t>
      </w:r>
      <w:r>
        <w:rPr>
          <w:i/>
          <w:iCs/>
          <w:sz w:val="21"/>
          <w:szCs w:val="21"/>
        </w:rPr>
        <w:t xml:space="preserve">American Educational Research Journal</w:t>
      </w:r>
      <w:r>
        <w:rPr>
          <w:sz w:val="21"/>
          <w:szCs w:val="21"/>
        </w:rPr>
        <w:t xml:space="preserve">, Vol. 61/1, pp. 74-107, https://journals.sagepub.com/doi/10.3102/00028312231208687.</w:t>
      </w:r>
    </w:p>
    <w:p>
      <w:pPr>
        <w:spacing w:after="120"/>
        <w:ind w:left="567" w:hanging="567"/>
        <w:jc w:val="left"/>
      </w:pPr>
      <w:r>
        <w:rPr>
          <w:sz w:val="21"/>
          <w:szCs w:val="21"/>
        </w:rPr>
        <w:t xml:space="preserve">Nippon.com (2022), "Survey Reveals Teacher Shortage in Japan", 15 March 2022, https://www.nippon.com/en/japan-data/h01264/ (accessed on 5 August 2026).</w:t>
      </w:r>
    </w:p>
    <w:p>
      <w:pPr>
        <w:spacing w:after="120"/>
        <w:ind w:left="567" w:hanging="567"/>
        <w:jc w:val="left"/>
      </w:pPr>
      <w:r>
        <w:rPr>
          <w:sz w:val="21"/>
          <w:szCs w:val="21"/>
        </w:rPr>
        <w:t xml:space="preserve">Nippon.com (2026), "3,827 Teacher Positions Unfilled across Japan: 2025 Survey", https://www.nippon.com/en/news/yjj2026030500966/ (accessed on 5 August 2026).</w:t>
      </w:r>
    </w:p>
    <w:p>
      <w:pPr>
        <w:spacing w:after="120"/>
        <w:ind w:left="567" w:hanging="567"/>
        <w:jc w:val="left"/>
      </w:pPr>
      <w:r>
        <w:rPr>
          <w:sz w:val="21"/>
          <w:szCs w:val="21"/>
        </w:rPr>
        <w:t xml:space="preserve">NSW Department of Education (2024), </w:t>
      </w:r>
      <w:r>
        <w:rPr>
          <w:i/>
          <w:iCs/>
          <w:sz w:val="21"/>
          <w:szCs w:val="21"/>
        </w:rPr>
        <w:t xml:space="preserve">NSW Department of Education Annual Report 2023-24</w:t>
      </w:r>
      <w:r>
        <w:rPr>
          <w:sz w:val="21"/>
          <w:szCs w:val="21"/>
        </w:rPr>
        <w:t xml:space="preserve">, Sydney, https://education.nsw.gov.au/content/dam/main-education/en/home/about-us/strategies-and-reports/annual-reports/nsw-doe-annual-report-2023-24.pdf (accessed on 4 August 2026).</w:t>
      </w:r>
    </w:p>
    <w:p>
      <w:pPr>
        <w:spacing w:after="120"/>
        <w:ind w:left="567" w:hanging="567"/>
        <w:jc w:val="left"/>
      </w:pPr>
      <w:r>
        <w:rPr>
          <w:sz w:val="21"/>
          <w:szCs w:val="21"/>
        </w:rPr>
        <w:t xml:space="preserve">NSW Department of Education (2025), </w:t>
      </w:r>
      <w:r>
        <w:rPr>
          <w:i/>
          <w:iCs/>
          <w:sz w:val="21"/>
          <w:szCs w:val="21"/>
        </w:rPr>
        <w:t xml:space="preserve">Annual Report 2024-25</w:t>
      </w:r>
      <w:r>
        <w:rPr>
          <w:sz w:val="21"/>
          <w:szCs w:val="21"/>
        </w:rPr>
        <w:t xml:space="preserve">, Sydney, https://education.nsw.gov.au/content/dam/main-education/en/home/about-us/strategies-and-reports/annual-reports/DoE_Annual_Report_2024-25.pdf (accessed on 4 August 2026).</w:t>
      </w:r>
    </w:p>
    <w:p>
      <w:pPr>
        <w:spacing w:after="120"/>
        <w:ind w:left="567" w:hanging="567"/>
        <w:jc w:val="left"/>
      </w:pPr>
      <w:r>
        <w:rPr>
          <w:sz w:val="21"/>
          <w:szCs w:val="21"/>
        </w:rPr>
        <w:t xml:space="preserve">NSW Department of Education (2026), "Returning teachers", teach.NSW webpage, last updated 8 July 2026, https://education.nsw.gov.au/teach-nsw/find-teaching-jobs/returning-teachers (accessed on 4 August 2026).</w:t>
      </w:r>
    </w:p>
    <w:p>
      <w:pPr>
        <w:spacing w:after="120"/>
        <w:ind w:left="567" w:hanging="567"/>
        <w:jc w:val="left"/>
      </w:pPr>
      <w:r>
        <w:rPr>
          <w:sz w:val="21"/>
          <w:szCs w:val="21"/>
        </w:rPr>
        <w:t xml:space="preserve">NSW Government (2024), "Retired teachers return to classrooms as part of initiative to address shortage", media release, Minister for Education and Early Learning, 8 May 2024, https://www.nsw.gov.au/media-releases/retired-teachers-return-to-classrooms (accessed on 4 August 2026).</w:t>
      </w:r>
    </w:p>
    <w:p>
      <w:pPr>
        <w:spacing w:after="120"/>
        <w:ind w:left="567" w:hanging="567"/>
        <w:jc w:val="left"/>
      </w:pPr>
      <w:r>
        <w:rPr>
          <w:sz w:val="21"/>
          <w:szCs w:val="21"/>
        </w:rPr>
        <w:t xml:space="preserve">OCEOTA (2024), "OTF Decision on 50-day rule", Ontario Catholic English Occasional Teachers Association, 18 March 2024, http://oceota.com/2024/03/18/otf-decision-on-50-day-rule/ (accessed on 4 August 2026).</w:t>
      </w:r>
    </w:p>
    <w:p>
      <w:pPr>
        <w:spacing w:after="120"/>
        <w:ind w:left="567" w:hanging="567"/>
        <w:jc w:val="left"/>
      </w:pPr>
      <w:r>
        <w:rPr>
          <w:sz w:val="21"/>
          <w:szCs w:val="21"/>
        </w:rPr>
        <w:t xml:space="preserve">OECD (2005), </w:t>
      </w:r>
      <w:r>
        <w:rPr>
          <w:i/>
          <w:iCs/>
          <w:sz w:val="21"/>
          <w:szCs w:val="21"/>
        </w:rPr>
        <w:t xml:space="preserve">Teachers Matter: Attracting, Developing and Retaining Effective Teachers</w:t>
      </w:r>
      <w:r>
        <w:rPr>
          <w:sz w:val="21"/>
          <w:szCs w:val="21"/>
        </w:rPr>
        <w:t xml:space="preserve">, Education and Training Policy, OECD Publishing, Paris, https://doi.org/10.1787/9789264018044-en (accessed on 5 August 2026).</w:t>
      </w:r>
    </w:p>
    <w:p>
      <w:pPr>
        <w:spacing w:after="120"/>
        <w:ind w:left="567" w:hanging="567"/>
        <w:jc w:val="left"/>
      </w:pPr>
      <w:r>
        <w:rPr>
          <w:sz w:val="21"/>
          <w:szCs w:val="21"/>
        </w:rPr>
        <w:t xml:space="preserve">OECD (2019), </w:t>
      </w:r>
      <w:r>
        <w:rPr>
          <w:i/>
          <w:iCs/>
          <w:sz w:val="21"/>
          <w:szCs w:val="21"/>
        </w:rPr>
        <w:t xml:space="preserve">TALIS 2018 Results (Volume I): Teachers and School Leaders as Lifelong Learners</w:t>
      </w:r>
      <w:r>
        <w:rPr>
          <w:sz w:val="21"/>
          <w:szCs w:val="21"/>
        </w:rPr>
        <w:t xml:space="preserve">, TALIS, OECD Publishing, Paris, https://doi.org/10.1787/1d0bc92a-en (accessed on 5 August 2026).</w:t>
      </w:r>
    </w:p>
    <w:p>
      <w:pPr>
        <w:spacing w:after="120"/>
        <w:ind w:left="567" w:hanging="567"/>
        <w:jc w:val="left"/>
      </w:pPr>
      <w:r>
        <w:rPr>
          <w:sz w:val="21"/>
          <w:szCs w:val="21"/>
        </w:rPr>
        <w:t xml:space="preserve">OECD (2020), </w:t>
      </w:r>
      <w:r>
        <w:rPr>
          <w:i/>
          <w:iCs/>
          <w:sz w:val="21"/>
          <w:szCs w:val="21"/>
        </w:rPr>
        <w:t xml:space="preserve">TALIS 2018 Results (Volume II): Teachers and School Leaders as Valued Professionals</w:t>
      </w:r>
      <w:r>
        <w:rPr>
          <w:sz w:val="21"/>
          <w:szCs w:val="21"/>
        </w:rPr>
        <w:t xml:space="preserve">, TALIS, OECD Publishing, Paris, https://doi.org/10.1787/19cf08df-en (report page: https://www.oecd.org/en/publications/talis-2018-results-volume-ii_19cf08df-en.html).</w:t>
      </w:r>
    </w:p>
    <w:p>
      <w:pPr>
        <w:spacing w:after="120"/>
        <w:ind w:left="567" w:hanging="567"/>
        <w:jc w:val="left"/>
      </w:pPr>
      <w:r>
        <w:rPr>
          <w:sz w:val="21"/>
          <w:szCs w:val="21"/>
        </w:rPr>
        <w:t xml:space="preserve">OECD (2023a), </w:t>
      </w:r>
      <w:r>
        <w:rPr>
          <w:i/>
          <w:iCs/>
          <w:sz w:val="21"/>
          <w:szCs w:val="21"/>
        </w:rPr>
        <w:t xml:space="preserve">PISA 2022 Results (Volume I): The State of Learning and Equity in Education</w:t>
      </w:r>
      <w:r>
        <w:rPr>
          <w:sz w:val="21"/>
          <w:szCs w:val="21"/>
        </w:rPr>
        <w:t xml:space="preserve">, PISA, OECD Publishing, Paris, https://doi.org/10.1787/53f23881-en (report page: https://www.oecd.org/en/publications/pisa-2022-results-volume-i_53f23881-en.html) (accessed on 5 August 2026).</w:t>
      </w:r>
    </w:p>
    <w:p>
      <w:pPr>
        <w:spacing w:after="120"/>
        <w:ind w:left="567" w:hanging="567"/>
        <w:jc w:val="left"/>
      </w:pPr>
      <w:r>
        <w:rPr>
          <w:sz w:val="21"/>
          <w:szCs w:val="21"/>
        </w:rPr>
        <w:t xml:space="preserve">OECD (2023b), </w:t>
      </w:r>
      <w:r>
        <w:rPr>
          <w:i/>
          <w:iCs/>
          <w:sz w:val="21"/>
          <w:szCs w:val="21"/>
        </w:rPr>
        <w:t xml:space="preserve">PISA 2022 Results (Volume II): Learning During – and From – Disruption</w:t>
      </w:r>
      <w:r>
        <w:rPr>
          <w:sz w:val="21"/>
          <w:szCs w:val="21"/>
        </w:rPr>
        <w:t xml:space="preserve">, PISA, OECD Publishing, Paris, https://doi.org/10.1787/a97db61c-en (accessed on 5 August 2026).</w:t>
      </w:r>
    </w:p>
    <w:p>
      <w:pPr>
        <w:spacing w:after="120"/>
        <w:ind w:left="567" w:hanging="567"/>
        <w:jc w:val="left"/>
      </w:pPr>
      <w:r>
        <w:rPr>
          <w:sz w:val="21"/>
          <w:szCs w:val="21"/>
        </w:rPr>
        <w:t xml:space="preserve">OECD (2024), </w:t>
      </w:r>
      <w:r>
        <w:rPr>
          <w:i/>
          <w:iCs/>
          <w:sz w:val="21"/>
          <w:szCs w:val="21"/>
        </w:rPr>
        <w:t xml:space="preserve">Education Policy Outlook 2024: Reshaping Teaching into a Thriving Profession from ABCs to AI</w:t>
      </w:r>
      <w:r>
        <w:rPr>
          <w:sz w:val="21"/>
          <w:szCs w:val="21"/>
        </w:rPr>
        <w:t xml:space="preserve">, OECD Publishing, Paris, https://doi.org/10.1787/dd5140e4-en (accessed on 5 August 2026).</w:t>
      </w:r>
    </w:p>
    <w:p>
      <w:pPr>
        <w:spacing w:after="120"/>
        <w:ind w:left="567" w:hanging="567"/>
        <w:jc w:val="left"/>
      </w:pPr>
      <w:r>
        <w:rPr>
          <w:sz w:val="21"/>
          <w:szCs w:val="21"/>
        </w:rPr>
        <w:t xml:space="preserve">OECD (2025a), </w:t>
      </w:r>
      <w:r>
        <w:rPr>
          <w:i/>
          <w:iCs/>
          <w:sz w:val="21"/>
          <w:szCs w:val="21"/>
        </w:rPr>
        <w:t xml:space="preserve">Education at a Glance 2025: OECD Indicators</w:t>
      </w:r>
      <w:r>
        <w:rPr>
          <w:sz w:val="21"/>
          <w:szCs w:val="21"/>
        </w:rPr>
        <w:t xml:space="preserve">, OECD Publishing, Paris, https://doi.org/10.1787/1c0d9c79-en (accessed on 5 August 2026).</w:t>
      </w:r>
    </w:p>
    <w:p>
      <w:pPr>
        <w:spacing w:after="120"/>
        <w:ind w:left="567" w:hanging="567"/>
        <w:jc w:val="left"/>
      </w:pPr>
      <w:r>
        <w:rPr>
          <w:sz w:val="21"/>
          <w:szCs w:val="21"/>
        </w:rPr>
        <w:t xml:space="preserve">OECD (2025b), </w:t>
      </w:r>
      <w:r>
        <w:rPr>
          <w:i/>
          <w:iCs/>
          <w:sz w:val="21"/>
          <w:szCs w:val="21"/>
        </w:rPr>
        <w:t xml:space="preserve">Results from TALIS 2024: The State of Teaching</w:t>
      </w:r>
      <w:r>
        <w:rPr>
          <w:sz w:val="21"/>
          <w:szCs w:val="21"/>
        </w:rPr>
        <w:t xml:space="preserve">, TALIS, OECD Publishing, Paris, https://doi.org/10.1787/90df6235-en (accessed on 5 August 2026).</w:t>
      </w:r>
    </w:p>
    <w:p>
      <w:pPr>
        <w:spacing w:after="120"/>
        <w:ind w:left="567" w:hanging="567"/>
        <w:jc w:val="left"/>
      </w:pPr>
      <w:r>
        <w:rPr>
          <w:sz w:val="21"/>
          <w:szCs w:val="21"/>
        </w:rPr>
        <w:t xml:space="preserve">Ontario Ministry of Education (2022), </w:t>
      </w:r>
      <w:r>
        <w:rPr>
          <w:i/>
          <w:iCs/>
          <w:sz w:val="21"/>
          <w:szCs w:val="21"/>
        </w:rPr>
        <w:t xml:space="preserve">Memorandum 2022:SB01 – Temporary Amendment to the Ontario Teachers' Pension Plan (OTPP) 95 Day Re-Employment Rule for the 2021-22 School Year – Reporting Requirements</w:t>
      </w:r>
      <w:r>
        <w:rPr>
          <w:sz w:val="21"/>
          <w:szCs w:val="21"/>
        </w:rPr>
        <w:t xml:space="preserve">, 24 January 2022, https://efis.fma.csc.gov.on.ca/faab/Memos/SB2022/SB01_EN.pdf (accessed on 4 August 2026).</w:t>
      </w:r>
    </w:p>
    <w:p>
      <w:pPr>
        <w:spacing w:after="120"/>
        <w:ind w:left="567" w:hanging="567"/>
        <w:jc w:val="left"/>
      </w:pPr>
      <w:r>
        <w:rPr>
          <w:sz w:val="21"/>
          <w:szCs w:val="21"/>
        </w:rPr>
        <w:t xml:space="preserve">Ontario Teachers' Pension Plan (2026), "Know your re-employment limit", https://otpp.com/en-ca/members/life-events/living-in-retirement/your-reemployment-limit/ (accessed on 4 August 2026).</w:t>
      </w:r>
    </w:p>
    <w:p>
      <w:pPr>
        <w:spacing w:after="120"/>
        <w:ind w:left="567" w:hanging="567"/>
        <w:jc w:val="left"/>
      </w:pPr>
      <w:r>
        <w:rPr>
          <w:sz w:val="21"/>
          <w:szCs w:val="21"/>
        </w:rPr>
        <w:t xml:space="preserve">OSSTF (n.d.), "Ontario Teachers' Pension Plan (OTPP)", Ontario Secondary School Teachers' Federation, https://www.osstf.on.ca/en-CA/services/pensions/ontario-teachers-pension-plan-otpp.aspx (accessed on 4 August 2026).</w:t>
      </w:r>
    </w:p>
    <w:p>
      <w:pPr>
        <w:spacing w:after="120"/>
        <w:ind w:left="567" w:hanging="567"/>
        <w:jc w:val="left"/>
      </w:pPr>
      <w:r>
        <w:rPr>
          <w:sz w:val="21"/>
          <w:szCs w:val="21"/>
        </w:rPr>
        <w:t xml:space="preserve">OTF (2023), "50-Day re-employment rule increased to 95 days for some OTPP retirees until June 30, 2023", Ontario Teachers' Federation, https://www.otffeo.on.ca/en/news/50-day-re-employment-rule-increased-to-95-days-for-some-otpp-retirees-until-june-30-2023/ (accessed on 4 August 2026).</w:t>
      </w:r>
    </w:p>
    <w:p>
      <w:pPr>
        <w:spacing w:after="120"/>
        <w:ind w:left="567" w:hanging="567"/>
        <w:jc w:val="left"/>
      </w:pPr>
      <w:r>
        <w:rPr>
          <w:sz w:val="21"/>
          <w:szCs w:val="21"/>
        </w:rPr>
        <w:t xml:space="preserve">R.I.S.E. Magazine (2025), "China plans to raise rural education standards by employing 7,000 retired teachers", https://www.riseedumag.com/china-plans-to-raise-rural-education-standards-by-employing-7000-retired-teachers/.</w:t>
      </w:r>
    </w:p>
    <w:p>
      <w:pPr>
        <w:spacing w:after="120"/>
        <w:ind w:left="567" w:hanging="567"/>
        <w:jc w:val="left"/>
      </w:pPr>
      <w:r>
        <w:rPr>
          <w:sz w:val="21"/>
          <w:szCs w:val="21"/>
        </w:rPr>
        <w:t xml:space="preserve">Rechnungshof (2025), </w:t>
      </w:r>
      <w:r>
        <w:rPr>
          <w:i/>
          <w:iCs/>
          <w:sz w:val="21"/>
          <w:szCs w:val="21"/>
        </w:rPr>
        <w:t xml:space="preserve">Lehrpersonaleinsatz</w:t>
      </w:r>
      <w:r>
        <w:rPr>
          <w:sz w:val="21"/>
          <w:szCs w:val="21"/>
        </w:rPr>
        <w:t xml:space="preserve">, Bericht des Rechnungshofes, Reihe Bund 2025/18, Rechnungshof Österreich, Vienna, https://www.rechnungshof.gv.at/rh/home/home/2025_18_Lehrpersonaleinsatz.pdf (accessed on 4 August 2026).</w:t>
      </w:r>
    </w:p>
    <w:p>
      <w:pPr>
        <w:spacing w:after="120"/>
        <w:ind w:left="567" w:hanging="567"/>
        <w:jc w:val="left"/>
      </w:pPr>
      <w:r>
        <w:rPr>
          <w:sz w:val="21"/>
          <w:szCs w:val="21"/>
        </w:rPr>
        <w:t xml:space="preserve">Renascença (2024), "55 professores aposentados podem dar aulas a partir de janeiro", rr.pt, 19 December 2024, https://rr.pt/noticia/pais/2024/12/19/55-professores-aposentados-podem-dar-aulas-a-partir-de-janeiro/406679/ (accessed on 4 August 2026).</w:t>
      </w:r>
    </w:p>
    <w:p>
      <w:pPr>
        <w:spacing w:after="120"/>
        <w:ind w:left="567" w:hanging="567"/>
        <w:jc w:val="left"/>
      </w:pPr>
      <w:r>
        <w:rPr>
          <w:sz w:val="21"/>
          <w:szCs w:val="21"/>
        </w:rPr>
        <w:t xml:space="preserve">Resch, K. (2025a), "Retired teachers return to school to tackle teacher shortages in Austrian schools. An untapped reserve or emergency response?", </w:t>
      </w:r>
      <w:r>
        <w:rPr>
          <w:i/>
          <w:iCs/>
          <w:sz w:val="21"/>
          <w:szCs w:val="21"/>
        </w:rPr>
        <w:t xml:space="preserve">European Journal of Teacher Education</w:t>
      </w:r>
      <w:r>
        <w:rPr>
          <w:sz w:val="21"/>
          <w:szCs w:val="21"/>
        </w:rPr>
        <w:t xml:space="preserve">, advance online publication, 10 July 2025, https://doi.org/10.1080/02619768.2025.2531930 (accessed on 5 August 2026).</w:t>
      </w:r>
    </w:p>
    <w:p>
      <w:pPr>
        <w:spacing w:after="120"/>
        <w:ind w:left="567" w:hanging="567"/>
        <w:jc w:val="left"/>
      </w:pPr>
      <w:r>
        <w:rPr>
          <w:sz w:val="21"/>
          <w:szCs w:val="21"/>
        </w:rPr>
        <w:t xml:space="preserve">Resch, K. (2025b), "Die Rückkehr von pensionierten Lehrpersonen in den Schuldienst als berufsbiographisches Ereignis", </w:t>
      </w:r>
      <w:r>
        <w:rPr>
          <w:i/>
          <w:iCs/>
          <w:sz w:val="21"/>
          <w:szCs w:val="21"/>
        </w:rPr>
        <w:t xml:space="preserve">Zeitschrift für Bildungsforschung</w:t>
      </w:r>
      <w:r>
        <w:rPr>
          <w:sz w:val="21"/>
          <w:szCs w:val="21"/>
        </w:rPr>
        <w:t xml:space="preserve">, published online 12 November 2025, https://doi.org/10.1007/s35834-025-00519-z (accessed on 5 August 2026).</w:t>
      </w:r>
    </w:p>
    <w:p>
      <w:pPr>
        <w:spacing w:after="120"/>
        <w:ind w:left="567" w:hanging="567"/>
        <w:jc w:val="left"/>
      </w:pPr>
      <w:r>
        <w:rPr>
          <w:sz w:val="21"/>
          <w:szCs w:val="21"/>
        </w:rPr>
        <w:t xml:space="preserve">Rolfhus, E., R. Gersten, B. Clarke, L. E. Decker, C. Wilkins and J. Dimino (2012), </w:t>
      </w:r>
      <w:r>
        <w:rPr>
          <w:i/>
          <w:iCs/>
          <w:sz w:val="21"/>
          <w:szCs w:val="21"/>
        </w:rPr>
        <w:t xml:space="preserve">An Evaluation of Number Rockets: A Tier-2 Intervention for Grade 1 Students at Risk for Difficulties in Mathematics</w:t>
      </w:r>
      <w:r>
        <w:rPr>
          <w:sz w:val="21"/>
          <w:szCs w:val="21"/>
        </w:rPr>
        <w:t xml:space="preserve"> (NCEE 2012-4007), National Center for Education Evaluation and Regional Assistance, Institute of Education Sciences, Washington, DC, https://eric.ed.gov/?id=ED529429 (accessed on 5 August 2026).</w:t>
      </w:r>
    </w:p>
    <w:p>
      <w:pPr>
        <w:spacing w:after="120"/>
        <w:ind w:left="567" w:hanging="567"/>
        <w:jc w:val="left"/>
      </w:pPr>
      <w:r>
        <w:rPr>
          <w:sz w:val="21"/>
          <w:szCs w:val="21"/>
        </w:rPr>
        <w:t xml:space="preserve">RTP (2026), "Professores que adiem reforma recebem 750 euros mas só em escolas onde há carência", rtp.pt, 30 July 2026, https://www.rtp.pt/noticias/pais/professores-que-adiem-reforma-recebem-750-euros-mas-so-em-escolas-onde-ha-carencia_n1756798 (accessed on 4 August 2026).</w:t>
      </w:r>
    </w:p>
    <w:p>
      <w:pPr>
        <w:spacing w:after="120"/>
        <w:ind w:left="567" w:hanging="567"/>
        <w:jc w:val="left"/>
      </w:pPr>
      <w:r>
        <w:rPr>
          <w:sz w:val="21"/>
          <w:szCs w:val="21"/>
        </w:rPr>
        <w:t xml:space="preserve">SÁBADO (2024), "Continuam a faltar médicos e professores. Porque estão a falhar as medidas do Governo?", sabado.pt, 6 December 2024, https://www.sabado.pt/portugal/detalhe/continuam-a-faltar-medicos-e-professores-porque-falharam-a-medidas-do-governo (accessed on 4 August 2026).</w:t>
      </w:r>
    </w:p>
    <w:p>
      <w:pPr>
        <w:spacing w:after="120"/>
        <w:ind w:left="567" w:hanging="567"/>
        <w:jc w:val="left"/>
      </w:pPr>
      <w:r>
        <w:rPr>
          <w:sz w:val="21"/>
          <w:szCs w:val="21"/>
        </w:rPr>
        <w:t xml:space="preserve">Sakuma, A. and N. Shimazaki (2024), "'Why are We Running Short of Teachers Even as the Birthrate Declines?': A Case Study of the Teacher Shortage in Public Schools in X Prefecture in Japan", </w:t>
      </w:r>
      <w:r>
        <w:rPr>
          <w:i/>
          <w:iCs/>
          <w:sz w:val="21"/>
          <w:szCs w:val="21"/>
        </w:rPr>
        <w:t xml:space="preserve">Educational Studies in Japan: International Yearbook</w:t>
      </w:r>
      <w:r>
        <w:rPr>
          <w:sz w:val="21"/>
          <w:szCs w:val="21"/>
        </w:rPr>
        <w:t xml:space="preserve">, No. 18, pp. 191-210, https://files.eric.ed.gov/fulltext/EJ1433887.pdf (accessed on 5 August 2026).</w:t>
      </w:r>
    </w:p>
    <w:p>
      <w:pPr>
        <w:spacing w:after="120"/>
        <w:ind w:left="567" w:hanging="567"/>
        <w:jc w:val="left"/>
      </w:pPr>
      <w:r>
        <w:rPr>
          <w:sz w:val="21"/>
          <w:szCs w:val="21"/>
        </w:rPr>
        <w:t xml:space="preserve">Scafidi, B., D. L. Sjoquist and T. R. Stinebrickner (2006), "Do Teachers Really Leave for Higher Paying Jobs in Alternative Occupations?", </w:t>
      </w:r>
      <w:r>
        <w:rPr>
          <w:i/>
          <w:iCs/>
          <w:sz w:val="21"/>
          <w:szCs w:val="21"/>
        </w:rPr>
        <w:t xml:space="preserve">The B.E. Journal of Economic Analysis &amp; Policy (Advances)</w:t>
      </w:r>
      <w:r>
        <w:rPr>
          <w:sz w:val="21"/>
          <w:szCs w:val="21"/>
        </w:rPr>
        <w:t xml:space="preserve">, Vol. 6/1, Article 8, https://ideas.repec.org/a/bpj/bejeap/vadvances.6y2006i1n8.html.</w:t>
      </w:r>
    </w:p>
    <w:p>
      <w:pPr>
        <w:spacing w:after="120"/>
        <w:ind w:left="567" w:hanging="567"/>
        <w:jc w:val="left"/>
      </w:pPr>
      <w:r>
        <w:rPr>
          <w:sz w:val="21"/>
          <w:szCs w:val="21"/>
        </w:rPr>
        <w:t xml:space="preserve">Sims, S. and A. Benhenda (2022), "The effect of financial incentives on the retention of shortage-subject teachers: Evidence from England", CEPEO Working Paper No. 22-04, Centre for Education Policy and Equalising Opportunities, UCL, London, https://repec-cepeo.ucl.ac.uk/cepeow/cepeowp22-04.pdf (accessed on 4 August 2026).</w:t>
      </w:r>
    </w:p>
    <w:p>
      <w:pPr>
        <w:spacing w:after="120"/>
        <w:ind w:left="567" w:hanging="567"/>
        <w:jc w:val="left"/>
      </w:pPr>
      <w:r>
        <w:rPr>
          <w:sz w:val="21"/>
          <w:szCs w:val="21"/>
        </w:rPr>
        <w:t xml:space="preserve">Sims, S., H. Lowes-Belk and C. Routledge (2026), "Why do people choose to enter and exit the teaching profession? An interdisciplinary quantitative synthesis", </w:t>
      </w:r>
      <w:r>
        <w:rPr>
          <w:i/>
          <w:iCs/>
          <w:sz w:val="21"/>
          <w:szCs w:val="21"/>
        </w:rPr>
        <w:t xml:space="preserve">British Educational Research Journal</w:t>
      </w:r>
      <w:r>
        <w:rPr>
          <w:sz w:val="21"/>
          <w:szCs w:val="21"/>
        </w:rPr>
        <w:t xml:space="preserve">, Vol. 52/3, pp. 1652-1676, published online 24 October 2025, https://doi.org/10.1002/berj.70027 (accessed on 5 August 2026).</w:t>
      </w:r>
    </w:p>
    <w:p>
      <w:pPr>
        <w:spacing w:after="120"/>
        <w:ind w:left="567" w:hanging="567"/>
        <w:jc w:val="left"/>
      </w:pPr>
      <w:r>
        <w:rPr>
          <w:sz w:val="21"/>
          <w:szCs w:val="21"/>
        </w:rPr>
        <w:t xml:space="preserve">Somers, M., L. Fleck, W. Groot and F. van Merode (2024a), </w:t>
      </w:r>
      <w:r>
        <w:rPr>
          <w:i/>
          <w:iCs/>
          <w:sz w:val="21"/>
          <w:szCs w:val="21"/>
        </w:rPr>
        <w:t xml:space="preserve">The Hidden Reserve of Nurses and Teachers in the Netherlands</w:t>
      </w:r>
      <w:r>
        <w:rPr>
          <w:sz w:val="21"/>
          <w:szCs w:val="21"/>
        </w:rPr>
        <w:t xml:space="preserve">, ROA Research Memorandum No. 2024/004E, Research Centre for Education and the Labour Market, Maastricht University, https://doi.org/10.26481/umaror.2024004E (accessed on 4 August 2026).</w:t>
      </w:r>
    </w:p>
    <w:p>
      <w:pPr>
        <w:spacing w:after="120"/>
        <w:ind w:left="567" w:hanging="567"/>
        <w:jc w:val="left"/>
      </w:pPr>
      <w:r>
        <w:rPr>
          <w:sz w:val="21"/>
          <w:szCs w:val="21"/>
        </w:rPr>
        <w:t xml:space="preserve">Somers, M., W. Groot and F. van Merode (2024b), "Stille reserve voldoende om personeelstekort onderwijs op te lossen", </w:t>
      </w:r>
      <w:r>
        <w:rPr>
          <w:i/>
          <w:iCs/>
          <w:sz w:val="21"/>
          <w:szCs w:val="21"/>
        </w:rPr>
        <w:t xml:space="preserve">ESB (Economisch Statistische Berichten)</w:t>
      </w:r>
      <w:r>
        <w:rPr>
          <w:sz w:val="21"/>
          <w:szCs w:val="21"/>
        </w:rPr>
        <w:t xml:space="preserve">, 28 February 2024, https://esb.nu/stille-reserve-voldoende-om-personeelstekort-onderwijs-op-te-lossen/ (accessed on 4 August 2026).</w:t>
      </w:r>
    </w:p>
    <w:p>
      <w:pPr>
        <w:spacing w:after="120"/>
        <w:ind w:left="567" w:hanging="567"/>
        <w:jc w:val="left"/>
      </w:pPr>
      <w:r>
        <w:rPr>
          <w:sz w:val="21"/>
          <w:szCs w:val="21"/>
        </w:rPr>
        <w:t xml:space="preserve">State Council (2023), 教育部教师工作司负责人就《国家银龄教师行动计划》答记者问 [MOE Teacher Affairs Department Q&amp;A on the National Silver Age Teachers Action Plan], www.gov.cn, August 2023, https://www.gov.cn/zhengce/202308/content_6900976.htm.</w:t>
      </w:r>
    </w:p>
    <w:p>
      <w:pPr>
        <w:spacing w:after="120"/>
        <w:ind w:left="567" w:hanging="567"/>
        <w:jc w:val="left"/>
      </w:pPr>
      <w:r>
        <w:rPr>
          <w:sz w:val="21"/>
          <w:szCs w:val="21"/>
        </w:rPr>
        <w:t xml:space="preserve">Stinebrickner, T. R. (2002), "An Analysis of Occupational Change and Departure from the Labor Force: Evidence of the Reasons that Teachers Leave", </w:t>
      </w:r>
      <w:r>
        <w:rPr>
          <w:i/>
          <w:iCs/>
          <w:sz w:val="21"/>
          <w:szCs w:val="21"/>
        </w:rPr>
        <w:t xml:space="preserve">Journal of Human Resources</w:t>
      </w:r>
      <w:r>
        <w:rPr>
          <w:sz w:val="21"/>
          <w:szCs w:val="21"/>
        </w:rPr>
        <w:t xml:space="preserve">, Vol. 37/1, pp. 192-216, https://ideas.repec.org/a/uwp/jhriss/v37y2002i1p192-216.html.</w:t>
      </w:r>
    </w:p>
    <w:p>
      <w:pPr>
        <w:spacing w:after="120"/>
        <w:ind w:left="567" w:hanging="567"/>
        <w:jc w:val="left"/>
      </w:pPr>
      <w:r>
        <w:rPr>
          <w:sz w:val="21"/>
          <w:szCs w:val="21"/>
        </w:rPr>
        <w:t xml:space="preserve">Sutcher, L., L. Darling-Hammond and D. Carver-Thomas (2016), </w:t>
      </w:r>
      <w:r>
        <w:rPr>
          <w:i/>
          <w:iCs/>
          <w:sz w:val="21"/>
          <w:szCs w:val="21"/>
        </w:rPr>
        <w:t xml:space="preserve">A Coming Crisis in Teaching? Teacher Supply, Demand, and Shortages in the U.S.</w:t>
      </w:r>
      <w:r>
        <w:rPr>
          <w:sz w:val="21"/>
          <w:szCs w:val="21"/>
        </w:rPr>
        <w:t xml:space="preserve">, Learning Policy Institute, Palo Alto, CA, https://learningpolicyinstitute.org/product/coming-crisis-teaching-brief.</w:t>
      </w:r>
    </w:p>
    <w:p>
      <w:pPr>
        <w:spacing w:after="120"/>
        <w:ind w:left="567" w:hanging="567"/>
        <w:jc w:val="left"/>
      </w:pPr>
      <w:r>
        <w:rPr>
          <w:sz w:val="21"/>
          <w:szCs w:val="21"/>
        </w:rPr>
        <w:t xml:space="preserve">Tan, T., W. Wei, D. Carver-Thomas and E. García (2026), </w:t>
      </w:r>
      <w:r>
        <w:rPr>
          <w:i/>
          <w:iCs/>
          <w:sz w:val="21"/>
          <w:szCs w:val="21"/>
        </w:rPr>
        <w:t xml:space="preserve">Teacher Turnover in the United States: Who Moves, Who Leaves, and Why</w:t>
      </w:r>
      <w:r>
        <w:rPr>
          <w:sz w:val="21"/>
          <w:szCs w:val="21"/>
        </w:rPr>
        <w:t xml:space="preserve">, Learning Policy Institute, 17 March 2026, https://doi.org/10.54300/248.479 (report page: https://learningpolicyinstitute.org/product/teacher-turnover-united-states-report) (accessed on 5 August 2026).</w:t>
      </w:r>
    </w:p>
    <w:p>
      <w:pPr>
        <w:spacing w:after="120"/>
        <w:ind w:left="567" w:hanging="567"/>
        <w:jc w:val="left"/>
      </w:pPr>
      <w:r>
        <w:rPr>
          <w:sz w:val="21"/>
          <w:szCs w:val="21"/>
        </w:rPr>
        <w:t xml:space="preserve">Teachers' Pensions (n.d.), "Return to work — Once retired", https://www.teacherspensions.co.uk/members/once-retired/return-to-work.aspx (accessed on 5 August 2026).</w:t>
      </w:r>
    </w:p>
    <w:p>
      <w:pPr>
        <w:spacing w:after="120"/>
        <w:ind w:left="567" w:hanging="567"/>
        <w:jc w:val="left"/>
      </w:pPr>
      <w:r>
        <w:rPr>
          <w:sz w:val="21"/>
          <w:szCs w:val="21"/>
        </w:rPr>
        <w:t xml:space="preserve">Teachers Retirement System of Georgia (2026), "Legislative Update", 5 May 2026, https://www.trsga.com/legislation/legislative-update/ (accessed on 4 August 2026).</w:t>
      </w:r>
    </w:p>
    <w:p>
      <w:pPr>
        <w:spacing w:after="120"/>
        <w:ind w:left="567" w:hanging="567"/>
        <w:jc w:val="left"/>
      </w:pPr>
      <w:r>
        <w:rPr>
          <w:sz w:val="21"/>
          <w:szCs w:val="21"/>
        </w:rPr>
        <w:t xml:space="preserve">Teachers' Retirement System of Louisiana (2024), "Regular Session News #18: Governor signs return-to-work bill into law" (Act 394 of 2024, HB 967), 31 May 2024, https://www.trsl.org/resources/legislation/archive/regular-session-news-18-governor-signs-return-to-work-bill-into-law (accessed on 4 August 2026).</w:t>
      </w:r>
    </w:p>
    <w:p>
      <w:pPr>
        <w:spacing w:after="120"/>
        <w:ind w:left="567" w:hanging="567"/>
        <w:jc w:val="left"/>
      </w:pPr>
      <w:r>
        <w:rPr>
          <w:sz w:val="21"/>
          <w:szCs w:val="21"/>
        </w:rPr>
        <w:t xml:space="preserve">Teachers' Retirement System of Louisiana (2026), "Regular Session News #18: Passage of return-to-work bill a highlight of 2026" (Act 344 of 2026, SB 14), 2 June 2026, https://www.trsl.org/resources/legislation/archive/regular-session-news-18-passage-of-return-to-work-bill-a-highlight-of-2026-copy (accessed on 4 August 2026).</w:t>
      </w:r>
    </w:p>
    <w:p>
      <w:pPr>
        <w:spacing w:after="120"/>
        <w:ind w:left="567" w:hanging="567"/>
        <w:jc w:val="left"/>
      </w:pPr>
      <w:r>
        <w:rPr>
          <w:sz w:val="21"/>
          <w:szCs w:val="21"/>
        </w:rPr>
        <w:t xml:space="preserve">Teaching Council of Aotearoa New Zealand (2026), </w:t>
      </w:r>
      <w:r>
        <w:rPr>
          <w:i/>
          <w:iCs/>
          <w:sz w:val="21"/>
          <w:szCs w:val="21"/>
        </w:rPr>
        <w:t xml:space="preserve">Requirements for Teacher Registration, Practising Certificates and Limited Authority to Teach</w:t>
      </w:r>
      <w:r>
        <w:rPr>
          <w:sz w:val="21"/>
          <w:szCs w:val="21"/>
        </w:rPr>
        <w:t xml:space="preserve">, registration policy (2026 Teacher Education Refresh update), January 2026 version, Teaching Council of Aotearoa New Zealand, Wellington.</w:t>
      </w:r>
    </w:p>
    <w:p>
      <w:pPr>
        <w:spacing w:after="120"/>
        <w:ind w:left="567" w:hanging="567"/>
        <w:jc w:val="left"/>
      </w:pPr>
      <w:r>
        <w:rPr>
          <w:sz w:val="21"/>
          <w:szCs w:val="21"/>
        </w:rPr>
        <w:t xml:space="preserve">Tweede Kamer (2019), Kamerstukken II 2019/20, 35 300 VIII, nr. 15 (Verslag houdende een lijst van vragen en antwoorden, answer to question 44), https://zoek.officielebekendmakingen.nl/kst-35300-VIII-15.html (accessed on 5 August 2026).</w:t>
      </w:r>
    </w:p>
    <w:p>
      <w:pPr>
        <w:spacing w:after="120"/>
        <w:ind w:left="567" w:hanging="567"/>
        <w:jc w:val="left"/>
      </w:pPr>
      <w:r>
        <w:rPr>
          <w:sz w:val="21"/>
          <w:szCs w:val="21"/>
        </w:rPr>
        <w:t xml:space="preserve">UK Parliament (2022), Written question 54668 "Teachers: Re-employment", answered 11 October 2022, https://questions-statements.parliament.uk/written-questions/detail/2022-09-22/54668/ (accessed on 4 August 2026).</w:t>
      </w:r>
    </w:p>
    <w:p>
      <w:pPr>
        <w:spacing w:after="120"/>
        <w:ind w:left="567" w:hanging="567"/>
        <w:jc w:val="left"/>
      </w:pPr>
      <w:r>
        <w:rPr>
          <w:sz w:val="21"/>
          <w:szCs w:val="21"/>
        </w:rPr>
        <w:t xml:space="preserve">UK Parliament (2026), "Teacher Workforce", written statement HCWS171, House of Commons, 1 July 2026, https://questions-statements.parliament.uk/written-statements/detail/2026-07-01/hcws171.</w:t>
      </w:r>
    </w:p>
    <w:p>
      <w:pPr>
        <w:spacing w:after="120"/>
        <w:ind w:left="567" w:hanging="567"/>
        <w:jc w:val="left"/>
      </w:pPr>
      <w:r>
        <w:rPr>
          <w:sz w:val="21"/>
          <w:szCs w:val="21"/>
        </w:rPr>
        <w:t xml:space="preserve">UNESCO and International Task Force on Teachers for Education 2030 (2024), </w:t>
      </w:r>
      <w:r>
        <w:rPr>
          <w:i/>
          <w:iCs/>
          <w:sz w:val="21"/>
          <w:szCs w:val="21"/>
        </w:rPr>
        <w:t xml:space="preserve">Global Report on Teachers: Addressing Teacher Shortages and Transforming the Profession</w:t>
      </w:r>
      <w:r>
        <w:rPr>
          <w:sz w:val="21"/>
          <w:szCs w:val="21"/>
        </w:rPr>
        <w:t xml:space="preserve">, UNESCO, Paris, https://www.unesco.org/en/articles/global-report-teachers-addressing-teacher-shortages-and-transforming-profession.</w:t>
      </w:r>
    </w:p>
    <w:p>
      <w:pPr>
        <w:spacing w:after="120"/>
        <w:ind w:left="567" w:hanging="567"/>
        <w:jc w:val="left"/>
      </w:pPr>
      <w:r>
        <w:rPr>
          <w:sz w:val="21"/>
          <w:szCs w:val="21"/>
        </w:rPr>
        <w:t xml:space="preserve">Varma, V. R. et al. (2016), "Effect of community volunteering on physical activity: A randomized controlled trial", </w:t>
      </w:r>
      <w:r>
        <w:rPr>
          <w:i/>
          <w:iCs/>
          <w:sz w:val="21"/>
          <w:szCs w:val="21"/>
        </w:rPr>
        <w:t xml:space="preserve">American Journal of Preventive Medicine</w:t>
      </w:r>
      <w:r>
        <w:rPr>
          <w:sz w:val="21"/>
          <w:szCs w:val="21"/>
        </w:rPr>
        <w:t xml:space="preserve">, Vol. 50/1, pp. 106-110, https://pubmed.ncbi.nlm.nih.gov/26340864/.</w:t>
      </w:r>
    </w:p>
    <w:p>
      <w:pPr>
        <w:spacing w:after="120"/>
        <w:ind w:left="567" w:hanging="567"/>
        <w:jc w:val="left"/>
      </w:pPr>
      <w:r>
        <w:rPr>
          <w:sz w:val="21"/>
          <w:szCs w:val="21"/>
        </w:rPr>
        <w:t xml:space="preserve">Virginia Retirement System (n.d.), "Critical Shortage Positions", https://www.varetire.org/retiree-milestones/working-after-retirement/critical-shortage-positions/ (accessed on 4 August 2026).</w:t>
      </w:r>
    </w:p>
    <w:p>
      <w:pPr>
        <w:spacing w:after="120"/>
        <w:ind w:left="567" w:hanging="567"/>
        <w:jc w:val="left"/>
      </w:pPr>
      <w:r>
        <w:rPr>
          <w:sz w:val="21"/>
          <w:szCs w:val="21"/>
        </w:rPr>
        <w:t xml:space="preserve">Walker, A. (2022), "DfE scheme to lure back physics teachers recruits just 23 in two years", </w:t>
      </w:r>
      <w:r>
        <w:rPr>
          <w:i/>
          <w:iCs/>
          <w:sz w:val="21"/>
          <w:szCs w:val="21"/>
        </w:rPr>
        <w:t xml:space="preserve">Schools Week</w:t>
      </w:r>
      <w:r>
        <w:rPr>
          <w:sz w:val="21"/>
          <w:szCs w:val="21"/>
        </w:rPr>
        <w:t xml:space="preserve">, 13 September 2022, https://schoolsweek.co.uk/dfe-scheme-to-lure-back-physics-teachers-recruits-just-23-in-two-years/.</w:t>
      </w:r>
    </w:p>
    <w:p>
      <w:pPr>
        <w:spacing w:after="120"/>
        <w:ind w:left="567" w:hanging="567"/>
        <w:jc w:val="left"/>
      </w:pPr>
      <w:r>
        <w:rPr>
          <w:sz w:val="21"/>
          <w:szCs w:val="21"/>
        </w:rPr>
        <w:t xml:space="preserve">Watt, H. M. G., P. W. Richardson, U. Klusmann, M. Kunter, B. Beyer, U. Trautwein and J. Baumert (2012), "Motivations for choosing teaching as a career: An international comparison using the FIT-Choice scale", </w:t>
      </w:r>
      <w:r>
        <w:rPr>
          <w:i/>
          <w:iCs/>
          <w:sz w:val="21"/>
          <w:szCs w:val="21"/>
        </w:rPr>
        <w:t xml:space="preserve">Teaching and Teacher Education</w:t>
      </w:r>
      <w:r>
        <w:rPr>
          <w:sz w:val="21"/>
          <w:szCs w:val="21"/>
        </w:rPr>
        <w:t xml:space="preserve">, Vol. 28/6, pp. 791-805, https://www.sciencedirect.com/science/article/abs/pii/S0742051X12000479.</w:t>
      </w:r>
    </w:p>
    <w:p>
      <w:pPr>
        <w:spacing w:after="120"/>
        <w:ind w:left="567" w:hanging="567"/>
        <w:jc w:val="left"/>
      </w:pPr>
      <w:r>
        <w:rPr>
          <w:sz w:val="21"/>
          <w:szCs w:val="21"/>
        </w:rPr>
        <w:t xml:space="preserve">What Works Clearinghouse (2010), </w:t>
      </w:r>
      <w:r>
        <w:rPr>
          <w:i/>
          <w:iCs/>
          <w:sz w:val="21"/>
          <w:szCs w:val="21"/>
        </w:rPr>
        <w:t xml:space="preserve">WWC Quick Review of the Report "Evaluation of Experience Corps: Student Reading Outcomes"</w:t>
      </w:r>
      <w:r>
        <w:rPr>
          <w:sz w:val="21"/>
          <w:szCs w:val="21"/>
        </w:rPr>
        <w:t xml:space="preserve">, Institute of Education Sciences, U.S. Department of Education, Washington, DC, February 2010, https://ies.ed.gov/ncee/wwc/Docs/QuickReview/expcorps_020910.pdf (accessed on 5 August 2026).</w:t>
      </w:r>
    </w:p>
    <w:p>
      <w:pPr>
        <w:spacing w:after="120"/>
        <w:ind w:left="567" w:hanging="567"/>
        <w:jc w:val="left"/>
      </w:pPr>
      <w:r>
        <w:rPr>
          <w:sz w:val="21"/>
          <w:szCs w:val="21"/>
        </w:rPr>
        <w:t xml:space="preserve">What Works Clearinghouse (2019), </w:t>
      </w:r>
      <w:r>
        <w:rPr>
          <w:i/>
          <w:iCs/>
          <w:sz w:val="21"/>
          <w:szCs w:val="21"/>
        </w:rPr>
        <w:t xml:space="preserve">Review of Individual Study: DeCesare, McClelland and Randel (2017)</w:t>
      </w:r>
      <w:r>
        <w:rPr>
          <w:sz w:val="21"/>
          <w:szCs w:val="21"/>
        </w:rPr>
        <w:t xml:space="preserve"> (Study #88756, reviewed August 2019, Standards and Protocol 4.0), Institute of Education Sciences, U.S. Department of Education, Washington, DC, https://ies.ed.gov/ncee/wwc/Study/88756 (accessed on 5 August 2026).</w:t>
      </w:r>
    </w:p>
    <w:p>
      <w:pPr>
        <w:spacing w:after="120"/>
        <w:ind w:left="567" w:hanging="567"/>
        <w:jc w:val="left"/>
      </w:pPr>
      <w:r>
        <w:rPr>
          <w:sz w:val="21"/>
          <w:szCs w:val="21"/>
        </w:rPr>
        <w:t xml:space="preserve">Will, M. (2022), "Could Retired Teachers Be the Answer to Shortages? It's Complicated", </w:t>
      </w:r>
      <w:r>
        <w:rPr>
          <w:i/>
          <w:iCs/>
          <w:sz w:val="21"/>
          <w:szCs w:val="21"/>
        </w:rPr>
        <w:t xml:space="preserve">Education Week</w:t>
      </w:r>
      <w:r>
        <w:rPr>
          <w:sz w:val="21"/>
          <w:szCs w:val="21"/>
        </w:rPr>
        <w:t xml:space="preserve">, 11 October 2022, https://www.edweek.org/leadership/could-retired-teachers-be-the-answer-to-shortages-its-complicated/2022/10 (accessed on 4 August 2026).</w:t>
      </w:r>
    </w:p>
    <w:p>
      <w:pPr>
        <w:spacing w:after="120"/>
        <w:ind w:left="567" w:hanging="567"/>
        <w:jc w:val="left"/>
      </w:pPr>
      <w:r>
        <w:rPr>
          <w:sz w:val="21"/>
          <w:szCs w:val="21"/>
        </w:rPr>
        <w:t xml:space="preserve">Worth, J. (2023), </w:t>
      </w:r>
      <w:r>
        <w:rPr>
          <w:i/>
          <w:iCs/>
          <w:sz w:val="21"/>
          <w:szCs w:val="21"/>
        </w:rPr>
        <w:t xml:space="preserve">Short Supply: Addressing the Post-Pandemic Teacher Supply Challenge in England</w:t>
      </w:r>
      <w:r>
        <w:rPr>
          <w:sz w:val="21"/>
          <w:szCs w:val="21"/>
        </w:rPr>
        <w:t xml:space="preserve">, National Foundation for Educational Research, Slough, https://files.eric.ed.gov/fulltext/ED627679.pdf (accessed on 4 August 2026).</w:t>
      </w:r>
    </w:p>
    <w:p>
      <w:pPr>
        <w:spacing w:after="120"/>
        <w:ind w:left="567" w:hanging="567"/>
        <w:jc w:val="left"/>
      </w:pPr>
      <w:r>
        <w:rPr>
          <w:sz w:val="21"/>
          <w:szCs w:val="21"/>
        </w:rPr>
        <w:t xml:space="preserve">Worth, J. and C. Sharp (2018), "What do returners want?", NFER blog, 11 July 2018, National Foundation for Educational Research, Slough, https://www.nfer.ac.uk/blogs/what-do-returners-want/ (accessed on 4 August 2026).</w:t>
      </w:r>
    </w:p>
    <w:p>
      <w:pPr>
        <w:spacing w:after="120"/>
        <w:ind w:left="567" w:hanging="567"/>
        <w:jc w:val="left"/>
      </w:pPr>
      <w:r>
        <w:rPr>
          <w:sz w:val="21"/>
          <w:szCs w:val="21"/>
        </w:rPr>
        <w:t xml:space="preserve">Worth, J., S. Bamford and B. Durbin (2015), </w:t>
      </w:r>
      <w:r>
        <w:rPr>
          <w:i/>
          <w:iCs/>
          <w:sz w:val="21"/>
          <w:szCs w:val="21"/>
        </w:rPr>
        <w:t xml:space="preserve">Should I Stay or Should I Go? NFER Analysis of Teachers Joining and Leaving the Profession</w:t>
      </w:r>
      <w:r>
        <w:rPr>
          <w:sz w:val="21"/>
          <w:szCs w:val="21"/>
        </w:rPr>
        <w:t xml:space="preserve">, National Foundation for Educational Research, Slough, https://www.nfer.ac.uk/publications/should-i-stay-or-should-i-go-nfer-analysis-of-teachers-joining-and-leaving-the-profession/.</w:t>
      </w:r>
    </w:p>
    <w:p>
      <w:pPr>
        <w:spacing w:after="120"/>
        <w:ind w:left="567" w:hanging="567"/>
        <w:jc w:val="left"/>
      </w:pPr>
      <w:r>
        <w:rPr>
          <w:sz w:val="21"/>
          <w:szCs w:val="21"/>
        </w:rPr>
        <w:t xml:space="preserve">ZNS Bahamas (2026), "The Ministry of Education Aiming to Attract More Bahamian Teachers", ZNS Bahamas (Broadcasting Corporation of The Bahamas), 17 July 2026, https://znsbahamas.com/the-ministry-of-education-aiming-to-attract-more-bahamian-teachers/.</w:t>
      </w:r>
    </w:p>
    <w:p>
      <w:pPr>
        <w:pStyle w:val="Heading1"/>
        <w:pageBreakBefore/>
      </w:pPr>
      <w:r>
        <w:t xml:space="preserve">Notes</w:t>
      </w:r>
    </w:p>
    <w:p>
      <w:pPr>
        <w:spacing w:after="120"/>
      </w:pPr>
      <w:r>
        <w:rPr>
          <w:vertAlign w:val="superscript"/>
        </w:rPr>
        <w:t xml:space="preserve">1</w:t>
      </w:r>
      <w:r>
        <w:t xml:space="preserve"> </w:t>
      </w:r>
      <w:r>
        <w:rPr>
          <w:sz w:val="20"/>
          <w:szCs w:val="20"/>
        </w:rPr>
        <w:t xml:space="preserve">Across the 19 OECD education systems with comparable data, the leaving rate for fully qualified teachers remained below 3% in France, Greece, Ireland and Israel and exceeded 10% in Denmark, Estonia and Lithuania in 2022/23 (OECD, 2025a, Table D8.4). In England, the Department for Education counted 40 800 full-time-equivalent leavers from state schools in 2023/24, 9.0% of the qualified workforce (Department for Education, 2025a). In the United States, the National Center for Education Statistics put the leaving rate at 8% of public school teachers for 2021, unchanged since 2012 (NCES, 2023), and pooled Current Population Survey estimates for 2015-2024 average 7.6% a year (Aldeman and Yi, 2025). In Australia, household panel data record a leaving rate of 11.6% in 2022, below its 2012 peak of 16.3% (Cuervo and Vera-Toscano, 2025). Of particular interest is the case of Austria, where the rate nearly doubled within a decade, from 3.2% in 2014/15 to 6.2% in 2022/23 (OECD, 2025a).</w:t>
      </w:r>
    </w:p>
    <w:p>
      <w:pPr>
        <w:spacing w:after="120"/>
      </w:pPr>
      <w:r>
        <w:rPr>
          <w:vertAlign w:val="superscript"/>
        </w:rPr>
        <w:t xml:space="preserve">2</w:t>
      </w:r>
      <w:r>
        <w:t xml:space="preserve"> </w:t>
      </w:r>
      <w:r>
        <w:rPr>
          <w:sz w:val="20"/>
          <w:szCs w:val="20"/>
        </w:rPr>
        <w:t xml:space="preserve">The leaving rate averaged 7.3% in pre-primary, 5.8% in primary and 5.9% in secondary education. Between 2014/15 and 2022/23 the rate rose by more than two percentage points in Austria, from 3.2% to 6.2%, and in Estonia; it remained below 3% in France, Greece, Ireland and Israel and above 10% in Denmark, Estonia and Lithuania (OECD, 2025a, Table D8.4).</w:t>
      </w:r>
    </w:p>
    <w:p>
      <w:pPr>
        <w:spacing w:after="120"/>
      </w:pPr>
      <w:r>
        <w:rPr>
          <w:vertAlign w:val="superscript"/>
        </w:rPr>
        <w:t xml:space="preserve">3</w:t>
      </w:r>
      <w:r>
        <w:t xml:space="preserve"> </w:t>
      </w:r>
      <w:r>
        <w:rPr>
          <w:sz w:val="20"/>
          <w:szCs w:val="20"/>
        </w:rPr>
        <w:t xml:space="preserve">Approximately 58% in Austria, 68% in Israel, 40% in the Slovak Republic, 32% in Poland, 30% in Estonia, 23% in Sweden and 16% in Denmark (OECD, 2025a, p. 495).</w:t>
      </w:r>
    </w:p>
    <w:p>
      <w:pPr>
        <w:spacing w:after="120"/>
      </w:pPr>
      <w:r>
        <w:rPr>
          <w:vertAlign w:val="superscript"/>
        </w:rPr>
        <w:t xml:space="preserve">4</w:t>
      </w:r>
      <w:r>
        <w:t xml:space="preserve"> </w:t>
      </w:r>
      <w:r>
        <w:rPr>
          <w:sz w:val="20"/>
          <w:szCs w:val="20"/>
        </w:rPr>
        <w:t xml:space="preserve">In the 2024 round, 19% of teachers reported high stress, with shares above 30% in Alberta (Canada), Australia, Bahrain, Costa Rica, Malta and New Zealand and below 5% in Albania, Azerbaijan, Kazakhstan and Viet Nam (OECD, 2025b).</w:t>
      </w:r>
    </w:p>
    <w:p>
      <w:pPr>
        <w:spacing w:after="120"/>
      </w:pPr>
      <w:r>
        <w:rPr>
          <w:vertAlign w:val="superscript"/>
        </w:rPr>
        <w:t xml:space="preserve">5</w:t>
      </w:r>
      <w:r>
        <w:t xml:space="preserve"> </w:t>
      </w:r>
      <w:r>
        <w:rPr>
          <w:sz w:val="20"/>
          <w:szCs w:val="20"/>
        </w:rPr>
        <w:t xml:space="preserve">In the first fiscal year the remaining statutory routes counted 390 retirees working under an earnings ceiling of USD 15 000 a year (since raised to USD 25 000), 686 working at a quarter of a full-time post or less, and 1 716 under an older programme that has since ended (New Mexico Educational Retirement Board, 2023; New Mexico Educational Retirement Board, 2025).</w:t>
      </w:r>
    </w:p>
    <w:p>
      <w:pPr>
        <w:spacing w:after="120"/>
      </w:pPr>
      <w:r>
        <w:rPr>
          <w:vertAlign w:val="superscript"/>
        </w:rPr>
        <w:t xml:space="preserve">6</w:t>
      </w:r>
      <w:r>
        <w:t xml:space="preserve"> </w:t>
      </w:r>
      <w:r>
        <w:rPr>
          <w:sz w:val="20"/>
          <w:szCs w:val="20"/>
        </w:rPr>
        <w:t xml:space="preserve">Recorded returns while the service was subject-restricted: mathematics 25 and 24, physics 8 and 15, modern foreign languages 29 and 27 in the two years to 2020/21; service costs GBP 361 345 and GBP 325 563 in those years. The counts capture only returns recorded by the department, so unreported and other-subject returns are missing, and the implied cost per recorded returner has no additionality control (UK Parliament, 2022; Walker, 2022).</w:t>
      </w:r>
    </w:p>
    <w:p>
      <w:pPr>
        <w:spacing w:after="120"/>
      </w:pPr>
      <w:r>
        <w:rPr>
          <w:vertAlign w:val="superscript"/>
        </w:rPr>
        <w:t xml:space="preserve">7</w:t>
      </w:r>
      <w:r>
        <w:t xml:space="preserve"> </w:t>
      </w:r>
      <w:r>
        <w:rPr>
          <w:sz w:val="20"/>
          <w:szCs w:val="20"/>
        </w:rPr>
        <w:t xml:space="preserve">Land counts compiled by the survey, on varying definitions and dates: Baden-Württemberg 531, Bavaria about 690, Berlin about 400, Hamburg 285, Schleswig-Holstein 390, Thuringia about 220, and 1 304 teachers past pension age in North Rhine-Westphalia (Deutsches Schulportal, 2023).</w:t>
      </w:r>
    </w:p>
    <w:p>
      <w:pPr>
        <w:spacing w:after="120"/>
      </w:pPr>
      <w:r>
        <w:rPr>
          <w:vertAlign w:val="superscript"/>
        </w:rPr>
        <w:t xml:space="preserve">8</w:t>
      </w:r>
      <w:r>
        <w:t xml:space="preserve"> </w:t>
      </w:r>
      <w:r>
        <w:rPr>
          <w:sz w:val="20"/>
          <w:szCs w:val="20"/>
        </w:rPr>
        <w:t xml:space="preserve">The survey counted 457 000 retired or pensioned teachers in 2021, against an active workforce of roughly 800 000 (Deutsches Schulportal, 2023). &lt;!-- Note for the Section 4 writer: the third verified display table, "Who counts re-entry: the counting body behind each measure's published record" (Table 3.4 in displays_data.md), has deliberately NOT been used in Section 3. It is reserved for the conclusions, where it would carry the accountability/measurement lesson; if used, renumber it Table 5 and rewrite its caption in the EPO finding-as-sentence style, keeping rows byte-intact. --&gt;</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aps/>
        <w:color w:val="595959"/>
        <w:sz w:val="16"/>
        <w:szCs w:val="16"/>
      </w:rPr>
      <w:t xml:space="preserve">FORMER TEACHERS: BARRIERS, INCENTIVES AND POLICY LESSONS FOR RE-ENTRY — POLICY PAPER,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Garamond" w:cs="Garamond" w:eastAsia="Garamond" w:hAnsi="Garamond"/>
      <w:b/>
      <w:bCs/>
      <w:color w:val="4E81BD"/>
      <w:sz w:val="40"/>
      <w:szCs w:val="40"/>
    </w:rPr>
  </w:style>
  <w:style w:type="paragraph" w:styleId="Heading2">
    <w:name w:val="Heading 2"/>
    <w:basedOn w:val="Normal"/>
    <w:next w:val="Normal"/>
    <w:qFormat/>
    <w:pPr>
      <w:spacing w:after="160" w:before="280"/>
      <w:outlineLvl w:val="1"/>
    </w:pPr>
    <w:rPr>
      <w:rFonts w:ascii="Garamond" w:cs="Garamond" w:eastAsia="Garamond" w:hAnsi="Garamond"/>
      <w:b/>
      <w:bCs/>
      <w:color w:val="4E81BD"/>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color w:val="4E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2026-08-19T07:40:18.802Z</dcterms:created>
  <dcterms:modified xsi:type="dcterms:W3CDTF">2026-08-19T07:40:18.816Z</dcterms:modified>
</cp:coreProperties>
</file>

<file path=docProps/custom.xml><?xml version="1.0" encoding="utf-8"?>
<Properties xmlns="http://schemas.openxmlformats.org/officeDocument/2006/custom-properties" xmlns:vt="http://schemas.openxmlformats.org/officeDocument/2006/docPropsVTypes"/>
</file>