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End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2761BCF8" w14:textId="012AEE38" w:rsidR="00F40E91" w:rsidRPr="006E21ED" w:rsidRDefault="00A42790">
      <w:pPr>
        <w:pStyle w:val="Heading1"/>
        <w:pageBreakBefore/>
        <w:spacing w:after="220"/>
        <w:rPr>
          <w:b/>
          <w:bCs/>
          <w:color w:val="04629A"/>
          <w:sz w:val="25"/>
          <w:szCs w:val="25"/>
        </w:rPr>
      </w:pPr>
      <w:bookmarkStart w:id="5" w:name="_Toc239235953"/>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 xml:space="preserve">(</w:t>
      </w:r>
      <w:hyperlink w:anchor="Ref_OECD2025a" w:history="1">
        <w:r>
          <w:rPr>
            <w:color w:val="0563C1"/>
          </w:rPr>
          <w:t xml:space="preserve">OECD, 2025a</w:t>
        </w:r>
      </w:hyperlink>
      <w:r>
        <w:rPr>
          <w:color w:val="0563C1"/>
        </w:rPr>
        <w:t xml:space="preserve">; </w:t>
      </w:r>
      <w:hyperlink w:anchor="Ref_UNESCO2024" w:history="1">
        <w:r>
          <w:rPr>
            <w:color w:val="0563C1"/>
          </w:rPr>
          <w:t xml:space="preserve">UNESCO, 2024</w:t>
        </w:r>
      </w:hyperlink>
      <w:r>
        <w:rPr>
          <w:color w:val="0563C1"/>
        </w:rPr>
        <w:t xml:space="preserve">; </w:t>
      </w:r>
      <w:hyperlink w:anchor="Ref_Madigan2021" w:history="1">
        <w:r>
          <w:rPr>
            <w:color w:val="0563C1"/>
          </w:rPr>
          <w:t xml:space="preserve">Madigan and Kim, 2021</w:t>
        </w:r>
      </w:hyperlink>
      <w:r>
        <w:rPr>
          <w:color w:val="0563C1"/>
        </w:rPr>
        <w:t xml:space="preserve">; </w:t>
      </w:r>
      <w:hyperlink w:anchor="Ref_OECD2025b" w:history="1">
        <w:r>
          <w:rPr>
            <w:color w:val="0563C1"/>
          </w:rPr>
          <w:t xml:space="preserve">OECD, 2025b</w:t>
        </w:r>
      </w:hyperlink>
      <w:r>
        <w:rPr>
          <w:color w:val="0563C1"/>
        </w:rPr>
        <w:t xml:space="preserve">)</w:t>
      </w:r>
      <w:r>
        <w:t xml:space="preserve">. This section therefore reviews what is known about why teachers leave, before the paper turns to the policies that have tried to bring them back.</w:t>
      </w:r>
    </w:p>
    <w:p w14:paraId="3D933550" w14:textId="77777777" w:rsidR="00F40E91" w:rsidRDefault="00A42790">
      <w:pPr>
        <w:spacing w:after="130" w:line="242" w:lineRule="auto"/>
        <w:jc w:val="both"/>
      </w:pPr>
      <w:r>
        <w:t>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p>
    <w:p w14:paraId="5371016C" w14:textId="77777777" w:rsidR="00F40E91" w:rsidRDefault="00A42790">
      <w:pPr>
        <w:pStyle w:val="Heading2"/>
        <w:spacing w:before="200" w:after="120"/>
      </w:pPr>
      <w:bookmarkStart w:id="6" w:name="_Toc239235954"/>
      <w:r>
        <w:rPr>
          <w:b/>
          <w:bCs/>
          <w:color w:val="04629A"/>
          <w:sz w:val="25"/>
          <w:szCs w:val="25"/>
        </w:rPr>
        <w:t>2.1 The teacher leaving rate and its evolution</w:t>
      </w:r>
      <w:bookmarkEnd w:id="6"/>
    </w:p>
    <w:p w14:paraId="4855CEA5" w14:textId="4ECCB773" w:rsidR="00843159" w:rsidRDefault="00A42790" w:rsidP="00843159">
      <w:pPr>
        <w:spacing w:after="130" w:line="242" w:lineRule="auto"/>
        <w:jc w:val="both"/>
      </w:pPr>
      <w:r>
        <w:t xml:space="preserve">The average teachers leaving rate among the OECD countries was 6.5% in 2023 </w:t>
      </w:r>
      <w:r>
        <w:rPr>
          <w:color w:val="0563C1"/>
        </w:rPr>
        <w:t xml:space="preserve">(</w:t>
      </w:r>
      <w:hyperlink w:anchor="Ref_OECD2025a" w:history="1">
        <w:r>
          <w:rPr>
            <w:color w:val="0563C1"/>
          </w:rPr>
          <w:t xml:space="preserve">OECD, 2025a</w:t>
        </w:r>
      </w:hyperlink>
      <w:r>
        <w:rPr>
          <w:color w:val="0563C1"/>
        </w:rPr>
        <w:t xml:space="preserve">)</w:t>
      </w:r>
      <w:r>
        <w:t xml:space="preserve">, with considerable heterogeneities among countries with data availability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leavers and swtichers, raising potential issues with working conditions and teacher retention that forces the system to replace a substantial share of its stock every year. </w:t>
      </w:r>
    </w:p>
    <w:p w14:paraId="7662D36C" w14:textId="0283B347" w:rsidR="00843159" w:rsidRDefault="00843159">
      <w:pPr>
        <w:spacing w:after="130" w:line="242" w:lineRule="auto"/>
        <w:jc w:val="both"/>
      </w:pPr>
      <w:r>
        <w:t xml:space="preserve">The evolution of the leaving rate across time tends to be stable in most of the observed countries. The OECD average leaving rate moved from 6.9% in 2015 to 6.5% in 2023 and most systems present in both years moved by less than a percentage point </w:t>
      </w:r>
      <w:r>
        <w:rPr>
          <w:color w:val="0563C1"/>
        </w:rPr>
        <w:t xml:space="preserve">(</w:t>
      </w:r>
      <w:hyperlink w:anchor="Ref_OECD2025a" w:history="1">
        <w:r>
          <w:rPr>
            <w:color w:val="0563C1"/>
          </w:rPr>
          <w:t xml:space="preserve">OECD, 2025a</w:t>
        </w:r>
      </w:hyperlink>
      <w:r>
        <w:rPr>
          <w:color w:val="0563C1"/>
        </w:rPr>
        <w:t xml:space="preserve">)</w:t>
      </w:r>
      <w:r>
        <w:t xml:space="preserve">.</w:t>
      </w:r>
      <w:r>
        <w:rPr>
          <w:rStyle w:val="FootnoteReference"/>
        </w:rPr>
        <w:footnoteReference w:id="1"/>
      </w:r>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r>
        <w:rPr>
          <w:color w:val="0563C1"/>
        </w:rPr>
        <w:t xml:space="preserve">(</w:t>
      </w:r>
      <w:hyperlink w:anchor="Ref_NCES2024" w:history="1">
        <w:r>
          <w:rPr>
            <w:color w:val="0563C1"/>
          </w:rPr>
          <w:t xml:space="preserve">NCES, 2024</w:t>
        </w:r>
      </w:hyperlink>
      <w:r>
        <w:rPr>
          <w:color w:val="0563C1"/>
        </w:rPr>
        <w:t xml:space="preserve">)</w:t>
      </w:r>
      <w:r>
        <w:t xml:space="preserve">,</w:t>
      </w:r>
      <w:r>
        <w:rPr>
          <w:rStyle w:val="FootnoteReference"/>
        </w:rPr>
        <w:footnoteReference w:id="2"/>
      </w:r>
      <w:r>
        <w:t xml:space="preserve"> and similar patterns hold in England, New Zealand, Sweden, Israel, Iceland, Norway and Flanders </w:t>
      </w:r>
      <w:r>
        <w:rPr>
          <w:color w:val="0563C1"/>
        </w:rPr>
        <w:t xml:space="preserve">(</w:t>
      </w:r>
      <w:hyperlink w:anchor="Ref_DfE2024a" w:history="1">
        <w:r>
          <w:rPr>
            <w:color w:val="0563C1"/>
          </w:rPr>
          <w:t xml:space="preserve">Department for Education, 2024a</w:t>
        </w:r>
      </w:hyperlink>
      <w:r>
        <w:rPr>
          <w:color w:val="0563C1"/>
        </w:rPr>
        <w:t xml:space="preserve">; </w:t>
      </w:r>
      <w:hyperlink w:anchor="Ref_EducationCounts2025" w:history="1">
        <w:r>
          <w:rPr>
            <w:color w:val="0563C1"/>
          </w:rPr>
          <w:t xml:space="preserve">Education Counts, 2025</w:t>
        </w:r>
      </w:hyperlink>
      <w:r>
        <w:rPr>
          <w:color w:val="0563C1"/>
        </w:rPr>
        <w:t xml:space="preserve">; </w:t>
      </w:r>
      <w:hyperlink w:anchor="Ref_Adermon2018" w:history="1">
        <w:r>
          <w:rPr>
            <w:color w:val="0563C1"/>
          </w:rPr>
          <w:t xml:space="preserve">Adermon and Laun, 2018</w:t>
        </w:r>
      </w:hyperlink>
      <w:r>
        <w:rPr>
          <w:color w:val="0563C1"/>
        </w:rPr>
        <w:t xml:space="preserve">; </w:t>
      </w:r>
      <w:hyperlink w:anchor="Ref_CBSIsrael2023" w:history="1">
        <w:r>
          <w:rPr>
            <w:color w:val="0563C1"/>
          </w:rPr>
          <w:t xml:space="preserve">CBS Israel, 2023</w:t>
        </w:r>
      </w:hyperlink>
      <w:r>
        <w:rPr>
          <w:color w:val="0563C1"/>
        </w:rPr>
        <w:t xml:space="preserve">; </w:t>
      </w:r>
      <w:hyperlink w:anchor="Ref_Bjornsdottir2024" w:history="1">
        <w:r>
          <w:rPr>
            <w:color w:val="0563C1"/>
          </w:rPr>
          <w:t xml:space="preserve">Björnsdóttir and Hansen, 2024</w:t>
        </w:r>
      </w:hyperlink>
      <w:r>
        <w:rPr>
          <w:color w:val="0563C1"/>
        </w:rPr>
        <w:t xml:space="preserve">; </w:t>
      </w:r>
      <w:hyperlink w:anchor="Ref_StatNorway2025" w:history="1">
        <w:r>
          <w:rPr>
            <w:color w:val="0563C1"/>
          </w:rPr>
          <w:t xml:space="preserve">Statistics Norway, 2025</w:t>
        </w:r>
      </w:hyperlink>
      <w:r>
        <w:rPr>
          <w:color w:val="0563C1"/>
        </w:rPr>
        <w:t xml:space="preserve">; </w:t>
      </w:r>
      <w:hyperlink w:anchor="Ref_Vansteenkiste2025" w:history="1">
        <w:r>
          <w:rPr>
            <w:color w:val="0563C1"/>
          </w:rPr>
          <w:t xml:space="preserve">Vansteenkiste, 2025</w:t>
        </w:r>
      </w:hyperlink>
      <w:r>
        <w:rPr>
          <w:color w:val="0563C1"/>
        </w:rPr>
        <w:t xml:space="preserve">)</w:t>
      </w:r>
      <w:r>
        <w:t xml:space="preserve">.</w:t>
      </w:r>
      <w:r>
        <w:rPr>
          <w:rStyle w:val="FootnoteReference"/>
        </w:rPr>
        <w:footnoteReference w:id="3"/>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hyperlink w:anchor="Ref_OECD2025a" w:history="1">
        <w:r>
          <w:rPr>
            <w:color w:val="0563C1"/>
            <w:sz w:val="17"/>
            <w:szCs w:val="17"/>
          </w:rPr>
          <w:t xml:space="preserve">OECD (2025a)</w:t>
        </w:r>
      </w:hyperlink>
      <w:r>
        <w:rPr>
          <w:sz w:val="17"/>
          <w:szCs w:val="17"/>
        </w:rPr>
        <w:t xml:space="preserve">, Education at a Glance 2025, Table D8.4.</w:t>
      </w:r>
    </w:p>
    <w:p w14:paraId="1313B9A2" w14:textId="77777777" w:rsidR="00F40E91" w:rsidRDefault="00A42790">
      <w:pPr>
        <w:spacing w:after="130" w:line="242" w:lineRule="auto"/>
        <w:jc w:val="both"/>
      </w:pPr>
      <w:r>
        <w: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t>
      </w:r>
      <w:r>
        <w:rPr>
          <w:color w:val="0563C1"/>
        </w:rPr>
        <w:t xml:space="preserve">(</w:t>
      </w:r>
      <w:hyperlink w:anchor="Ref_Aldeman2025" w:history="1">
        <w:r>
          <w:rPr>
            <w:color w:val="0563C1"/>
          </w:rPr>
          <w:t xml:space="preserve">Aldeman and Yi, 2025</w:t>
        </w:r>
      </w:hyperlink>
      <w:r>
        <w:rPr>
          <w:color w:val="0563C1"/>
        </w:rPr>
        <w:t xml:space="preserve">)</w:t>
      </w:r>
      <w:r>
        <w:t xml:space="preserve">, an ordering already visible in the 1990s </w:t>
      </w:r>
      <w:r>
        <w:rPr>
          <w:color w:val="0563C1"/>
        </w:rPr>
        <w:t xml:space="preserve">(</w:t>
      </w:r>
      <w:hyperlink w:anchor="Ref_Harris2007" w:history="1">
        <w:r>
          <w:rPr>
            <w:color w:val="0563C1"/>
          </w:rPr>
          <w:t xml:space="preserve">Harris and Adams, 2007</w:t>
        </w:r>
      </w:hyperlink>
      <w:r>
        <w:rPr>
          <w:color w:val="0563C1"/>
        </w:rPr>
        <w:t xml:space="preserve">)</w:t>
      </w:r>
      <w:r>
        <w:t xml:space="preserve">; in Australia, a study using administrative records finds that the teacher leaving rate was the lowest among 97 occupation groups </w:t>
      </w:r>
      <w:r>
        <w:rPr>
          <w:color w:val="0563C1"/>
        </w:rPr>
        <w:t xml:space="preserve">(</w:t>
      </w:r>
      <w:hyperlink w:anchor="Ref_Buckley2025" w:history="1">
        <w:r>
          <w:rPr>
            <w:color w:val="0563C1"/>
          </w:rPr>
          <w:t xml:space="preserve">Buckley and Griselda, 2025</w:t>
        </w:r>
      </w:hyperlink>
      <w:r>
        <w:rPr>
          <w:color w:val="0563C1"/>
        </w:rPr>
        <w:t xml:space="preserve">)</w:t>
      </w:r>
      <w:r>
        <w:t xml:space="preserve"> and in Sweden, register data show that annual exits among teachers, preschool teachers, nurses and police are alike </w:t>
      </w:r>
      <w:r>
        <w:rPr>
          <w:color w:val="0563C1"/>
        </w:rPr>
        <w:t xml:space="preserve">(</w:t>
      </w:r>
      <w:hyperlink w:anchor="Ref_Adermon2018" w:history="1">
        <w:r>
          <w:rPr>
            <w:color w:val="0563C1"/>
          </w:rPr>
          <w:t xml:space="preserve">Adermon and Laun, 2018</w:t>
        </w:r>
      </w:hyperlink>
      <w:r>
        <w:rPr>
          <w:color w:val="0563C1"/>
        </w:rPr>
        <w:t xml:space="preserve">)</w:t>
      </w:r>
      <w:r>
        <w:t xml:space="preserve">.</w:t>
      </w:r>
    </w:p>
    <w:p w14:paraId="76C54116" w14:textId="4194AC45" w:rsidR="00F40E91" w:rsidRDefault="00A42790">
      <w:pPr>
        <w:spacing w:after="130" w:line="242" w:lineRule="auto"/>
        <w:jc w:val="both"/>
      </w:pPr>
      <w:r>
        <w: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 xml:space="preserve">(</w:t>
      </w:r>
      <w:hyperlink w:anchor="Ref_UNESCO2024" w:history="1">
        <w:r>
          <w:rPr>
            <w:color w:val="0563C1"/>
          </w:rPr>
          <w:t xml:space="preserve">UNESCO, 2024</w:t>
        </w:r>
      </w:hyperlink>
      <w:r>
        <w:rPr>
          <w:color w:val="0563C1"/>
        </w:rPr>
        <w:t xml:space="preserve">; </w:t>
      </w:r>
      <w:hyperlink w:anchor="Ref_CarverThomas2019" w:history="1">
        <w:r>
          <w:rPr>
            <w:color w:val="0563C1"/>
          </w:rPr>
          <w:t xml:space="preserve">Carver-Thomas and Darling-Hammond, 2019</w:t>
        </w:r>
      </w:hyperlink>
      <w:r>
        <w:rPr>
          <w:color w:val="0563C1"/>
        </w:rPr>
        <w:t xml:space="preserve">; </w:t>
      </w:r>
      <w:hyperlink w:anchor="Ref_Nguyen2024" w:history="1">
        <w:r>
          <w:rPr>
            <w:color w:val="0563C1"/>
          </w:rPr>
          <w:t xml:space="preserve">Nguyen, Lam and Bruno, 2024</w:t>
        </w:r>
      </w:hyperlink>
      <w:r>
        <w:rPr>
          <w:color w:val="0563C1"/>
        </w:rPr>
        <w:t xml:space="preserve">)</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 xml:space="preserve">(</w:t>
      </w:r>
      <w:hyperlink w:anchor="Ref_OECD2025a" w:history="1">
        <w:r>
          <w:rPr>
            <w:color w:val="0563C1"/>
          </w:rPr>
          <w:t xml:space="preserve">OECD, 2025a</w:t>
        </w:r>
      </w:hyperlink>
      <w:r>
        <w:rPr>
          <w:color w:val="0563C1"/>
        </w:rPr>
        <w:t xml:space="preserve">)</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 xml:space="preserve">(</w:t>
      </w:r>
      <w:hyperlink w:anchor="Ref_Papay2020" w:history="1">
        <w:r>
          <w:rPr>
            <w:color w:val="0563C1"/>
          </w:rPr>
          <w:t xml:space="preserve">Papay et al., 2020</w:t>
        </w:r>
      </w:hyperlink>
      <w:r>
        <w:rPr>
          <w:color w:val="0563C1"/>
        </w:rPr>
        <w:t xml:space="preserve">; </w:t>
      </w:r>
      <w:hyperlink w:anchor="Ref_DeCesare2017" w:history="1">
        <w:r>
          <w:rPr>
            <w:color w:val="0563C1"/>
          </w:rPr>
          <w:t xml:space="preserve">DeCesare et al., 2017</w:t>
        </w:r>
      </w:hyperlink>
      <w:r>
        <w:rPr>
          <w:color w:val="0563C1"/>
        </w:rPr>
        <w:t xml:space="preserve">; </w:t>
      </w:r>
      <w:hyperlink w:anchor="Ref_Nickow2024" w:history="1">
        <w:r>
          <w:rPr>
            <w:color w:val="0563C1"/>
          </w:rPr>
          <w:t xml:space="preserve">Nickow, Oreopoulos and Quan, 2024</w:t>
        </w:r>
      </w:hyperlink>
      <w:r>
        <w:rPr>
          <w:color w:val="0563C1"/>
        </w:rPr>
        <w:t xml:space="preserve">)</w:t>
      </w:r>
      <w:r>
        <w:t xml:space="preserve">.</w:t>
      </w:r>
    </w:p>
    <w:p w14:paraId="085ED38B" w14:textId="77777777" w:rsidR="00F40E91" w:rsidRDefault="00A42790">
      <w:pPr>
        <w:pStyle w:val="Heading2"/>
        <w:spacing w:before="200" w:after="120"/>
      </w:pPr>
      <w:bookmarkStart w:id="7" w:name="_Toc239235955"/>
      <w:r>
        <w:rPr>
          <w:b/>
          <w:bCs/>
          <w:color w:val="04629A"/>
          <w:sz w:val="25"/>
          <w:szCs w:val="25"/>
        </w:rPr>
        <w:t>2.2 Determinants of teachers leaving</w:t>
      </w:r>
      <w:bookmarkEnd w:id="7"/>
    </w:p>
    <w:p w14:paraId="38E63A5D" w14:textId="30FBA683" w:rsidR="00F40E91" w:rsidRDefault="00A42790">
      <w:pPr>
        <w:spacing w:after="130" w:line="242" w:lineRule="auto"/>
        <w:jc w:val="both"/>
      </w:pPr>
      <w:r>
        <w: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in their external validity and in the way motives are grouped. Building on a comprehensive review of this literature and on recent meta-analyses </w:t>
      </w:r>
      <w:r>
        <w:rPr>
          <w:color w:val="0563C1"/>
        </w:rPr>
        <w:t xml:space="preserve">(</w:t>
      </w:r>
      <w:hyperlink w:anchor="Ref_Nguyen2020" w:history="1">
        <w:r>
          <w:rPr>
            <w:color w:val="0563C1"/>
          </w:rPr>
          <w:t xml:space="preserve">Nguyen et al., 2020</w:t>
        </w:r>
      </w:hyperlink>
      <w:r>
        <w:rPr>
          <w:color w:val="0563C1"/>
        </w:rPr>
        <w:t xml:space="preserve">; </w:t>
      </w:r>
      <w:hyperlink w:anchor="Ref_Gundlach2024" w:history="1">
        <w:r>
          <w:rPr>
            <w:color w:val="0563C1"/>
          </w:rPr>
          <w:t xml:space="preserve">Gundlach, Slemp and Hattie, 2024</w:t>
        </w:r>
      </w:hyperlink>
      <w:r>
        <w:rPr>
          <w:color w:val="0563C1"/>
        </w:rPr>
        <w:t xml:space="preserve">)</w:t>
      </w:r>
      <w:r>
        <w:t xml:space="preserve">, this paper classifies the reasons into six areas</w:t>
      </w:r>
      <w:r>
        <w:rPr>
          <w:rStyle w:val="FootnoteReference"/>
        </w:rPr>
        <w:footnoteReference w:id="4"/>
      </w:r>
      <w:r>
        <w:t xml:space="preserve"> (see Table 1).</w:t>
      </w:r>
    </w:p>
    <w:p w14:paraId="7359C478" w14:textId="77777777" w:rsidR="00F40E91" w:rsidRDefault="00A42790">
      <w:pPr>
        <w:spacing w:after="130" w:line="242" w:lineRule="auto"/>
        <w:jc w:val="both"/>
      </w:pPr>
      <w:commentRangeStart w:id="8"/>
      <w:r>
        <w:rPr>
          <w:b/>
          <w:bCs/>
        </w:rPr>
        <w:t>Table 1. Reasons for leaving teaching, by area</w:t>
      </w:r>
      <w:commentRangeEnd w:id="8"/>
      <w:r>
        <w:rPr>
          <w:rStyle w:val="CommentReference"/>
          <w:sz w:val="23"/>
          <w:szCs w:val="23"/>
        </w:rPr>
        <w:commentReference w:id="8"/>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769"/>
        <w:gridCol w:w="7109"/>
      </w:tblGrid>
      <w:tr w:rsidR="00F40E91"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Default="00A42790">
            <w:pPr>
              <w:spacing w:after="40"/>
            </w:pPr>
            <w:r>
              <w:rPr>
                <w:b/>
                <w:bCs/>
                <w:sz w:val="17"/>
                <w:szCs w:val="17"/>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Default="00A42790">
            <w:pPr>
              <w:spacing w:after="40"/>
            </w:pPr>
            <w:r>
              <w:rPr>
                <w:b/>
                <w:bCs/>
                <w:sz w:val="17"/>
                <w:szCs w:val="17"/>
              </w:rPr>
              <w:t>Reasons</w:t>
            </w:r>
          </w:p>
        </w:tc>
      </w:tr>
      <w:tr w:rsidR="00F40E91"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Default="00A42790">
            <w:pPr>
              <w:spacing w:after="40"/>
            </w:pPr>
            <w:r>
              <w:rPr>
                <w:sz w:val="17"/>
                <w:szCs w:val="17"/>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Default="00A42790">
            <w:pPr>
              <w:spacing w:after="40"/>
            </w:pPr>
            <w:r>
              <w:rPr>
                <w:sz w:val="17"/>
                <w:szCs w:val="17"/>
              </w:rPr>
              <w:t>Loss of professional purpose; limited autonomy over the work; professional standing; exposure to parental complaint and legal risk</w:t>
            </w:r>
          </w:p>
        </w:tc>
      </w:tr>
      <w:tr w:rsidR="00F40E91"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Default="00A42790">
            <w:pPr>
              <w:spacing w:after="40"/>
            </w:pPr>
            <w:r>
              <w:rPr>
                <w:sz w:val="17"/>
                <w:szCs w:val="17"/>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Default="00A42790">
            <w:pPr>
              <w:spacing w:after="40"/>
            </w:pPr>
            <w:r>
              <w:rPr>
                <w:sz w:val="17"/>
                <w:szCs w:val="17"/>
              </w:rPr>
              <w:t>Hours and total workload; pupil behaviour and classroom discipline; administrative and documentation demands; limited access to reduced hours; burnout and exhaustion</w:t>
            </w:r>
          </w:p>
        </w:tc>
      </w:tr>
      <w:tr w:rsidR="00F40E91"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Default="00A42790">
            <w:pPr>
              <w:spacing w:after="40"/>
            </w:pPr>
            <w:r>
              <w:rPr>
                <w:sz w:val="17"/>
                <w:szCs w:val="17"/>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Default="00A42790">
            <w:pPr>
              <w:spacing w:after="40"/>
            </w:pPr>
            <w:r>
              <w:rPr>
                <w:sz w:val="17"/>
                <w:szCs w:val="17"/>
              </w:rPr>
              <w:t>School leadership; collegial support and team structure</w:t>
            </w:r>
          </w:p>
        </w:tc>
      </w:tr>
      <w:tr w:rsidR="00F40E91"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Default="00A42790">
            <w:pPr>
              <w:spacing w:after="40"/>
            </w:pPr>
            <w:r>
              <w:rPr>
                <w:sz w:val="17"/>
                <w:szCs w:val="17"/>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Default="00A42790">
            <w:pPr>
              <w:spacing w:after="40"/>
            </w:pPr>
            <w:r>
              <w:rPr>
                <w:sz w:val="17"/>
                <w:szCs w:val="17"/>
              </w:rPr>
              <w:t>External inspection and its consequences; certification and licensing requirements</w:t>
            </w:r>
          </w:p>
        </w:tc>
      </w:tr>
      <w:tr w:rsidR="00F40E91"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Default="00A42790">
            <w:pPr>
              <w:spacing w:after="40"/>
            </w:pPr>
            <w:r>
              <w:rPr>
                <w:sz w:val="17"/>
                <w:szCs w:val="17"/>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Default="00A42790">
            <w:pPr>
              <w:spacing w:after="40"/>
            </w:pPr>
            <w:r>
              <w:rPr>
                <w:sz w:val="17"/>
                <w:szCs w:val="17"/>
              </w:rPr>
              <w:t>Salary relative to outside options; pension design and its timing incentives; contract insecurity</w:t>
            </w:r>
          </w:p>
        </w:tc>
      </w:tr>
      <w:tr w:rsidR="00F40E91"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Default="00A42790">
            <w:pPr>
              <w:spacing w:after="40"/>
            </w:pPr>
            <w:r>
              <w:rPr>
                <w:sz w:val="17"/>
                <w:szCs w:val="17"/>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Default="00A42790">
            <w:pPr>
              <w:spacing w:after="40"/>
            </w:pPr>
            <w:r>
              <w:rPr>
                <w:sz w:val="17"/>
                <w:szCs w:val="17"/>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151578E8" w14:textId="1C142BFD" w:rsidR="00EA4639" w:rsidRDefault="00BD2158">
      <w:pPr>
        <w:spacing w:after="130" w:line="242" w:lineRule="auto"/>
        <w:jc w:val="both"/>
        <w:rPr>
          <w:color w:val="000000" w:themeColor="text1"/>
        </w:rPr>
      </w:pPr>
      <w:r>
        <w:rPr>
          <w:color w:val="000000" w:themeColor="text1"/>
        </w:rPr>
        <w:t xml:space="preserve">First, professional factors group the motives related to the purpose, autonomy and standing of the teaching work. This area covers teachers who decide to leave because they no longer find meaning in teaching, who feel they have lost control over how to exercise it, or who perceive a deterioration in the standing of the profession, often due to the exposure to parental complaint and legal action. The evidence on this area comes mainly from surveys and focus groups where teachers declare their intention to leave and the reasons associated with it, that that despite being an imperfect proxy of actual leaving</w:t>
      </w:r>
      <w:r>
        <w:rPr>
          <w:rStyle w:val="FootnoteReference"/>
          <w:color w:val="000000" w:themeColor="text1"/>
        </w:rPr>
        <w:footnoteReference w:id="5"/>
      </w:r>
      <w:r>
        <w:rPr>
          <w:color w:val="000000" w:themeColor="text1"/>
        </w:rPr>
        <w:t xml:space="preserve">, reaches motives that administrative records cannot register. </w:t>
      </w:r>
    </w:p>
    <w:p w14:paraId="06D42C4E" w14:textId="1ED7C954" w:rsidR="00865AF8" w:rsidRDefault="00BD2158">
      <w:pPr>
        <w:spacing w:after="130" w:line="242" w:lineRule="auto"/>
        <w:jc w:val="both"/>
        <w:rPr>
          <w:color w:val="000000" w:themeColor="text1"/>
        </w:rPr>
      </w:pPr>
      <w:r>
        <w:rPr>
          <w:color w:val="000000" w:themeColor="text1"/>
        </w:rPr>
        <w:t xml:space="preserve">A great example is Finland, where a longitudinal survey that followed teachers over five years found a lack of professional commitment named persistently over workload and interpersonal relation difficulties among those declaring an intention to leave </w:t>
      </w:r>
      <w:r>
        <w:rPr>
          <w:color w:val="0563C1"/>
        </w:rPr>
        <w:t xml:space="preserve">(</w:t>
      </w:r>
      <w:hyperlink w:anchor="Ref_Rasanen2020" w:history="1">
        <w:r>
          <w:rPr>
            <w:color w:val="0563C1"/>
          </w:rPr>
          <w:t xml:space="preserve">Räsänen et al., 2020</w:t>
        </w:r>
      </w:hyperlink>
      <w:r>
        <w:rPr>
          <w:color w:val="0563C1"/>
        </w:rPr>
        <w:t xml:space="preserve">)</w:t>
      </w:r>
      <w:r>
        <w:rPr>
          <w:color w:val="000000" w:themeColor="text1"/>
        </w:rPr>
        <w:t xml:space="preserve">.  Similarly, in England, teachers with the intention of leaving declared that their views are not considered by policymakers, giving this concern more importance than salary and economic incentives </w:t>
      </w:r>
      <w:r>
        <w:rPr>
          <w:color w:val="0563C1"/>
        </w:rPr>
        <w:t xml:space="preserve">(</w:t>
      </w:r>
      <w:hyperlink w:anchor="Ref_DfE2024b" w:history="1">
        <w:r>
          <w:rPr>
            <w:color w:val="0563C1"/>
          </w:rPr>
          <w:t xml:space="preserve">Department for Education, 2024b</w:t>
        </w:r>
      </w:hyperlink>
      <w:r>
        <w:rPr>
          <w:color w:val="0563C1"/>
        </w:rPr>
        <w:t xml:space="preserve">)</w:t>
      </w:r>
      <w:r>
        <w:rPr>
          <w:color w:val="000000" w:themeColor="text1"/>
        </w:rPr>
        <w:t xml:space="preserve">. When the question turns to actual leavers, this pattern remains consistent, in the United States, most switchers rate their new job above teaching in autonomy, influence and professional prestige, although not always in salary </w:t>
      </w:r>
      <w:r>
        <w:rPr>
          <w:color w:val="0563C1"/>
        </w:rPr>
        <w:t xml:space="preserve">(</w:t>
      </w:r>
      <w:hyperlink w:anchor="Ref_NCES2014" w:history="1">
        <w:r>
          <w:rPr>
            <w:color w:val="0563C1"/>
          </w:rPr>
          <w:t xml:space="preserve">NCES, 2014</w:t>
        </w:r>
      </w:hyperlink>
      <w:r>
        <w:rPr>
          <w:color w:val="0563C1"/>
        </w:rPr>
        <w:t xml:space="preserve">)</w:t>
      </w:r>
      <w:r>
        <w:rPr>
          <w:color w:val="000000" w:themeColor="text1"/>
        </w:rPr>
        <w:t xml:space="preserve">. Similar findings are found in the leaver surveys of the Netherlands and Sweden, where the lack of professional challenge and the limited control over one's own work rank among the leading motives, only behind working conditions </w:t>
      </w:r>
      <w:r>
        <w:rPr>
          <w:color w:val="0563C1"/>
        </w:rPr>
        <w:t xml:space="preserve">(</w:t>
      </w:r>
      <w:hyperlink w:anchor="Ref_VanCasteren2023" w:history="1">
        <w:r>
          <w:rPr>
            <w:color w:val="0563C1"/>
          </w:rPr>
          <w:t xml:space="preserve">Van Casteren et al., 2023</w:t>
        </w:r>
      </w:hyperlink>
      <w:r>
        <w:rPr>
          <w:color w:val="0563C1"/>
        </w:rPr>
        <w:t xml:space="preserve">; </w:t>
      </w:r>
      <w:hyperlink w:anchor="Ref_StatSweden2023" w:history="1">
        <w:r>
          <w:rPr>
            <w:color w:val="0563C1"/>
          </w:rPr>
          <w:t xml:space="preserve">Statistics Sweden, 2023</w:t>
        </w:r>
      </w:hyperlink>
      <w:r>
        <w:rPr>
          <w:color w:val="0563C1"/>
        </w:rPr>
        <w:t xml:space="preserve">).</w:t>
      </w:r>
    </w:p>
    <w:p w14:paraId="5A609B4A" w14:textId="33ED5985" w:rsidR="0037463F" w:rsidRDefault="00D20F84">
      <w:pPr>
        <w:spacing w:after="130" w:line="242" w:lineRule="auto"/>
        <w:jc w:val="both"/>
        <w:rPr>
          <w:color w:val="000000" w:themeColor="text1"/>
        </w:rPr>
      </w:pPr>
      <w:r>
        <w:rPr>
          <w:color w:val="000000" w:themeColor="text1"/>
        </w:rPr>
        <w:t xml:space="preserve">Moreover, the apparent decline in the perception of professional purpose of the teaching profession is not only a problem for those deciding to leave. The TALIS survey, which asks teachers across more than fifty countries about their work and its conditions, shows that across the OECD only 26% of teachers felt their profession was valued in society, and those who do feel valued are over 10% less likely to intend leaving within five years </w:t>
      </w:r>
      <w:r>
        <w:rPr>
          <w:color w:val="0563C1"/>
        </w:rPr>
        <w:t xml:space="preserve">(</w:t>
      </w:r>
      <w:hyperlink w:anchor="Ref_OECD2020" w:history="1">
        <w:r>
          <w:rPr>
            <w:color w:val="0563C1"/>
          </w:rPr>
          <w:t xml:space="preserve">OECD, 2020</w:t>
        </w:r>
      </w:hyperlink>
      <w:r>
        <w:rPr>
          <w:color w:val="0563C1"/>
        </w:rPr>
        <w:t xml:space="preserve">; </w:t>
      </w:r>
      <w:hyperlink w:anchor="Ref_OECD2025c" w:history="1">
        <w:r>
          <w:rPr>
            <w:color w:val="0563C1"/>
          </w:rPr>
          <w:t xml:space="preserve">OECD, 2025c</w:t>
        </w:r>
      </w:hyperlink>
      <w:r>
        <w:rPr>
          <w:color w:val="0563C1"/>
        </w:rPr>
        <w:t xml:space="preserve">).</w:t>
      </w:r>
      <w:r>
        <w:rPr>
          <w:color w:val="000000" w:themeColor="text1"/>
        </w:rPr>
        <w:t xml:space="preserve"> Taken together the evidence points to recognition and professional purpose as decisive in the decision to leave, consistent with teaching remaining as one of the most vocational career choices. This matters for policies that seek to bring former teachers back and highlight the importance of the recognition of their previous service, roles that make use of their experience and initiatives that increase their participation in decisions about their own work.</w:t>
      </w:r>
    </w:p>
    <w:p w14:paraId="54495EDD" w14:textId="448E04CC" w:rsidR="00365378" w:rsidRDefault="007906A8">
      <w:pPr>
        <w:spacing w:after="130" w:line="242" w:lineRule="auto"/>
        <w:jc w:val="both"/>
      </w:pPr>
      <w:r>
        <w:lastRenderedPageBreak/>
        <w:t xml:space="preserve">Secondly, complaints about working conditions are the most frequently declared factor associated with intention to leave in international surveys. In this area we group motives such as working hours and total workload, pupil behavior and classroom discipline, class size, administrative demands and the burnout that accumulates when these run together. According to TALIS 2024, one in four teachers across the OECD declare an intention to leave the profession within the next five years, and teachers who report high levels of stress are almost twice as likely to declare that intention. That stress comes mainly from too much administrative work and marking, from keeping up with constant changes in government requirements and from maintaining classroom discipline </w:t>
      </w:r>
      <w:r>
        <w:rPr>
          <w:color w:val="0563C1"/>
        </w:rPr>
        <w:t xml:space="preserve">(</w:t>
      </w:r>
      <w:hyperlink w:anchor="Ref_OECD2020" w:history="1">
        <w:r>
          <w:rPr>
            <w:color w:val="0563C1"/>
          </w:rPr>
          <w:t xml:space="preserve">OECD, 2020</w:t>
        </w:r>
      </w:hyperlink>
      <w:r>
        <w:rPr>
          <w:color w:val="0563C1"/>
        </w:rPr>
        <w:t xml:space="preserve">; </w:t>
      </w:r>
      <w:hyperlink w:anchor="Ref_OECD2025c" w:history="1">
        <w:r>
          <w:rPr>
            <w:color w:val="0563C1"/>
          </w:rPr>
          <w:t xml:space="preserve">OECD, 2025c</w:t>
        </w:r>
      </w:hyperlink>
      <w:r>
        <w:rPr>
          <w:color w:val="0563C1"/>
        </w:rPr>
        <w:t xml:space="preserve">)</w:t>
      </w:r>
      <w:r>
        <w:t xml:space="preserve">.</w:t>
      </w:r>
    </w:p>
    <w:p w14:paraId="0A0C1CE4" w14:textId="2AE744F6" w:rsidR="00E5737D" w:rsidRDefault="00605373">
      <w:pPr>
        <w:spacing w:after="130" w:line="242" w:lineRule="auto"/>
        <w:jc w:val="both"/>
      </w:pPr>
      <w:r>
        <w:t xml:space="preserve">In the same line, when actual leavers declare their motives, workload, understood as an excessive number of hours both in the school and in preparation outside it, emerges as the most cited reason among those related to working conditions. In the Netherlands, workload, stress and burden were named ahead of every other category, by 47% of recent leavers, complaining about intense working days, little rest within them and recurrent overtime </w:t>
      </w:r>
      <w:r>
        <w:rPr>
          <w:color w:val="0563C1"/>
        </w:rPr>
        <w:t xml:space="preserve">(</w:t>
      </w:r>
      <w:hyperlink w:anchor="Ref_VanCasteren2023" w:history="1">
        <w:r>
          <w:rPr>
            <w:color w:val="0563C1"/>
          </w:rPr>
          <w:t xml:space="preserve">Van Casteren et al., 2023</w:t>
        </w:r>
      </w:hyperlink>
      <w:r>
        <w:rPr>
          <w:color w:val="0563C1"/>
        </w:rPr>
        <w:t xml:space="preserve">)</w:t>
      </w:r>
      <w:r>
        <w:t xml:space="preserve">. Among these leavers, 80% declared that they could have been retained, most often with less workload or a smaller class, and a quarter with more supportive school leadership. In Sweden the most important motives where workload and parental expectations first and administrative tasks and the lack of control over one's own work following </w:t>
      </w:r>
      <w:r>
        <w:rPr>
          <w:color w:val="0563C1"/>
        </w:rPr>
        <w:t xml:space="preserve">(</w:t>
      </w:r>
      <w:hyperlink w:anchor="Ref_StatSweden2023" w:history="1">
        <w:r>
          <w:rPr>
            <w:color w:val="0563C1"/>
          </w:rPr>
          <w:t xml:space="preserve">Statistics Sweden, 2023</w:t>
        </w:r>
      </w:hyperlink>
      <w:r>
        <w:rPr>
          <w:color w:val="0563C1"/>
        </w:rPr>
        <w:t xml:space="preserve">)</w:t>
      </w:r>
      <w:r>
        <w:t xml:space="preserve">, and in Australia, the intensification of workload ranked second, only behind dissatisfaction with school leadership, which is examined later in this section </w:t>
      </w:r>
      <w:r>
        <w:rPr>
          <w:color w:val="0563C1"/>
        </w:rPr>
        <w:t xml:space="preserve">(</w:t>
      </w:r>
      <w:hyperlink w:anchor="Ref_Brandenburg2024" w:history="1">
        <w:r>
          <w:rPr>
            <w:color w:val="0563C1"/>
          </w:rPr>
          <w:t xml:space="preserve">Brandenburg et al., 2024</w:t>
        </w:r>
      </w:hyperlink>
      <w:r>
        <w:rPr>
          <w:color w:val="0563C1"/>
        </w:rPr>
        <w:t xml:space="preserve">)</w:t>
      </w:r>
      <w:r>
        <w:t xml:space="preserve">. </w:t>
      </w:r>
    </w:p>
    <w:p w14:paraId="2B6E9F69" w14:textId="4C9B84B1" w:rsidR="00E5737D" w:rsidRDefault="00F47CDC">
      <w:pPr>
        <w:spacing w:after="130" w:line="242" w:lineRule="auto"/>
        <w:jc w:val="both"/>
        <w:rPr>
          <w:color w:val="0563C1"/>
        </w:rPr>
      </w:pPr>
      <w:r>
        <w:t xml:space="preserve">However, the workload teachers declare goes beyond the number of hours of work stipulated by contract and mainly reflects the burden they perceive in the classroom. This can be observed in England, where TALIS responses were linked to administrative registers of the school workforce</w:t>
      </w:r>
      <w:r>
        <w:rPr>
          <w:rStyle w:val="FootnoteReference"/>
        </w:rPr>
        <w:footnoteReference w:id="6"/>
      </w:r>
      <w:r>
        <w:t xml:space="preserve">, so actual departures could be observed. Teachers in schools with worse discipline were more likely to leave the profession, specifically an improvement of one standard deviation in the school's discipline climate halves a teacher's annual probability of leaving the profession</w:t>
      </w:r>
      <w:r>
        <w:rPr>
          <w:rStyle w:val="FootnoteReference"/>
        </w:rPr>
        <w:footnoteReference w:id="7"/>
      </w:r>
      <w:r>
        <w:t xml:space="preserve">. In the same study, the amount of hours teachers worked did not predict their departure </w:t>
      </w:r>
      <w:r>
        <w:rPr>
          <w:color w:val="0563C1"/>
        </w:rPr>
        <w:t xml:space="preserve">(</w:t>
      </w:r>
      <w:hyperlink w:anchor="Ref_SimsJerrim2020" w:history="1">
        <w:r>
          <w:rPr>
            <w:color w:val="0563C1"/>
          </w:rPr>
          <w:t xml:space="preserve">Sims and Jerrim, 2020</w:t>
        </w:r>
      </w:hyperlink>
      <w:r>
        <w:rPr>
          <w:color w:val="0563C1"/>
        </w:rPr>
        <w:t xml:space="preserve">). </w:t>
      </w:r>
      <w:r>
        <w:t xml:space="preserve">This is relevant for policies that aim to re-attract former teachers, because teacher shortages tend to concentrate in disadvantaged or rural schools where the classroom climate is worst </w:t>
      </w:r>
      <w:r>
        <w:rPr>
          <w:color w:val="0563C1"/>
        </w:rPr>
        <w:t xml:space="preserve">(</w:t>
      </w:r>
      <w:hyperlink w:anchor="Ref_Simon2015" w:history="1">
        <w:r>
          <w:rPr>
            <w:color w:val="0563C1"/>
          </w:rPr>
          <w:t xml:space="preserve">Simon and Johnson, 2015</w:t>
        </w:r>
      </w:hyperlink>
      <w:r>
        <w:rPr>
          <w:color w:val="0563C1"/>
        </w:rPr>
        <w:t xml:space="preserve">; </w:t>
      </w:r>
      <w:hyperlink w:anchor="Ref_UNESCO2024" w:history="1">
        <w:r>
          <w:rPr>
            <w:color w:val="0563C1"/>
          </w:rPr>
          <w:t xml:space="preserve">UNESCO, 2024</w:t>
        </w:r>
      </w:hyperlink>
      <w:r>
        <w:rPr>
          <w:color w:val="0563C1"/>
        </w:rPr>
        <w:t xml:space="preserve">)</w:t>
      </w:r>
      <w:r>
        <w:t xml:space="preserve">. It also points to what such policies should attend to, the discipline climate of the school where a returner is placed and the teaching load they are offered </w:t>
      </w:r>
      <w:r>
        <w:rPr>
          <w:color w:val="0563C1"/>
        </w:rPr>
        <w:t xml:space="preserve">(</w:t>
      </w:r>
      <w:hyperlink w:anchor="Ref_SimsJerrim2020" w:history="1">
        <w:r>
          <w:rPr>
            <w:color w:val="0563C1"/>
          </w:rPr>
          <w:t xml:space="preserve">Sims and Jerrim, 2020</w:t>
        </w:r>
      </w:hyperlink>
      <w:r>
        <w:rPr>
          <w:color w:val="0563C1"/>
        </w:rPr>
        <w:t xml:space="preserve">; </w:t>
      </w:r>
      <w:hyperlink w:anchor="Ref_VanCasteren2023" w:history="1">
        <w:r>
          <w:rPr>
            <w:color w:val="0563C1"/>
          </w:rPr>
          <w:t xml:space="preserve">Van Casteren et al., 2023</w:t>
        </w:r>
      </w:hyperlink>
      <w:r>
        <w:rPr>
          <w:color w:val="0563C1"/>
        </w:rPr>
        <w:t xml:space="preserve">).</w:t>
      </w:r>
    </w:p>
    <w:p w14:paraId="250217BF" w14:textId="328AC184" w:rsidR="00A14A55" w:rsidRPr="00A14A55" w:rsidRDefault="00C44524" w:rsidP="00A14A55">
      <w:pPr>
        <w:spacing w:after="130" w:line="242" w:lineRule="auto"/>
        <w:jc w:val="both"/>
      </w:pPr>
      <w:r>
        <w:t xml:space="preserve">Thirdly, closely linked to the daily pressures of teaching, organisational factors play a decisive role in retention, as the quality of institutional support influences a teacher’s decision to stay. This area includes the quality of school leadership, the structuring of collaborative time, and the degree of collegial support within the institution. Among these, dissatisfaction with school leadership emerges as one of the most frequently cited predictors of teacher departure in the literature (</w:t>
      </w:r>
      <w:hyperlink w:anchor="Ref_Boyd2011" w:history="1">
        <w:r>
          <w:rPr>
            <w:color w:val="0563C1"/>
          </w:rPr>
          <w:t xml:space="preserve">Boyd et al., 2011</w:t>
        </w:r>
      </w:hyperlink>
      <w:r>
        <w:rPr>
          <w:color w:val="0563C1"/>
        </w:rPr>
        <w:t xml:space="preserve">; </w:t>
      </w:r>
      <w:hyperlink w:anchor="Ref_Ladd2011" w:history="1">
        <w:r>
          <w:rPr>
            <w:color w:val="0563C1"/>
          </w:rPr>
          <w:t xml:space="preserve">Ladd, 2011</w:t>
        </w:r>
      </w:hyperlink>
      <w:r>
        <w:rPr>
          <w:color w:val="0563C1"/>
        </w:rPr>
        <w:t xml:space="preserve">; </w:t>
      </w:r>
      <w:hyperlink w:anchor="Ref_Simon2015" w:history="1">
        <w:r>
          <w:rPr>
            <w:color w:val="0563C1"/>
          </w:rPr>
          <w:t xml:space="preserve">Simon and Johnson, 2015</w:t>
        </w:r>
      </w:hyperlink>
      <w:r>
        <w:rPr>
          <w:color w:val="0563C1"/>
        </w:rPr>
        <w:t xml:space="preserve">)</w:t>
      </w:r>
      <w:r>
        <w:t xml:space="preserve">. However, isolating the causal effect of school administration on retention is methodologically challenging as schools with highly effective principals tend to be the ones that already benefit from greater resources, more experienced staff, and a higher socio-economic student composition, making it difficult to disentangle the impact of leadership from favorable student and school characteristics.</w:t>
      </w:r>
    </w:p>
    <w:p w14:paraId="05420067" w14:textId="67FA4A83" w:rsidR="00243FDC" w:rsidRDefault="00080071">
      <w:pPr>
        <w:spacing w:after="130" w:line="242" w:lineRule="auto"/>
        <w:jc w:val="both"/>
      </w:pPr>
      <w:r>
        <w:t xml:space="preserve">Nonetheless, when studies account for these sorting dynamics, the direct effect of leadership remains substantial. Using comprehensive survey data matched to administrative records in New York, </w:t>
      </w:r>
      <w:hyperlink w:anchor="Ref_Boyd2011" w:history="1">
        <w:r>
          <w:rPr>
            <w:color w:val="0563C1"/>
          </w:rPr>
          <w:t xml:space="preserve">Boyd et al. (2011)</w:t>
        </w:r>
      </w:hyperlink>
      <w:r>
        <w:rPr>
          <w:color w:val="0563C1"/>
        </w:rPr>
        <w:t xml:space="preserve"> </w:t>
      </w:r>
      <w:r>
        <w:t xml:space="preserve">found that teachers' perceptions of school administration was the central factor to retain staff in schools, outweighing other working conditions and student demographics. Moreover, studies tracking the same schools over time demonstrate that when a school's leadership improves -specifically in supportiveness, trust, and communication- its teacher turnover falls </w:t>
      </w:r>
      <w:r>
        <w:rPr>
          <w:color w:val="0563C1"/>
        </w:rPr>
        <w:t xml:space="preserve">(</w:t>
      </w:r>
      <w:hyperlink w:anchor="Ref_Kraft2016" w:history="1">
        <w:r>
          <w:rPr>
            <w:color w:val="0563C1"/>
          </w:rPr>
          <w:t xml:space="preserve">Kraft, Marinell and Shen-Wei Yee, 2016</w:t>
        </w:r>
      </w:hyperlink>
      <w:r>
        <w:rPr>
          <w:color w:val="0563C1"/>
        </w:rPr>
        <w:t xml:space="preserve">).</w:t>
      </w:r>
    </w:p>
    <w:p w14:paraId="5E1B449D" w14:textId="491A4F48" w:rsidR="00616200" w:rsidRDefault="00616200" w:rsidP="00842847">
      <w:pPr>
        <w:spacing w:after="130" w:line="242" w:lineRule="auto"/>
        <w:jc w:val="both"/>
        <w:rPr>
          <w:color w:val="0563C1"/>
        </w:rPr>
      </w:pPr>
      <w:r>
        <w:t xml:space="preserve">Additionally, mentorship is also a relevant organisational lever as it accelerates the pedagogical development of novice educators and mitigates the professional isolation common in early-career teaching. The results from TALIS indicate that across the OECD only 22% of novice teachers report having an assigned mentor in their current school </w:t>
      </w:r>
      <w:r>
        <w:rPr>
          <w:color w:val="0563C1"/>
        </w:rPr>
        <w:t xml:space="preserve">(</w:t>
      </w:r>
      <w:hyperlink w:anchor="Ref_OECD2020" w:history="1">
        <w:r>
          <w:rPr>
            <w:color w:val="0563C1"/>
          </w:rPr>
          <w:t xml:space="preserve">OECD, 2020</w:t>
        </w:r>
      </w:hyperlink>
      <w:r>
        <w:rPr>
          <w:color w:val="0563C1"/>
        </w:rPr>
        <w:t xml:space="preserve">)</w:t>
      </w:r>
      <w:r>
        <w:t xml:space="preserve">. Furthermore, in a meta-analysis pooling 120 observational studies, </w:t>
      </w:r>
      <w:hyperlink w:anchor="Ref_Nguyen2020" w:history="1">
        <w:r>
          <w:rPr>
            <w:color w:val="0563C1"/>
          </w:rPr>
          <w:t xml:space="preserve">Nguyen et al. (2020)</w:t>
        </w:r>
      </w:hyperlink>
      <w:r>
        <w:t xml:space="preserve"> find that novice teachers who receive induction support are less likely to experience professional turnover. A particular example of this policy margin is England's Early Career Framework, which entitles every new teacher to two years of mentoring increasing teacher retention within their original school </w:t>
      </w:r>
      <w:r>
        <w:rPr>
          <w:color w:val="0563C1"/>
        </w:rPr>
        <w:t xml:space="preserve">(</w:t>
      </w:r>
      <w:hyperlink w:anchor="Ref_Walker2024" w:history="1">
        <w:r>
          <w:rPr>
            <w:color w:val="0563C1"/>
          </w:rPr>
          <w:t xml:space="preserve">Walker et al., 2024</w:t>
        </w:r>
      </w:hyperlink>
      <w:r>
        <w:rPr>
          <w:color w:val="0563C1"/>
        </w:rPr>
        <w:t xml:space="preserve">)</w:t>
      </w:r>
      <w:r>
        <w:t xml:space="preserve">. More broadly, strong collegial support and collaborative school environments consistently correlate with lower attrition intentions </w:t>
      </w:r>
      <w:r>
        <w:rPr>
          <w:color w:val="0563C1"/>
        </w:rPr>
        <w:t xml:space="preserve">(</w:t>
      </w:r>
      <w:hyperlink w:anchor="Ref_Johnson2012" w:history="1">
        <w:r>
          <w:rPr>
            <w:color w:val="0563C1"/>
          </w:rPr>
          <w:t xml:space="preserve">Johnson, Kraft and Papay, 2012</w:t>
        </w:r>
      </w:hyperlink>
      <w:r>
        <w:rPr>
          <w:color w:val="0563C1"/>
        </w:rPr>
        <w:t xml:space="preserve">; </w:t>
      </w:r>
      <w:hyperlink w:anchor="Ref_Simon2015" w:history="1">
        <w:r>
          <w:rPr>
            <w:color w:val="0563C1"/>
          </w:rPr>
          <w:t xml:space="preserve">Simon and Johnson, 2015</w:t>
        </w:r>
      </w:hyperlink>
      <w:r>
        <w:rPr>
          <w:color w:val="0563C1"/>
        </w:rPr>
        <w:t xml:space="preserve">).</w:t>
      </w:r>
    </w:p>
    <w:p w14:paraId="316EA4E8" w14:textId="2A5A87A4" w:rsidR="00DE4C1C" w:rsidRDefault="00DD5104" w:rsidP="00842847">
      <w:pPr>
        <w:spacing w:after="130" w:line="242" w:lineRule="auto"/>
        <w:jc w:val="both"/>
      </w:pPr>
      <w:r>
        <w:t xml:space="preserve">Thus, organisational factors matter in two ways for the re-entry policies examined in this paper. The first is where returners are placed, since leadership and collegial support are what the evidence above identifies as decisive, and a teacher who returns to a school with weak leadership meets the conditions that produced the first departure </w:t>
      </w:r>
      <w:r>
        <w:rPr>
          <w:color w:val="0563C1"/>
        </w:rPr>
        <w:t xml:space="preserve">(</w:t>
      </w:r>
      <w:hyperlink w:anchor="Ref_Boyd2011" w:history="1">
        <w:r>
          <w:rPr>
            <w:color w:val="0563C1"/>
          </w:rPr>
          <w:t xml:space="preserve">Boyd et al., 2011</w:t>
        </w:r>
      </w:hyperlink>
      <w:r>
        <w:rPr>
          <w:color w:val="0563C1"/>
        </w:rPr>
        <w:t xml:space="preserve">; </w:t>
      </w:r>
      <w:hyperlink w:anchor="Ref_Kraft2016" w:history="1">
        <w:r>
          <w:rPr>
            <w:color w:val="0563C1"/>
          </w:rPr>
          <w:t xml:space="preserve">Kraft, Marinell and Shen-Wei Yee, 2016</w:t>
        </w:r>
      </w:hyperlink>
      <w:r>
        <w:rPr>
          <w:color w:val="0563C1"/>
        </w:rPr>
        <w:t xml:space="preserve">)</w:t>
      </w:r>
      <w:r>
        <w:t xml:space="preserve">. The second is the potential for retired teachers to re-enter the profession as dedicated mentors, addressing the mentoring shortages identified by TALIS and contributing to the peer collaboration and professional interaction that directly improve instructional quality </w:t>
      </w:r>
      <w:r>
        <w:rPr>
          <w:color w:val="0563C1"/>
        </w:rPr>
        <w:t xml:space="preserve">(</w:t>
      </w:r>
      <w:hyperlink w:anchor="Ref_Papay2020" w:history="1">
        <w:r>
          <w:rPr>
            <w:color w:val="0563C1"/>
          </w:rPr>
          <w:t xml:space="preserve">Papay et al., 2020</w:t>
        </w:r>
      </w:hyperlink>
      <w:r>
        <w:rPr>
          <w:color w:val="0563C1"/>
        </w:rPr>
        <w:t xml:space="preserve">).</w:t>
      </w:r>
    </w:p>
    <w:p w14:paraId="0CD4CEB0" w14:textId="750A45E0" w:rsidR="00E7094E" w:rsidRDefault="00731A34">
      <w:pPr>
        <w:spacing w:after="130" w:line="242" w:lineRule="auto"/>
        <w:jc w:val="both"/>
      </w:pPr>
      <w:r>
        <w:t xml:space="preserve">Fourth,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t>
      </w:r>
      <w:r>
        <w:rPr>
          <w:color w:val="0563C1"/>
        </w:rPr>
        <w:t xml:space="preserve">(</w:t>
      </w:r>
      <w:hyperlink w:anchor="Ref_OECD2020" w:history="1">
        <w:r>
          <w:rPr>
            <w:color w:val="0563C1"/>
          </w:rPr>
          <w:t xml:space="preserve">OECD, 2020</w:t>
        </w:r>
      </w:hyperlink>
      <w:r>
        <w:rPr>
          <w:color w:val="0563C1"/>
        </w:rPr>
        <w:t xml:space="preserve">)</w:t>
      </w:r>
      <w:r>
        <w:t xml:space="preserve">. Additionally, beyond evaluation, maintaining a valid teaching license requires meeting specific regulatory obligations that vary by country, typically taking the form of mandatory periodic training or documented evidence of continued classroom practice</w:t>
      </w:r>
      <w:r>
        <w:rPr>
          <w:rStyle w:val="FootnoteReference"/>
        </w:rPr>
        <w:footnoteReference w:id="8"/>
      </w:r>
      <w:r>
        <w:t xml:space="preserve">.</w:t>
      </w:r>
    </w:p>
    <w:p w14:paraId="1C8DDECD" w14:textId="7610ADEB" w:rsidR="005370F6" w:rsidRPr="00A43F9A" w:rsidRDefault="00224F86">
      <w:pPr>
        <w:spacing w:after="130" w:line="242" w:lineRule="auto"/>
        <w:jc w:val="both"/>
      </w:pPr>
      <w:r>
        <w:t xml:space="preserve">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w:t>
      </w:r>
      <w:r>
        <w:rPr>
          <w:color w:val="0563C1"/>
        </w:rPr>
        <w:t xml:space="preserve"> (</w:t>
      </w:r>
      <w:hyperlink w:anchor="Ref_OECD2020" w:history="1">
        <w:r>
          <w:rPr>
            <w:color w:val="0563C1"/>
          </w:rPr>
          <w:t xml:space="preserve">OECD, 2020</w:t>
        </w:r>
      </w:hyperlink>
      <w:r>
        <w:rPr>
          <w:color w:val="0563C1"/>
        </w:rPr>
        <w:t xml:space="preserve">)</w:t>
      </w:r>
      <w:r>
        <w:t xml:space="preserve">. The importance of accountability and regulation motives is nonetheless minor compared to other determinants of leaving, since even if test-based accountability does elevate stress and turnover intentions </w:t>
      </w:r>
      <w:r>
        <w:rPr>
          <w:color w:val="0563C1"/>
        </w:rPr>
        <w:t xml:space="preserve">(</w:t>
      </w:r>
      <w:hyperlink w:anchor="Ref_Ryan2017" w:history="1">
        <w:r>
          <w:rPr>
            <w:color w:val="0563C1"/>
          </w:rPr>
          <w:t xml:space="preserve">Ryan et al., 2017</w:t>
        </w:r>
      </w:hyperlink>
      <w:r>
        <w:rPr>
          <w:color w:val="0563C1"/>
        </w:rPr>
        <w:t xml:space="preserve">)</w:t>
      </w:r>
      <w:r>
        <w:t xml:space="preserve"> ranks below affective commitment, burnout and job satisfaction </w:t>
      </w:r>
      <w:r>
        <w:rPr>
          <w:color w:val="0563C1"/>
        </w:rPr>
        <w:t xml:space="preserve">(</w:t>
      </w:r>
      <w:hyperlink w:anchor="Ref_Gundlach2024" w:history="1">
        <w:r>
          <w:rPr>
            <w:color w:val="0563C1"/>
          </w:rPr>
          <w:t xml:space="preserve">Gundlach, Slemp and Hattie, 2024</w:t>
        </w:r>
      </w:hyperlink>
      <w:r>
        <w:rPr>
          <w:color w:val="0563C1"/>
        </w:rPr>
        <w:t xml:space="preserve">)</w:t>
      </w:r>
      <w:r>
        <w:t xml:space="preserve">. For policies aiming to re-attract teachers, this suggests that the cost of recertification is worth attention, as higher costs and the isolation teachers face in navigating the process affect the decision to leave, deter re-entry, and reduces retention once back, which argues for keeping such burdens as low as regulatory purposes allow.</w:t>
      </w:r>
    </w:p>
    <w:p w14:paraId="4A7C5A3A" w14:textId="35786A68" w:rsidR="001272F3" w:rsidRPr="001272F3" w:rsidRDefault="003A2ED9">
      <w:pPr>
        <w:spacing w:after="130" w:line="242" w:lineRule="auto"/>
        <w:jc w:val="both"/>
      </w:pPr>
      <w:r>
        <w:t xml:space="preserve">Fifth, economic incentives represent the most extensively studied determinant of teacher retention, including the salary relative to outside options, the design of pensions and the insecurity of contracts. From an economic perspective, a relevant margin for retention depends on comparing teaching wages against the best alternative available in the outside labor market. Because outside options vary by subject, qualification, and local labor market characteristics, uniform pay scales generate highly heterogeneous exit rates across disciplines and regions. For most teachers this comparison is unfavorable, since actual primary teacher salaries average 83% of the earnings of tertiary-educated workers across the OECD, with considerable heterogeneity across countries (see Figure 2). Only four systems pay at or above parity, led by Portugal at 128% of the benchmark, whereas the United States registers the lowest relative compensation at 63%. Where pay has been tested causally, money retains, with targeted payments cutting departures by 9% to 23% in Norway, England and North Carolina </w:t>
      </w:r>
      <w:r>
        <w:rPr>
          <w:color w:val="0563C1"/>
        </w:rPr>
        <w:t xml:space="preserve">(</w:t>
      </w:r>
      <w:hyperlink w:anchor="Ref_Falch2011" w:history="1">
        <w:r>
          <w:rPr>
            <w:color w:val="0563C1"/>
          </w:rPr>
          <w:t xml:space="preserve">Falch, 2011</w:t>
        </w:r>
      </w:hyperlink>
      <w:r>
        <w:rPr>
          <w:color w:val="0563C1"/>
        </w:rPr>
        <w:t xml:space="preserve">; </w:t>
      </w:r>
      <w:hyperlink w:anchor="Ref_SimsBenhenda2022" w:history="1">
        <w:r>
          <w:rPr>
            <w:color w:val="0563C1"/>
          </w:rPr>
          <w:t xml:space="preserve">Sims and Benhenda, 2022</w:t>
        </w:r>
      </w:hyperlink>
      <w:r>
        <w:rPr>
          <w:color w:val="0563C1"/>
        </w:rPr>
        <w:t xml:space="preserve">; </w:t>
      </w:r>
      <w:hyperlink w:anchor="Ref_Clotfelter2008" w:history="1">
        <w:r>
          <w:rPr>
            <w:color w:val="0563C1"/>
          </w:rPr>
          <w:t xml:space="preserve">Clotfelter et al., 2008</w:t>
        </w:r>
      </w:hyperlink>
      <w:r>
        <w:rPr>
          <w:color w:val="0563C1"/>
        </w:rPr>
        <w:t xml:space="preserve">)</w:t>
      </w:r>
      <w:r>
        <w:t xml:space="preserve">, though the effect has lasted only as long as the payment itself </w:t>
      </w:r>
      <w:r>
        <w:rPr>
          <w:color w:val="0563C1"/>
        </w:rPr>
        <w:t xml:space="preserve">(</w:t>
      </w:r>
      <w:hyperlink w:anchor="Ref_See2020" w:history="1">
        <w:r>
          <w:rPr>
            <w:color w:val="0563C1"/>
          </w:rPr>
          <w:t xml:space="preserve">See et al., 2020</w:t>
        </w:r>
      </w:hyperlink>
      <w:r>
        <w:rPr>
          <w:color w:val="0563C1"/>
        </w:rPr>
        <w:t xml:space="preserve">)</w:t>
      </w:r>
      <w:r>
        <w:rPr>
          <w:rStyle w:val="FootnoteReference"/>
          <w:color w:val="0563C1"/>
        </w:rPr>
        <w:footnoteReference w:id="9"/>
      </w:r>
      <w:r>
        <w:t xml:space="preserve">.</w:t>
      </w:r>
    </w:p>
    <w:p w14:paraId="62FFFA0B" w14:textId="054BDD7B" w:rsidR="00F40E91" w:rsidRPr="009E7410" w:rsidRDefault="00A42790">
      <w:pPr>
        <w:spacing w:after="130" w:line="242" w:lineRule="auto"/>
        <w:jc w:val="both"/>
        <w:rPr>
          <w:b/>
          <w:bCs/>
        </w:rPr>
      </w:pPr>
      <w:r>
        <w:rPr>
          <w:b/>
          <w:bCs/>
        </w:rPr>
        <w:t xml:space="preserve">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hyperlink w:anchor="Ref_OECD2025d" w:history="1">
        <w:r>
          <w:rPr>
            <w:color w:val="0563C1"/>
            <w:sz w:val="17"/>
            <w:szCs w:val="17"/>
          </w:rPr>
          <w:t xml:space="preserve">OECD (2025d)</w:t>
        </w:r>
      </w:hyperlink>
      <w:r>
        <w:rPr>
          <w:sz w:val="17"/>
          <w:szCs w:val="17"/>
        </w:rPr>
        <w:t xml:space="preserve">, Education at a Glance 2025, Table D3.2.</w:t>
      </w:r>
    </w:p>
    <w:p w14:paraId="0C280E90" w14:textId="655CEF0D" w:rsidR="00237103" w:rsidRDefault="00237103">
      <w:pPr>
        <w:spacing w:after="130" w:line="242" w:lineRule="auto"/>
        <w:jc w:val="both"/>
        <w:rPr>
          <w:color w:val="0563C1"/>
        </w:rPr>
      </w:pPr>
      <w:r>
        <w:t xml:space="preserve">Moreover, pension rules also affect the decision to leave, since they set the retirement age and, along the teaching career, create incentives for retention depending on the pension system’s rigidity. In most schemes covering teachers, retiring before the age stipulated by law reduces the pension and retiring later marginally increases it, so retirement concentrates around that age</w:t>
      </w:r>
      <w:r>
        <w:rPr>
          <w:rStyle w:val="FootnoteReference"/>
        </w:rPr>
        <w:footnoteReference w:id="10"/>
      </w:r>
      <w:r>
        <w:t xml:space="preserve">. This phenomenon is closely related to the way pensions funds growth and accumulate. In defined-benefit schemes, most of the pension is earned in the final years before the full-pension age and little accrues after it, so one more year of work carries a substantial pension gain at 54 and almost nothing at 60 </w:t>
      </w:r>
      <w:r>
        <w:rPr>
          <w:color w:val="0563C1"/>
        </w:rPr>
        <w:t xml:space="preserve">(</w:t>
      </w:r>
      <w:hyperlink w:anchor="Ref_Costrell2009" w:history="1">
        <w:r>
          <w:rPr>
            <w:color w:val="0563C1"/>
          </w:rPr>
          <w:t xml:space="preserve">Costrell and Podgursky, 2009</w:t>
        </w:r>
      </w:hyperlink>
      <w:r>
        <w:rPr>
          <w:color w:val="0563C1"/>
        </w:rPr>
        <w:t xml:space="preserve">)</w:t>
      </w:r>
      <w:r>
        <w:t xml:space="preserve">. This is mostly the case across the civil-service teacher schemes of Europe and North America, while defined-contribution systems, as in Sweden or Australia, are close to actuarially neutral and spread retirements accordingly </w:t>
      </w:r>
      <w:r>
        <w:rPr>
          <w:color w:val="0563C1"/>
        </w:rPr>
        <w:t xml:space="preserve">(</w:t>
      </w:r>
      <w:hyperlink w:anchor="Ref_OECD2025e" w:history="1">
        <w:r>
          <w:rPr>
            <w:color w:val="0563C1"/>
          </w:rPr>
          <w:t xml:space="preserve">OECD, 2025e</w:t>
        </w:r>
      </w:hyperlink>
      <w:r>
        <w:rPr>
          <w:color w:val="0563C1"/>
        </w:rPr>
        <w:t xml:space="preserve">)</w:t>
      </w:r>
      <w:r>
        <w:t xml:space="preserve">. The available estimates of how much teachers value that deferred income present mixed results, with estimates running from about 20 cents per dollar of present value to near parity </w:t>
      </w:r>
      <w:r>
        <w:rPr>
          <w:color w:val="0563C1"/>
        </w:rPr>
        <w:t xml:space="preserve">(</w:t>
      </w:r>
      <w:hyperlink w:anchor="Ref_Fitzpatrick2015" w:history="1">
        <w:r>
          <w:rPr>
            <w:color w:val="0563C1"/>
          </w:rPr>
          <w:t xml:space="preserve">Fitzpatrick, 2015</w:t>
        </w:r>
      </w:hyperlink>
      <w:r>
        <w:rPr>
          <w:color w:val="0563C1"/>
        </w:rPr>
        <w:t xml:space="preserve">; </w:t>
      </w:r>
      <w:hyperlink w:anchor="Ref_Ni2022" w:history="1">
        <w:r>
          <w:rPr>
            <w:color w:val="0563C1"/>
          </w:rPr>
          <w:t xml:space="preserve">Ni, Podgursky and Wang, 2022</w:t>
        </w:r>
      </w:hyperlink>
      <w:r>
        <w:rPr>
          <w:color w:val="0563C1"/>
        </w:rPr>
        <w:t xml:space="preserve">).</w:t>
      </w:r>
    </w:p>
    <w:p w14:paraId="271D9F44" w14:textId="6181E86C" w:rsidR="00F967DE" w:rsidRPr="00DC226F" w:rsidRDefault="00F967DE">
      <w:pPr>
        <w:spacing w:after="130" w:line="242" w:lineRule="auto"/>
        <w:jc w:val="both"/>
        <w:rPr>
          <w:highlight w:val="cyan"/>
        </w:rPr>
      </w:pPr>
      <w:r>
        <w:t xml:space="preserve">Finally, personal and life-course factors drive a substantial share of departures. Unlike the preceding dimensions, these causes originate entirely outside the school environment, placing them as the least predictable from an institutional perspective and the least responsive to standard administrative levers. Along the teaching career, the leaving rate exhibits a pronounced U-shape, concentrated among novice teachers during early-career sorting and late-career workers approaching retirement but with a stable middle lifecycle phase </w:t>
      </w:r>
      <w:r>
        <w:rPr>
          <w:color w:val="0563C1"/>
        </w:rPr>
        <w:t xml:space="preserve">(</w:t>
      </w:r>
      <w:hyperlink w:anchor="Ref_Nguyen2020" w:history="1">
        <w:r>
          <w:rPr>
            <w:color w:val="0563C1"/>
          </w:rPr>
          <w:t xml:space="preserve">Nguyen et al., 2020</w:t>
        </w:r>
      </w:hyperlink>
      <w:r>
        <w:rPr>
          <w:color w:val="0563C1"/>
        </w:rPr>
        <w:t xml:space="preserve">)</w:t>
      </w:r>
      <w:r>
        <w:t xml:space="preserve">. The early peak reflects the exits of novice teachers who leave for further study, family formation or alternative employment while the quality of their match with the profession is still being revealed </w:t>
      </w:r>
      <w:r>
        <w:rPr>
          <w:color w:val="0563C1"/>
        </w:rPr>
        <w:t xml:space="preserve">(</w:t>
      </w:r>
      <w:hyperlink w:anchor="Ref_Guarino2006" w:history="1">
        <w:r>
          <w:rPr>
            <w:color w:val="0563C1"/>
          </w:rPr>
          <w:t xml:space="preserve">Guarino, Santibañez and Daley, 2006</w:t>
        </w:r>
      </w:hyperlink>
      <w:r>
        <w:rPr>
          <w:color w:val="0563C1"/>
        </w:rPr>
        <w:t xml:space="preserve">)</w:t>
      </w:r>
      <w:r>
        <w:t xml:space="preserve">, while the late peak responds to the retirement incentives just examined </w:t>
      </w:r>
      <w:r>
        <w:rPr>
          <w:color w:val="0563C1"/>
        </w:rPr>
        <w:t xml:space="preserve">(</w:t>
      </w:r>
      <w:hyperlink w:anchor="Ref_Costrell2009" w:history="1">
        <w:r>
          <w:rPr>
            <w:color w:val="0563C1"/>
          </w:rPr>
          <w:t xml:space="preserve">Costrell and Podgursky, 2009</w:t>
        </w:r>
      </w:hyperlink>
      <w:r>
        <w:rPr>
          <w:color w:val="0563C1"/>
        </w:rPr>
        <w:t xml:space="preserve">)</w:t>
      </w:r>
      <w:r>
        <w:t xml:space="preserve">.</w:t>
      </w:r>
    </w:p>
    <w:p w14:paraId="1560B130" w14:textId="078793FF" w:rsidR="00EE6A01" w:rsidRPr="00D75A88" w:rsidRDefault="00D75A88" w:rsidP="00DC226F">
      <w:pPr>
        <w:spacing w:after="130" w:line="242" w:lineRule="auto"/>
        <w:jc w:val="both"/>
      </w:pPr>
      <w:r>
        <w:t xml:space="preserve">The teaching workforce is predominantly female</w:t>
      </w:r>
      <w:r>
        <w:rPr>
          <w:rStyle w:val="FootnoteReference"/>
        </w:rPr>
        <w:footnoteReference w:id="11"/>
      </w:r>
      <w:r>
        <w:t xml:space="preserve">, so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double the rate of comparable teachers, and women aged 30 to 39 form the largest group among leavers </w:t>
      </w:r>
      <w:r>
        <w:rPr>
          <w:color w:val="0563C1"/>
        </w:rPr>
        <w:t xml:space="preserve">(</w:t>
      </w:r>
      <w:hyperlink w:anchor="Ref_DfE2023" w:history="1">
        <w:r>
          <w:rPr>
            <w:color w:val="0563C1"/>
          </w:rPr>
          <w:t xml:space="preserve">Department for Education, 2023</w:t>
        </w:r>
      </w:hyperlink>
      <w:r>
        <w:rPr>
          <w:color w:val="0563C1"/>
        </w:rPr>
        <w:t xml:space="preserve">)</w:t>
      </w:r>
      <w:r>
        <w:t xml:space="preserve">. In the United States and Sweden the same event has long driven female exits, and personal life reasons, covering health, childcare and the care of relatives, remain as the most non-retirement motive among voluntary leavers, </w:t>
      </w:r>
      <w:r>
        <w:rPr>
          <w:color w:val="0563C1"/>
        </w:rPr>
        <w:t xml:space="preserve">(</w:t>
      </w:r>
      <w:hyperlink w:anchor="Ref_Stinebrickner2002" w:history="1">
        <w:r>
          <w:rPr>
            <w:color w:val="0563C1"/>
          </w:rPr>
          <w:t xml:space="preserve">Stinebrickner, 2002</w:t>
        </w:r>
      </w:hyperlink>
      <w:r>
        <w:rPr>
          <w:color w:val="0563C1"/>
        </w:rPr>
        <w:t xml:space="preserve">; </w:t>
      </w:r>
      <w:hyperlink w:anchor="Ref_NCES2024" w:history="1">
        <w:r>
          <w:rPr>
            <w:color w:val="0563C1"/>
          </w:rPr>
          <w:t xml:space="preserve">NCES, 2024</w:t>
        </w:r>
      </w:hyperlink>
      <w:r>
        <w:rPr>
          <w:color w:val="0563C1"/>
        </w:rPr>
        <w:t xml:space="preserve">; </w:t>
      </w:r>
      <w:hyperlink w:anchor="Ref_StatSweden2023" w:history="1">
        <w:r>
          <w:rPr>
            <w:color w:val="0563C1"/>
          </w:rPr>
          <w:t xml:space="preserve">Statistics Sweden, 2023</w:t>
        </w:r>
      </w:hyperlink>
      <w:r>
        <w:rPr>
          <w:color w:val="0563C1"/>
        </w:rPr>
        <w:t xml:space="preserve">)</w:t>
      </w:r>
      <w:r>
        <w:t xml:space="preserve">. Family circumstances beyond childbirth weight in the same direction, since personal life reasons, covering health, childcare and the care of family members, form the most important non-retirement motive among American voluntary leavers, at 15% </w:t>
      </w:r>
      <w:r>
        <w:rPr>
          <w:color w:val="0563C1"/>
        </w:rPr>
        <w:t xml:space="preserve">(</w:t>
      </w:r>
      <w:hyperlink w:anchor="Ref_NCES2024" w:history="1">
        <w:r>
          <w:rPr>
            <w:color w:val="0563C1"/>
          </w:rPr>
          <w:t xml:space="preserve">NCES, 2024</w:t>
        </w:r>
      </w:hyperlink>
      <w:r>
        <w:rPr>
          <w:color w:val="0563C1"/>
        </w:rPr>
        <w:t xml:space="preserve">)</w:t>
      </w:r>
      <w:r>
        <w:t xml:space="preserve">, and the difficulty of combining work and family is named by 15% of Swedish leavers </w:t>
      </w:r>
      <w:r>
        <w:rPr>
          <w:color w:val="0563C1"/>
        </w:rPr>
        <w:t xml:space="preserve">(</w:t>
      </w:r>
      <w:hyperlink w:anchor="Ref_StatSweden2023" w:history="1">
        <w:r>
          <w:rPr>
            <w:color w:val="0563C1"/>
          </w:rPr>
          <w:t xml:space="preserve">Statistics Sweden, 2023</w:t>
        </w:r>
      </w:hyperlink>
      <w:r>
        <w:rPr>
          <w:color w:val="0563C1"/>
        </w:rPr>
        <w:t xml:space="preserve">)</w:t>
      </w:r>
      <w:r>
        <w:t xml:space="preserve">. </w:t>
      </w:r>
    </w:p>
    <w:p w14:paraId="746AE7A4" w14:textId="67DDCB37" w:rsidR="00502E0E" w:rsidRPr="00EB39D6" w:rsidRDefault="00B55BC2">
      <w:pPr>
        <w:spacing w:after="130" w:line="242" w:lineRule="auto"/>
        <w:jc w:val="both"/>
      </w:pPr>
      <w:r>
        <w:t xml:space="preserve">This matters for policies that seek to bring former teachers back, since those who left over a birth or a family obligation did not leave over the conditions of the school, and the constraint behind the exit can ease with time. However, there is evidence suggesting that re-entry after a period of childcare or other family responsibilities, once predicted by gender and child-rearing, no longer follows on its own. An example of this is the United States, where among teachers who left between 2000 and 2019 that association has disappeared and only about one in five returned </w:t>
      </w:r>
      <w:r>
        <w:rPr>
          <w:color w:val="0563C1"/>
        </w:rPr>
        <w:t xml:space="preserve">(</w:t>
      </w:r>
      <w:hyperlink w:anchor="Ref_Grissom2012" w:history="1">
        <w:r>
          <w:rPr>
            <w:color w:val="0563C1"/>
          </w:rPr>
          <w:t xml:space="preserve">Grissom and Reininger, 2012</w:t>
        </w:r>
      </w:hyperlink>
      <w:r>
        <w:rPr>
          <w:color w:val="0563C1"/>
        </w:rPr>
        <w:t xml:space="preserve">; </w:t>
      </w:r>
      <w:hyperlink w:anchor="Ref_Moyer2022" w:history="1">
        <w:r>
          <w:rPr>
            <w:color w:val="0563C1"/>
          </w:rPr>
          <w:t xml:space="preserve">Moyer, 2022</w:t>
        </w:r>
      </w:hyperlink>
      <w:r>
        <w:rPr>
          <w:color w:val="0563C1"/>
        </w:rPr>
        <w:t xml:space="preserve">)</w:t>
      </w:r>
      <w:r>
        <w:t xml:space="preserve">. Thus, policies that aim to recover teaching leavers should focus on flexibility, the margin to which this group is most responsive, through part-time and phased returns, predictable timetables and placements compatible with care </w:t>
      </w:r>
      <w:commentRangeStart w:id="9"/>
      <w:commentRangeStart w:id="10"/>
      <w:r>
        <w:t xml:space="preserve">responsibilities.</w:t>
      </w:r>
      <w:commentRangeEnd w:id="9"/>
      <w:r>
        <w:rPr>
          <w:rStyle w:val="CommentReference"/>
          <w:sz w:val="23"/>
          <w:szCs w:val="23"/>
        </w:rPr>
        <w:commentReference w:id="9"/>
      </w:r>
      <w:commentRangeEnd w:id="10"/>
      <w:r>
        <w:rPr>
          <w:rStyle w:val="CommentReference"/>
          <w:sz w:val="23"/>
          <w:szCs w:val="23"/>
        </w:rPr>
        <w:commentReference w:id="10"/>
      </w:r>
    </w:p>
    <w:p w14:paraId="73BC5B0F" w14:textId="0C1CF60F" w:rsidR="00D80668" w:rsidRPr="00D80668" w:rsidRDefault="00D80668" w:rsidP="00D80668">
      <w:pPr>
        <w:spacing w:after="130" w:line="242" w:lineRule="auto"/>
        <w:jc w:val="both"/>
      </w:pPr>
      <w:r>
        <w:t xml:space="preserve">Finally, not all the motives listed in the table have been studied with the same intensity, nor can their relative importance be compared perfectly across studies. The best available basis for doing so comes from recent meta-analyses of teacher turnover, which pool hundreds of estimates accumulated by the literature </w:t>
      </w:r>
      <w:r>
        <w:rPr>
          <w:color w:val="0563C1"/>
        </w:rPr>
        <w:t xml:space="preserve">(</w:t>
      </w:r>
      <w:hyperlink w:anchor="Ref_Nguyen2020" w:history="1">
        <w:r>
          <w:rPr>
            <w:color w:val="0563C1"/>
          </w:rPr>
          <w:t xml:space="preserve">Nguyen et al., 2020</w:t>
        </w:r>
      </w:hyperlink>
      <w:r>
        <w:rPr>
          <w:color w:val="0563C1"/>
        </w:rPr>
        <w:t xml:space="preserve">; </w:t>
      </w:r>
      <w:hyperlink w:anchor="Ref_Gundlach2024" w:history="1">
        <w:r>
          <w:rPr>
            <w:color w:val="0563C1"/>
          </w:rPr>
          <w:t xml:space="preserve">Gundlach, Slemp </w:t>
        </w:r>
        <w:r>
          <w:rPr>
            <w:color w:val="0563C1"/>
          </w:rPr>
          <w:t xml:space="preserve">and Hattie</w:t>
        </w:r>
        <w:r>
          <w:rPr>
            <w:color w:val="0563C1"/>
          </w:rPr>
          <w:t xml:space="preserve">, 2024</w:t>
        </w:r>
      </w:hyperlink>
      <w:r>
        <w:rPr>
          <w:color w:val="0563C1"/>
        </w:rPr>
        <w:t xml:space="preserve">)</w:t>
      </w:r>
      <w:r>
        <w:rPr>
          <w:rStyle w:val="FootnoteReference"/>
          <w:color w:val="0070C0"/>
        </w:rPr>
        <w:footnoteReference w:id="12"/>
      </w:r>
      <w:r>
        <w:rPr>
          <w:color w:val="0070C0"/>
        </w:rPr>
        <w:t xml:space="preserve">. </w:t>
      </w:r>
      <w:r>
        <w:t xml:space="preserve">Taken together, they point to working conditions and organisational features of the school as the most consistently important determinants of leaving, above financial incentives, accountability and personal characteristics. Teachers exposed to high workload, stress and weak organisational support are substantially more likely to leave, while salary and regulatory factors, although relevant, tend to have smaller effects when compared across determinants (</w:t>
      </w:r>
      <w:hyperlink w:anchor="Ref_Nguyen2020" w:history="1">
        <w:r>
          <w:rPr>
            <w:color w:val="0563C1"/>
          </w:rPr>
          <w:t xml:space="preserve">Nguyen et al., 2020</w:t>
        </w:r>
      </w:hyperlink>
      <w:r>
        <w:t xml:space="preserve">; </w:t>
      </w:r>
      <w:hyperlink w:anchor="Ref_Gundlach2024" w:history="1">
        <w:r>
          <w:rPr>
            <w:color w:val="0563C1"/>
          </w:rPr>
          <w:t xml:space="preserve">Gundlach, Slemp and Hattie, 2024</w:t>
        </w:r>
      </w:hyperlink>
      <w:r>
        <w:t xml:space="preserve">). This does not mean that personal or life-course motives are secondary for every teacher, but rather that the conditions under which teaching takes place appear to be the main institutional margin through which systems can influence retention.</w:t>
      </w:r>
    </w:p>
    <w:p w14:paraId="1BFE4331" w14:textId="77777777" w:rsidR="00D80668" w:rsidRPr="00D80668" w:rsidRDefault="00D80668" w:rsidP="00D80668">
      <w:pPr>
        <w:spacing w:after="130" w:line="242" w:lineRule="auto"/>
        <w:jc w:val="both"/>
      </w:pPr>
      <w:r>
        <w:t xml:space="preserve">This distinction is particularly important for policies aiming to re-attract former teachers. The evidence suggests that bringing a teacher back without changing the conditions under which they previously left risks reproducing the same decision further down the line. Re-entry policies should therefore be understood not only as a mechanism to reduce the cost of returning, but also as an opportunity to improve the quality of the match between teachers and schools: reducing workload, ensuring supportive leadership and collegial environments, offering adequate classroom conditions and, where the original </w:t>
        <w:lastRenderedPageBreak/>
        <w:t>exit was driven by personal circumstances, providing the flexibility required to combine teaching with family responsibilities. In this sense, what the literature teaches us is that the relevant question is not simply how to make former teachers return, but whether the system can offer them a different set of conditions once they do</w:t>
      </w:r>
    </w:p>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11" w:name="_Toc239235958"/>
      <w:r>
        <w:rPr>
          <w:b/>
          <w:bCs/>
          <w:color w:val="04629A"/>
          <w:sz w:val="30"/>
          <w:szCs w:val="30"/>
        </w:rPr>
        <w:lastRenderedPageBreak/>
        <w:t>3. The policies</w:t>
      </w:r>
      <w:bookmarkEnd w:id="11"/>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212A6F6C" w14:textId="26100A4F" w:rsidR="00F40E91" w:rsidRPr="00012E3D" w:rsidRDefault="00A42790" w:rsidP="008D1818">
      <w:pPr>
        <w:pStyle w:val="ListParagraph"/>
        <w:numPr>
          <w:ilvl w:val="0"/>
          <w:numId w:val="2"/>
        </w:numPr>
        <w:spacing w:after="70"/>
        <w:rPr>
          <w:color w:val="FF0000"/>
          <w:highlight w:val="yellow"/>
        </w:rPr>
      </w:pPr>
      <w:r>
        <w:rPr>
          <w:color w:val="FF0000"/>
          <w:sz w:val="20"/>
          <w:szCs w:val="20"/>
          <w:highlight w:val="yellow"/>
        </w:rPr>
        <w:t>Regulatory / legal</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12" w:name="_Toc239235959"/>
      <w:r>
        <w:rPr>
          <w:b/>
          <w:bCs/>
          <w:color w:val="04629A"/>
          <w:sz w:val="30"/>
          <w:szCs w:val="30"/>
        </w:rPr>
        <w:lastRenderedPageBreak/>
        <w:t>4. Conclusions</w:t>
      </w:r>
      <w:bookmarkEnd w:id="12"/>
    </w:p>
    <w:p w14:paraId="111665AD" w14:textId="77777777" w:rsidR="00F40E91" w:rsidRDefault="00A42790">
      <w:pPr>
        <w:pStyle w:val="Heading2"/>
        <w:spacing w:before="200" w:after="120"/>
      </w:pPr>
      <w:bookmarkStart w:id="13" w:name="_Toc239235960"/>
      <w:r>
        <w:rPr>
          <w:b/>
          <w:bCs/>
          <w:color w:val="04629A"/>
          <w:sz w:val="25"/>
          <w:szCs w:val="25"/>
        </w:rPr>
        <w:t>References</w:t>
      </w:r>
      <w:bookmarkEnd w:id="13"/>
    </w:p>
    <w:p>
      <w:pPr>
        <w:spacing w:after="70"/>
        <w:ind w:left="280" w:hanging="280"/>
      </w:pPr>
      <w:bookmarkStart w:id="800" w:name="Ref_Adermon2018"/>
      <w:r>
        <w:rPr>
          <w:sz w:val="20"/>
          <w:szCs w:val="20"/>
        </w:rPr>
        <w:t xml:space="preserve">Adermon, A., &amp; Laun, L. (2018). </w:t>
      </w:r>
      <w:r>
        <w:rPr>
          <w:i/>
          <w:iCs/>
          <w:sz w:val="20"/>
          <w:szCs w:val="20"/>
        </w:rPr>
        <w:t xml:space="preserve">Bristyrken i offentlig verksamhet</w:t>
      </w:r>
      <w:r>
        <w:rPr>
          <w:sz w:val="20"/>
          <w:szCs w:val="20"/>
        </w:rPr>
        <w:t xml:space="preserve"> [Shortage occupations in the public sector] (IFAU Rapport 2018:19). Institutet för arbetsmarknads- och utbildningspolitisk utvärdering. https://www.ifau.se/globalassets/pdf/se/2018/r-2018-19-bristyrken-i-offentlig-verksamhet.pdf</w:t>
      </w:r>
      <w:bookmarkEnd w:id="800"/>
    </w:p>
    <w:p>
      <w:pPr>
        <w:spacing w:after="70"/>
        <w:ind w:left="280" w:hanging="280"/>
      </w:pPr>
      <w:bookmarkStart w:id="801" w:name="Ref_AE2024"/>
      <w:r>
        <w:rPr>
          <w:sz w:val="20"/>
          <w:szCs w:val="20"/>
        </w:rPr>
        <w:t xml:space="preserve">AE. (2024). </w:t>
      </w:r>
      <w:r>
        <w:rPr>
          <w:i/>
          <w:iCs/>
          <w:sz w:val="20"/>
          <w:szCs w:val="20"/>
        </w:rPr>
        <w:t xml:space="preserve">Mange nye folkeskolelærere forlader folkeskolen på få år</w:t>
      </w:r>
      <w:r>
        <w:rPr>
          <w:sz w:val="20"/>
          <w:szCs w:val="20"/>
        </w:rPr>
        <w:t xml:space="preserve"> [Many new primary school teachers leave the primary school within a few years]. Arbejderbevægelsens Erhvervsråd. https://www.ae.dk/analyse/2024-06-mange-nye-folkeskolelaerere-forlader-folkeskolen-paa-faa-aar</w:t>
      </w:r>
      <w:bookmarkEnd w:id="801"/>
    </w:p>
    <w:p>
      <w:pPr>
        <w:spacing w:after="70"/>
        <w:ind w:left="280" w:hanging="280"/>
      </w:pPr>
      <w:bookmarkStart w:id="802" w:name="Ref_Aldeman2025"/>
      <w:r>
        <w:rPr>
          <w:sz w:val="20"/>
          <w:szCs w:val="20"/>
        </w:rPr>
        <w:t xml:space="preserve">Aldeman, C., &amp; Yi, S. (2025, December 18). Are teachers abandoning teaching? Data show teacher turnover remains low. </w:t>
      </w:r>
      <w:r>
        <w:rPr>
          <w:i/>
          <w:iCs/>
          <w:sz w:val="20"/>
          <w:szCs w:val="20"/>
        </w:rPr>
        <w:t xml:space="preserve">Education Next</w:t>
      </w:r>
      <w:r>
        <w:rPr>
          <w:sz w:val="20"/>
          <w:szCs w:val="20"/>
        </w:rPr>
        <w:t xml:space="preserve">. https://www.educationnext.org/are-teachers-abandoning-teaching-data-show-teacher-turnover-remains-low/</w:t>
      </w:r>
      <w:bookmarkEnd w:id="802"/>
    </w:p>
    <w:p>
      <w:pPr>
        <w:spacing w:after="70"/>
        <w:ind w:left="280" w:hanging="280"/>
      </w:pPr>
      <w:bookmarkStart w:id="803" w:name="Ref_Bjornsdottir2024"/>
      <w:r>
        <w:rPr>
          <w:sz w:val="20"/>
          <w:szCs w:val="20"/>
        </w:rPr>
        <w:t xml:space="preserve">Björnsdóttir, A., &amp; Hansen, B. (2024). Starfsmannavelta meðal kennara í grunnskólum árin 1998 til 2020 [Staff turnover among compulsory school teachers 1998 to 2020]. </w:t>
      </w:r>
      <w:r>
        <w:rPr>
          <w:i/>
          <w:iCs/>
          <w:sz w:val="20"/>
          <w:szCs w:val="20"/>
        </w:rPr>
        <w:t xml:space="preserve">Netla — Veftímarit um uppeldi og menntun</w:t>
      </w:r>
      <w:r>
        <w:rPr>
          <w:sz w:val="20"/>
          <w:szCs w:val="20"/>
        </w:rPr>
        <w:t xml:space="preserve">, Sérrit 2024 — Menntakvika. https://doi.org/10.24270/serritnetla.2024.6</w:t>
      </w:r>
      <w:bookmarkEnd w:id="803"/>
    </w:p>
    <w:p>
      <w:pPr>
        <w:spacing w:after="70"/>
        <w:ind w:left="280" w:hanging="280"/>
      </w:pPr>
      <w:bookmarkStart w:id="804" w:name="Ref_Boyd2011"/>
      <w:r>
        <w:rPr>
          <w:sz w:val="20"/>
          <w:szCs w:val="20"/>
        </w:rPr>
        <w:t xml:space="preserve">Boyd, D., Grossman, P., Ing, M., Lankford, H., Loeb, S., &amp; Wyckoff, J. (2011). The influence of school administrators on teacher retention decisions. </w:t>
      </w:r>
      <w:r>
        <w:rPr>
          <w:i/>
          <w:iCs/>
          <w:sz w:val="20"/>
          <w:szCs w:val="20"/>
        </w:rPr>
        <w:t xml:space="preserve">American Educational Research Journal</w:t>
      </w:r>
      <w:r>
        <w:rPr>
          <w:sz w:val="20"/>
          <w:szCs w:val="20"/>
        </w:rPr>
        <w:t xml:space="preserve">, </w:t>
      </w:r>
      <w:r>
        <w:rPr>
          <w:i/>
          <w:iCs/>
          <w:sz w:val="20"/>
          <w:szCs w:val="20"/>
        </w:rPr>
        <w:t xml:space="preserve">48</w:t>
      </w:r>
      <w:r>
        <w:rPr>
          <w:sz w:val="20"/>
          <w:szCs w:val="20"/>
        </w:rPr>
        <w:t xml:space="preserve">(2), 303–333. https://doi.org/10.3102/0002831210380788</w:t>
      </w:r>
      <w:bookmarkEnd w:id="804"/>
    </w:p>
    <w:p>
      <w:pPr>
        <w:spacing w:after="70"/>
        <w:ind w:left="280" w:hanging="280"/>
      </w:pPr>
      <w:bookmarkStart w:id="805" w:name="Ref_Brandenburg2024"/>
      <w:r>
        <w:rPr>
          <w:sz w:val="20"/>
          <w:szCs w:val="20"/>
        </w:rPr>
        <w:t xml:space="preserve">Brandenburg, R., Larsen, E., Simpson, A., Sallis, R., &amp; Tran, D. (2024). ‘I left the teaching profession... and this is what I am doing now’: A national study of teacher attrition. </w:t>
      </w:r>
      <w:r>
        <w:rPr>
          <w:i/>
          <w:iCs/>
          <w:sz w:val="20"/>
          <w:szCs w:val="20"/>
        </w:rPr>
        <w:t xml:space="preserve">The Australian Educational Researcher</w:t>
      </w:r>
      <w:r>
        <w:rPr>
          <w:sz w:val="20"/>
          <w:szCs w:val="20"/>
        </w:rPr>
        <w:t xml:space="preserve">, </w:t>
      </w:r>
      <w:r>
        <w:rPr>
          <w:i/>
          <w:iCs/>
          <w:sz w:val="20"/>
          <w:szCs w:val="20"/>
        </w:rPr>
        <w:t xml:space="preserve">51</w:t>
      </w:r>
      <w:r>
        <w:rPr>
          <w:sz w:val="20"/>
          <w:szCs w:val="20"/>
        </w:rPr>
        <w:t xml:space="preserve">(5), 2381–2400. https://doi.org/10.1007/s13384-024-00697-1</w:t>
      </w:r>
      <w:bookmarkEnd w:id="805"/>
    </w:p>
    <w:p>
      <w:pPr>
        <w:spacing w:after="70"/>
        <w:ind w:left="280" w:hanging="280"/>
      </w:pPr>
      <w:bookmarkStart w:id="806" w:name="Ref_Buckley2025"/>
      <w:r>
        <w:rPr>
          <w:sz w:val="20"/>
          <w:szCs w:val="20"/>
        </w:rPr>
        <w:t xml:space="preserve">Buckley, J., &amp; Griselda, S. (2025). </w:t>
      </w:r>
      <w:r>
        <w:rPr>
          <w:i/>
          <w:iCs/>
          <w:sz w:val="20"/>
          <w:szCs w:val="20"/>
        </w:rPr>
        <w:t xml:space="preserve">Who stays, who goes? A new look at teacher attrition using administrative data</w:t>
      </w:r>
      <w:r>
        <w:rPr>
          <w:sz w:val="20"/>
          <w:szCs w:val="20"/>
        </w:rPr>
        <w:t xml:space="preserve"> (e61 Institute Research Note). e61 Institute. https://e61.in/who-stays-who-goes-a-new-look-at-teacher-attrition-using-administrative-data/</w:t>
      </w:r>
      <w:bookmarkEnd w:id="806"/>
    </w:p>
    <w:p>
      <w:pPr>
        <w:spacing w:after="70"/>
        <w:ind w:left="280" w:hanging="280"/>
      </w:pPr>
      <w:bookmarkStart w:id="807" w:name="Ref_CarverThomas2019"/>
      <w:r>
        <w:rPr>
          <w:sz w:val="20"/>
          <w:szCs w:val="20"/>
        </w:rPr>
        <w:t xml:space="preserve">Carver-Thomas, D., &amp; Darling-Hammond, L. (2019). The trouble with teacher turnover: How teacher attrition affects students and schools. </w:t>
      </w:r>
      <w:r>
        <w:rPr>
          <w:i/>
          <w:iCs/>
          <w:sz w:val="20"/>
          <w:szCs w:val="20"/>
        </w:rPr>
        <w:t xml:space="preserve">Education Policy Analysis Archives</w:t>
      </w:r>
      <w:r>
        <w:rPr>
          <w:sz w:val="20"/>
          <w:szCs w:val="20"/>
        </w:rPr>
        <w:t xml:space="preserve">, </w:t>
      </w:r>
      <w:r>
        <w:rPr>
          <w:i/>
          <w:iCs/>
          <w:sz w:val="20"/>
          <w:szCs w:val="20"/>
        </w:rPr>
        <w:t xml:space="preserve">27</w:t>
      </w:r>
      <w:r>
        <w:rPr>
          <w:sz w:val="20"/>
          <w:szCs w:val="20"/>
        </w:rPr>
        <w:t xml:space="preserve">(36). https://doi.org/10.14507/epaa.27.3699</w:t>
      </w:r>
      <w:bookmarkEnd w:id="807"/>
    </w:p>
    <w:p>
      <w:pPr>
        <w:spacing w:after="70"/>
        <w:ind w:left="280" w:hanging="280"/>
      </w:pPr>
      <w:bookmarkStart w:id="808" w:name="Ref_CBSIsrael2023"/>
      <w:r>
        <w:rPr>
          <w:sz w:val="20"/>
          <w:szCs w:val="20"/>
        </w:rPr>
        <w:t xml:space="preserve">CBS Israel. (2023). </w:t>
      </w:r>
      <w:r>
        <w:rPr>
          <w:i/>
          <w:iCs/>
          <w:sz w:val="20"/>
          <w:szCs w:val="20"/>
        </w:rPr>
        <w:t xml:space="preserve">Teaching staff leaving the education system</w:t>
      </w:r>
      <w:r>
        <w:rPr>
          <w:sz w:val="20"/>
          <w:szCs w:val="20"/>
        </w:rPr>
        <w:t xml:space="preserve">. Central Bureau of Statistics. https://www.cbs.gov.il/ [Full bibliographic details to be completed before publication.]</w:t>
      </w:r>
      <w:bookmarkEnd w:id="808"/>
    </w:p>
    <w:p>
      <w:pPr>
        <w:spacing w:after="70"/>
        <w:ind w:left="280" w:hanging="280"/>
      </w:pPr>
      <w:bookmarkStart w:id="809" w:name="Ref_CIAE2025"/>
      <w:r>
        <w:rPr>
          <w:sz w:val="20"/>
          <w:szCs w:val="20"/>
        </w:rPr>
        <w:t xml:space="preserve">CIAE. (2025). </w:t>
      </w:r>
      <w:r>
        <w:rPr>
          <w:i/>
          <w:iCs/>
          <w:sz w:val="20"/>
          <w:szCs w:val="20"/>
        </w:rPr>
        <w:t xml:space="preserve">Abandono docente en el sistema educativo chileno 2015–2024</w:t>
      </w:r>
      <w:r>
        <w:rPr>
          <w:sz w:val="20"/>
          <w:szCs w:val="20"/>
        </w:rPr>
        <w:t xml:space="preserve"> (Informe OFD No. 12, by J. P. Valenzuela and F. Meneses). Observatorio de Formación Docente, Universidad de Chile. https://ciae.uchile.cl/noticia/abandono-docente-en-la-educacion-publica-llega-solo-a-4-anual-y-profesores-se-mantendrian-25-anos-en-ejercicio</w:t>
      </w:r>
      <w:bookmarkEnd w:id="809"/>
    </w:p>
    <w:p>
      <w:pPr>
        <w:spacing w:after="70"/>
        <w:ind w:left="280" w:hanging="280"/>
      </w:pPr>
      <w:bookmarkStart w:id="810" w:name="Ref_Clotfelter2008"/>
      <w:r>
        <w:rPr>
          <w:sz w:val="20"/>
          <w:szCs w:val="20"/>
        </w:rPr>
        <w:t xml:space="preserve">Clotfelter, C., Glennie, E., Ladd, H., &amp; Vigdor, J. (2008). Would higher salaries keep teachers in high-poverty schools? Evidence from a policy intervention in North Carolina. </w:t>
      </w:r>
      <w:r>
        <w:rPr>
          <w:i/>
          <w:iCs/>
          <w:sz w:val="20"/>
          <w:szCs w:val="20"/>
        </w:rPr>
        <w:t xml:space="preserve">Journal of Public Economics</w:t>
      </w:r>
      <w:r>
        <w:rPr>
          <w:sz w:val="20"/>
          <w:szCs w:val="20"/>
        </w:rPr>
        <w:t xml:space="preserve">, </w:t>
      </w:r>
      <w:r>
        <w:rPr>
          <w:i/>
          <w:iCs/>
          <w:sz w:val="20"/>
          <w:szCs w:val="20"/>
        </w:rPr>
        <w:t xml:space="preserve">92</w:t>
      </w:r>
      <w:r>
        <w:rPr>
          <w:sz w:val="20"/>
          <w:szCs w:val="20"/>
        </w:rPr>
        <w:t xml:space="preserve">(5–6), 1352–1370. https://doi.org/10.1016/j.jpubeco.2007.07.003</w:t>
      </w:r>
      <w:bookmarkEnd w:id="810"/>
    </w:p>
    <w:p>
      <w:pPr>
        <w:spacing w:after="70"/>
        <w:ind w:left="280" w:hanging="280"/>
      </w:pPr>
      <w:bookmarkStart w:id="811" w:name="Ref_Costrell2009"/>
      <w:r>
        <w:rPr>
          <w:sz w:val="20"/>
          <w:szCs w:val="20"/>
        </w:rPr>
        <w:t xml:space="preserve">Costrell, R. M., &amp; Podgursky, M. (2009). Peaks, cliffs, and valleys: The peculiar incentives in teacher retirement systems and their consequences for school staffing. </w:t>
      </w:r>
      <w:r>
        <w:rPr>
          <w:i/>
          <w:iCs/>
          <w:sz w:val="20"/>
          <w:szCs w:val="20"/>
        </w:rPr>
        <w:t xml:space="preserve">Education Finance and Policy</w:t>
      </w:r>
      <w:r>
        <w:rPr>
          <w:sz w:val="20"/>
          <w:szCs w:val="20"/>
        </w:rPr>
        <w:t xml:space="preserve">, </w:t>
      </w:r>
      <w:r>
        <w:rPr>
          <w:i/>
          <w:iCs/>
          <w:sz w:val="20"/>
          <w:szCs w:val="20"/>
        </w:rPr>
        <w:t xml:space="preserve">4</w:t>
      </w:r>
      <w:r>
        <w:rPr>
          <w:sz w:val="20"/>
          <w:szCs w:val="20"/>
        </w:rPr>
        <w:t xml:space="preserve">(2), 175–211. https://doi.org/10.1162/edfp.2009.4.2.175</w:t>
      </w:r>
      <w:bookmarkEnd w:id="811"/>
    </w:p>
    <w:p>
      <w:pPr>
        <w:spacing w:after="70"/>
        <w:ind w:left="280" w:hanging="280"/>
      </w:pPr>
      <w:bookmarkStart w:id="812" w:name="Ref_DeCesare2017"/>
      <w:r>
        <w:rPr>
          <w:sz w:val="20"/>
          <w:szCs w:val="20"/>
        </w:rPr>
        <w:t xml:space="preserve">DeCesare, D., McClelland, A., &amp; Randel, B. (2017). </w:t>
      </w:r>
      <w:r>
        <w:rPr>
          <w:i/>
          <w:iCs/>
          <w:sz w:val="20"/>
          <w:szCs w:val="20"/>
        </w:rPr>
        <w:t xml:space="preserve">Impacts of the Retired Mentors for New Teachers program</w:t>
      </w:r>
      <w:r>
        <w:rPr>
          <w:sz w:val="20"/>
          <w:szCs w:val="20"/>
        </w:rPr>
        <w:t xml:space="preserve"> (REL 2017-225). Regional Educational Laboratory Central, Institute of Education Sciences, U.S. Department of Education. https://ies.ed.gov/ncee/edlabs</w:t>
      </w:r>
      <w:bookmarkEnd w:id="812"/>
    </w:p>
    <w:p>
      <w:pPr>
        <w:spacing w:after="70"/>
        <w:ind w:left="280" w:hanging="280"/>
      </w:pPr>
      <w:bookmarkStart w:id="813" w:name="Ref_DfE2023"/>
      <w:r>
        <w:rPr>
          <w:sz w:val="20"/>
          <w:szCs w:val="20"/>
        </w:rPr>
        <w:t xml:space="preserve">Department for Education. (2023). </w:t>
      </w:r>
      <w:r>
        <w:rPr>
          <w:i/>
          <w:iCs/>
          <w:sz w:val="20"/>
          <w:szCs w:val="20"/>
        </w:rPr>
        <w:t xml:space="preserve">School workforce in England: Ad hoc statistics on maternity leave and returns</w:t>
      </w:r>
      <w:r>
        <w:rPr>
          <w:sz w:val="20"/>
          <w:szCs w:val="20"/>
        </w:rPr>
        <w:t xml:space="preserve">. [Release to be verified before publication.]</w:t>
      </w:r>
      <w:bookmarkEnd w:id="813"/>
    </w:p>
    <w:p>
      <w:pPr>
        <w:spacing w:after="70"/>
        <w:ind w:left="280" w:hanging="280"/>
      </w:pPr>
      <w:bookmarkStart w:id="814" w:name="Ref_DfE2024a"/>
      <w:r>
        <w:rPr>
          <w:sz w:val="20"/>
          <w:szCs w:val="20"/>
        </w:rPr>
        <w:t xml:space="preserve">Department for Education. (2024a). </w:t>
      </w:r>
      <w:r>
        <w:rPr>
          <w:i/>
          <w:iCs/>
          <w:sz w:val="20"/>
          <w:szCs w:val="20"/>
        </w:rPr>
        <w:t xml:space="preserve">School workforce in England: Reporting year 2023</w:t>
      </w:r>
      <w:r>
        <w:rPr>
          <w:sz w:val="20"/>
          <w:szCs w:val="20"/>
        </w:rPr>
        <w:t xml:space="preserve">. https://explore-education-statistics.service.gov.uk/find-statistics/school-workforce-in-england</w:t>
      </w:r>
      <w:bookmarkEnd w:id="814"/>
    </w:p>
    <w:p>
      <w:pPr>
        <w:spacing w:after="70"/>
        <w:ind w:left="280" w:hanging="280"/>
      </w:pPr>
      <w:bookmarkStart w:id="815" w:name="Ref_DfE2024b"/>
      <w:r>
        <w:rPr>
          <w:sz w:val="20"/>
          <w:szCs w:val="20"/>
        </w:rPr>
        <w:t xml:space="preserve">Department for Education. (2024b). </w:t>
      </w:r>
      <w:r>
        <w:rPr>
          <w:i/>
          <w:iCs/>
          <w:sz w:val="20"/>
          <w:szCs w:val="20"/>
        </w:rPr>
        <w:t xml:space="preserve">Working lives of teachers and leaders: Wave 3 and wave 4 reports</w:t>
      </w:r>
      <w:r>
        <w:rPr>
          <w:sz w:val="20"/>
          <w:szCs w:val="20"/>
        </w:rPr>
        <w:t xml:space="preserve">. https://www.gov.uk/government/publications/working-lives-of-teachers-and-leaders</w:t>
      </w:r>
      <w:bookmarkEnd w:id="815"/>
    </w:p>
    <w:p>
      <w:pPr>
        <w:spacing w:after="70"/>
        <w:ind w:left="280" w:hanging="280"/>
      </w:pPr>
      <w:bookmarkStart w:id="816" w:name="Ref_EducationCounts2025"/>
      <w:r>
        <w:rPr>
          <w:sz w:val="20"/>
          <w:szCs w:val="20"/>
        </w:rPr>
        <w:t xml:space="preserve">Education Counts. (2025). </w:t>
      </w:r>
      <w:r>
        <w:rPr>
          <w:i/>
          <w:iCs/>
          <w:sz w:val="20"/>
          <w:szCs w:val="20"/>
        </w:rPr>
        <w:t xml:space="preserve">Teacher turnover</w:t>
      </w:r>
      <w:r>
        <w:rPr>
          <w:sz w:val="20"/>
          <w:szCs w:val="20"/>
        </w:rPr>
        <w:t xml:space="preserve">. New Zealand Ministry of Education. https://www.educationcounts.govt.nz/statistics/teacher-turnover</w:t>
      </w:r>
      <w:bookmarkEnd w:id="816"/>
    </w:p>
    <w:p>
      <w:pPr>
        <w:spacing w:after="70"/>
        <w:ind w:left="280" w:hanging="280"/>
      </w:pPr>
      <w:bookmarkStart w:id="817" w:name="Ref_Eurydice2021"/>
      <w:r>
        <w:rPr>
          <w:sz w:val="20"/>
          <w:szCs w:val="20"/>
        </w:rPr>
        <w:t xml:space="preserve">European Commission/EACEA/Eurydice. (2021). </w:t>
      </w:r>
      <w:r>
        <w:rPr>
          <w:i/>
          <w:iCs/>
          <w:sz w:val="20"/>
          <w:szCs w:val="20"/>
        </w:rPr>
        <w:t xml:space="preserve">Teachers in Europe: Careers, development and well-being</w:t>
      </w:r>
      <w:r>
        <w:rPr>
          <w:sz w:val="20"/>
          <w:szCs w:val="20"/>
        </w:rPr>
        <w:t xml:space="preserve"> (Eurydice report). Publications Office of the European Union.</w:t>
      </w:r>
      <w:bookmarkEnd w:id="817"/>
    </w:p>
    <w:p>
      <w:pPr>
        <w:spacing w:after="70"/>
        <w:ind w:left="280" w:hanging="280"/>
      </w:pPr>
      <w:bookmarkStart w:id="818" w:name="Ref_Falch2011"/>
      <w:r>
        <w:rPr>
          <w:sz w:val="20"/>
          <w:szCs w:val="20"/>
        </w:rPr>
        <w:t xml:space="preserve">Falch, T. (2011). Teacher mobility responses to wage changes: Evidence from a quasi-natural experiment. </w:t>
      </w:r>
      <w:r>
        <w:rPr>
          <w:i/>
          <w:iCs/>
          <w:sz w:val="20"/>
          <w:szCs w:val="20"/>
        </w:rPr>
        <w:t xml:space="preserve">American Economic Review</w:t>
      </w:r>
      <w:r>
        <w:rPr>
          <w:sz w:val="20"/>
          <w:szCs w:val="20"/>
        </w:rPr>
        <w:t xml:space="preserve">, </w:t>
      </w:r>
      <w:r>
        <w:rPr>
          <w:i/>
          <w:iCs/>
          <w:sz w:val="20"/>
          <w:szCs w:val="20"/>
        </w:rPr>
        <w:t xml:space="preserve">101</w:t>
      </w:r>
      <w:r>
        <w:rPr>
          <w:sz w:val="20"/>
          <w:szCs w:val="20"/>
        </w:rPr>
        <w:t xml:space="preserve">(3), 460–465. https://doi.org/10.1257/aer.101.3.460</w:t>
      </w:r>
      <w:bookmarkEnd w:id="818"/>
    </w:p>
    <w:p>
      <w:pPr>
        <w:spacing w:after="70"/>
        <w:ind w:left="280" w:hanging="280"/>
      </w:pPr>
      <w:bookmarkStart w:id="819" w:name="Ref_Feng2018"/>
      <w:r>
        <w:rPr>
          <w:sz w:val="20"/>
          <w:szCs w:val="20"/>
        </w:rPr>
        <w:t xml:space="preserve">Feng, L., &amp; Sass, T. R. (2018). The impact of incentives to recruit and retain teachers in “hard-to-staff” subjects. </w:t>
      </w:r>
      <w:r>
        <w:rPr>
          <w:i/>
          <w:iCs/>
          <w:sz w:val="20"/>
          <w:szCs w:val="20"/>
        </w:rPr>
        <w:t xml:space="preserve">Journal of Policy Analysis and Management</w:t>
      </w:r>
      <w:r>
        <w:rPr>
          <w:sz w:val="20"/>
          <w:szCs w:val="20"/>
        </w:rPr>
        <w:t xml:space="preserve">, </w:t>
      </w:r>
      <w:r>
        <w:rPr>
          <w:i/>
          <w:iCs/>
          <w:sz w:val="20"/>
          <w:szCs w:val="20"/>
        </w:rPr>
        <w:t xml:space="preserve">37</w:t>
      </w:r>
      <w:r>
        <w:rPr>
          <w:sz w:val="20"/>
          <w:szCs w:val="20"/>
        </w:rPr>
        <w:t xml:space="preserve">(1), 112–135. https://doi.org/10.1002/pam.22037</w:t>
      </w:r>
      <w:bookmarkEnd w:id="819"/>
    </w:p>
    <w:p>
      <w:pPr>
        <w:spacing w:after="70"/>
        <w:ind w:left="280" w:hanging="280"/>
      </w:pPr>
      <w:bookmarkStart w:id="820" w:name="Ref_Fitzpatrick2015"/>
      <w:r>
        <w:rPr>
          <w:sz w:val="20"/>
          <w:szCs w:val="20"/>
        </w:rPr>
        <w:t xml:space="preserve">Fitzpatrick, M. D. (2015). How much are public school teachers willing to pay for their retirement benefits? </w:t>
      </w:r>
      <w:r>
        <w:rPr>
          <w:i/>
          <w:iCs/>
          <w:sz w:val="20"/>
          <w:szCs w:val="20"/>
        </w:rPr>
        <w:t xml:space="preserve">American Economic Journal: Economic Policy</w:t>
      </w:r>
      <w:r>
        <w:rPr>
          <w:sz w:val="20"/>
          <w:szCs w:val="20"/>
        </w:rPr>
        <w:t xml:space="preserve">, </w:t>
      </w:r>
      <w:r>
        <w:rPr>
          <w:i/>
          <w:iCs/>
          <w:sz w:val="20"/>
          <w:szCs w:val="20"/>
        </w:rPr>
        <w:t xml:space="preserve">7</w:t>
      </w:r>
      <w:r>
        <w:rPr>
          <w:sz w:val="20"/>
          <w:szCs w:val="20"/>
        </w:rPr>
        <w:t xml:space="preserve">(4), 165–188. https://doi.org/10.1257/pol.20140087</w:t>
      </w:r>
      <w:bookmarkEnd w:id="820"/>
    </w:p>
    <w:p>
      <w:pPr>
        <w:spacing w:after="70"/>
        <w:ind w:left="280" w:hanging="280"/>
      </w:pPr>
      <w:bookmarkStart w:id="821" w:name="Ref_GovSpain2015"/>
      <w:r>
        <w:rPr>
          <w:sz w:val="20"/>
          <w:szCs w:val="20"/>
        </w:rPr>
        <w:t xml:space="preserve">Government of Spain. (2015). </w:t>
      </w:r>
      <w:r>
        <w:rPr>
          <w:i/>
          <w:iCs/>
          <w:sz w:val="20"/>
          <w:szCs w:val="20"/>
        </w:rPr>
        <w:t xml:space="preserve">Real Decreto Legislativo 5/2015, de 30 de octubre, por el que se aprueba el texto refundido de la Ley del Estatuto Básico del Empleado Público</w:t>
      </w:r>
      <w:r>
        <w:rPr>
          <w:sz w:val="20"/>
          <w:szCs w:val="20"/>
        </w:rPr>
        <w:t xml:space="preserve">, Articles 49 and 89. Boletín Oficial del Estado. https://www.boe.es/eli/es/rdlg/2015/10/30/5/con</w:t>
      </w:r>
      <w:bookmarkEnd w:id="821"/>
    </w:p>
    <w:p>
      <w:pPr>
        <w:spacing w:after="70"/>
        <w:ind w:left="280" w:hanging="280"/>
      </w:pPr>
      <w:bookmarkStart w:id="822" w:name="Ref_Grissom2012"/>
      <w:r>
        <w:rPr>
          <w:sz w:val="20"/>
          <w:szCs w:val="20"/>
        </w:rPr>
        <w:t xml:space="preserve">Grissom, J. A., &amp; Reininger, M. (2012). Who comes back? A longitudinal analysis of the reentry behavior of exiting teachers. </w:t>
      </w:r>
      <w:r>
        <w:rPr>
          <w:i/>
          <w:iCs/>
          <w:sz w:val="20"/>
          <w:szCs w:val="20"/>
        </w:rPr>
        <w:t xml:space="preserve">Education Finance and Policy</w:t>
      </w:r>
      <w:r>
        <w:rPr>
          <w:sz w:val="20"/>
          <w:szCs w:val="20"/>
        </w:rPr>
        <w:t xml:space="preserve">, </w:t>
      </w:r>
      <w:r>
        <w:rPr>
          <w:i/>
          <w:iCs/>
          <w:sz w:val="20"/>
          <w:szCs w:val="20"/>
        </w:rPr>
        <w:t xml:space="preserve">7</w:t>
      </w:r>
      <w:r>
        <w:rPr>
          <w:sz w:val="20"/>
          <w:szCs w:val="20"/>
        </w:rPr>
        <w:t xml:space="preserve">(4), 425–454. https://doi.org/10.1162/EDFP_a_00075</w:t>
      </w:r>
      <w:bookmarkEnd w:id="822"/>
    </w:p>
    <w:p>
      <w:pPr>
        <w:spacing w:after="70"/>
        <w:ind w:left="280" w:hanging="280"/>
      </w:pPr>
      <w:bookmarkStart w:id="823" w:name="Ref_Guarino2006"/>
      <w:r>
        <w:rPr>
          <w:sz w:val="20"/>
          <w:szCs w:val="20"/>
        </w:rPr>
        <w:t xml:space="preserve">Guarino, C. M., Santibañez, L., &amp; Daley, G. A. (2006). Teacher recruitment and retention: A review of the recent empirical literature. </w:t>
      </w:r>
      <w:r>
        <w:rPr>
          <w:i/>
          <w:iCs/>
          <w:sz w:val="20"/>
          <w:szCs w:val="20"/>
        </w:rPr>
        <w:t xml:space="preserve">Review of Educational Research</w:t>
      </w:r>
      <w:r>
        <w:rPr>
          <w:sz w:val="20"/>
          <w:szCs w:val="20"/>
        </w:rPr>
        <w:t xml:space="preserve">, </w:t>
      </w:r>
      <w:r>
        <w:rPr>
          <w:i/>
          <w:iCs/>
          <w:sz w:val="20"/>
          <w:szCs w:val="20"/>
        </w:rPr>
        <w:t xml:space="preserve">76</w:t>
      </w:r>
      <w:r>
        <w:rPr>
          <w:sz w:val="20"/>
          <w:szCs w:val="20"/>
        </w:rPr>
        <w:t xml:space="preserve">(2), 173–208. https://doi.org/10.3102/00346543076002173</w:t>
      </w:r>
      <w:bookmarkEnd w:id="823"/>
    </w:p>
    <w:p>
      <w:pPr>
        <w:spacing w:after="70"/>
        <w:ind w:left="280" w:hanging="280"/>
      </w:pPr>
      <w:bookmarkStart w:id="824" w:name="Ref_Gundlach2024"/>
      <w:r>
        <w:rPr>
          <w:sz w:val="20"/>
          <w:szCs w:val="20"/>
        </w:rPr>
        <w:t xml:space="preserve">Gundlach, H. A. D., Slemp, G. R., &amp; Hattie, J. (2024). A meta-analysis of the antecedents of teacher turnover and retention. </w:t>
      </w:r>
      <w:r>
        <w:rPr>
          <w:i/>
          <w:iCs/>
          <w:sz w:val="20"/>
          <w:szCs w:val="20"/>
        </w:rPr>
        <w:t xml:space="preserve">Educational Research Review</w:t>
      </w:r>
      <w:r>
        <w:rPr>
          <w:sz w:val="20"/>
          <w:szCs w:val="20"/>
        </w:rPr>
        <w:t xml:space="preserve">, </w:t>
      </w:r>
      <w:r>
        <w:rPr>
          <w:i/>
          <w:iCs/>
          <w:sz w:val="20"/>
          <w:szCs w:val="20"/>
        </w:rPr>
        <w:t xml:space="preserve">44</w:t>
      </w:r>
      <w:r>
        <w:rPr>
          <w:sz w:val="20"/>
          <w:szCs w:val="20"/>
        </w:rPr>
        <w:t xml:space="preserve">, Article 100606. https://doi.org/10.1016/j.edurev.2024.100606</w:t>
      </w:r>
      <w:bookmarkEnd w:id="824"/>
    </w:p>
    <w:p>
      <w:pPr>
        <w:spacing w:after="70"/>
        <w:ind w:left="280" w:hanging="280"/>
      </w:pPr>
      <w:bookmarkStart w:id="825" w:name="Ref_Harris2007"/>
      <w:r>
        <w:rPr>
          <w:sz w:val="20"/>
          <w:szCs w:val="20"/>
        </w:rPr>
        <w:t xml:space="preserve">Harris, D. N., &amp; Adams, S. J. (2007). Understanding the level and causes of teacher turnover: A comparison with other professions. </w:t>
      </w:r>
      <w:r>
        <w:rPr>
          <w:i/>
          <w:iCs/>
          <w:sz w:val="20"/>
          <w:szCs w:val="20"/>
        </w:rPr>
        <w:t xml:space="preserve">Economics of Education Review</w:t>
      </w:r>
      <w:r>
        <w:rPr>
          <w:sz w:val="20"/>
          <w:szCs w:val="20"/>
        </w:rPr>
        <w:t xml:space="preserve">, </w:t>
      </w:r>
      <w:r>
        <w:rPr>
          <w:i/>
          <w:iCs/>
          <w:sz w:val="20"/>
          <w:szCs w:val="20"/>
        </w:rPr>
        <w:t xml:space="preserve">26</w:t>
      </w:r>
      <w:r>
        <w:rPr>
          <w:sz w:val="20"/>
          <w:szCs w:val="20"/>
        </w:rPr>
        <w:t xml:space="preserve">(3), 325–337. https://doi.org/10.1016/j.econedurev.2005.09.007</w:t>
      </w:r>
      <w:bookmarkEnd w:id="825"/>
    </w:p>
    <w:p>
      <w:pPr>
        <w:spacing w:after="70"/>
        <w:ind w:left="280" w:hanging="280"/>
      </w:pPr>
      <w:bookmarkStart w:id="826" w:name="Ref_Johnson2012"/>
      <w:r>
        <w:rPr>
          <w:sz w:val="20"/>
          <w:szCs w:val="20"/>
        </w:rPr>
        <w:t xml:space="preserve">Johnson, S. M., Kraft, M. A., &amp; Papay, J. P. (2012). How context matters in high-need schools: The effects of teachers’ working conditions on their professional satisfaction and their students’ achievement. </w:t>
      </w:r>
      <w:r>
        <w:rPr>
          <w:i/>
          <w:iCs/>
          <w:sz w:val="20"/>
          <w:szCs w:val="20"/>
        </w:rPr>
        <w:t xml:space="preserve">Teachers College Record</w:t>
      </w:r>
      <w:r>
        <w:rPr>
          <w:sz w:val="20"/>
          <w:szCs w:val="20"/>
        </w:rPr>
        <w:t xml:space="preserve">, </w:t>
      </w:r>
      <w:r>
        <w:rPr>
          <w:i/>
          <w:iCs/>
          <w:sz w:val="20"/>
          <w:szCs w:val="20"/>
        </w:rPr>
        <w:t xml:space="preserve">114</w:t>
      </w:r>
      <w:r>
        <w:rPr>
          <w:sz w:val="20"/>
          <w:szCs w:val="20"/>
        </w:rPr>
        <w:t xml:space="preserve">(10), 1–39. https://doi.org/10.1177/016146811211401004</w:t>
      </w:r>
      <w:bookmarkEnd w:id="826"/>
    </w:p>
    <w:p>
      <w:pPr>
        <w:spacing w:after="70"/>
        <w:ind w:left="280" w:hanging="280"/>
      </w:pPr>
      <w:bookmarkStart w:id="827" w:name="Ref_Kindsiko2023"/>
      <w:r>
        <w:rPr>
          <w:sz w:val="20"/>
          <w:szCs w:val="20"/>
        </w:rPr>
        <w:t xml:space="preserve">Kindsiko, E. (2023). [Analysis of teacher attrition in Estonia using EHIS register data 2005/06–2021/22]. Arenguseire Keskus. [Full bibliographic details to be completed before publication.]</w:t>
      </w:r>
      <w:bookmarkEnd w:id="827"/>
    </w:p>
    <w:p>
      <w:pPr>
        <w:spacing w:after="70"/>
        <w:ind w:left="280" w:hanging="280"/>
      </w:pPr>
      <w:bookmarkStart w:id="828" w:name="Ref_Kraft2016"/>
      <w:r>
        <w:rPr>
          <w:sz w:val="20"/>
          <w:szCs w:val="20"/>
        </w:rPr>
        <w:t xml:space="preserve">Kraft, M. A., Marinell, W. H., &amp; Shen-Wei Yee, D. (2016). School organizational contexts, teacher turnover, and student achievement: Evidence from panel data. </w:t>
      </w:r>
      <w:r>
        <w:rPr>
          <w:i/>
          <w:iCs/>
          <w:sz w:val="20"/>
          <w:szCs w:val="20"/>
        </w:rPr>
        <w:t xml:space="preserve">American Educational Research Journal</w:t>
      </w:r>
      <w:r>
        <w:rPr>
          <w:sz w:val="20"/>
          <w:szCs w:val="20"/>
        </w:rPr>
        <w:t xml:space="preserve">, </w:t>
      </w:r>
      <w:r>
        <w:rPr>
          <w:i/>
          <w:iCs/>
          <w:sz w:val="20"/>
          <w:szCs w:val="20"/>
        </w:rPr>
        <w:t xml:space="preserve">53</w:t>
      </w:r>
      <w:r>
        <w:rPr>
          <w:sz w:val="20"/>
          <w:szCs w:val="20"/>
        </w:rPr>
        <w:t xml:space="preserve">(5), 1411–1449. https://doi.org/10.3102/0002831216667478</w:t>
      </w:r>
      <w:bookmarkEnd w:id="828"/>
    </w:p>
    <w:p>
      <w:pPr>
        <w:spacing w:after="70"/>
        <w:ind w:left="280" w:hanging="280"/>
      </w:pPr>
      <w:bookmarkStart w:id="829" w:name="Ref_Ladd2011"/>
      <w:r>
        <w:rPr>
          <w:sz w:val="20"/>
          <w:szCs w:val="20"/>
        </w:rPr>
        <w:t xml:space="preserve">Ladd, H. F. (2011). Teachers’ perceptions of their working conditions: How predictive of planned and actual teacher movement? </w:t>
      </w:r>
      <w:r>
        <w:rPr>
          <w:i/>
          <w:iCs/>
          <w:sz w:val="20"/>
          <w:szCs w:val="20"/>
        </w:rPr>
        <w:t xml:space="preserve">Educational Evaluation and Policy Analysis</w:t>
      </w:r>
      <w:r>
        <w:rPr>
          <w:sz w:val="20"/>
          <w:szCs w:val="20"/>
        </w:rPr>
        <w:t xml:space="preserve">, </w:t>
      </w:r>
      <w:r>
        <w:rPr>
          <w:i/>
          <w:iCs/>
          <w:sz w:val="20"/>
          <w:szCs w:val="20"/>
        </w:rPr>
        <w:t xml:space="preserve">33</w:t>
      </w:r>
      <w:r>
        <w:rPr>
          <w:sz w:val="20"/>
          <w:szCs w:val="20"/>
        </w:rPr>
        <w:t xml:space="preserve">(2), 235–261. https://doi.org/10.3102/0162373711398128</w:t>
      </w:r>
      <w:bookmarkEnd w:id="829"/>
    </w:p>
    <w:p>
      <w:pPr>
        <w:spacing w:after="70"/>
        <w:ind w:left="280" w:hanging="280"/>
      </w:pPr>
      <w:bookmarkStart w:id="830" w:name="Ref_Madigan2021"/>
      <w:r>
        <w:rPr>
          <w:sz w:val="20"/>
          <w:szCs w:val="20"/>
        </w:rPr>
        <w:t xml:space="preserve">Madigan, D. J., &amp; Kim, L. E. (2021). Towards an understanding of teacher attrition: A meta-analysis of burnout, job satisfaction, and teachers’ intentions to quit. </w:t>
      </w:r>
      <w:r>
        <w:rPr>
          <w:i/>
          <w:iCs/>
          <w:sz w:val="20"/>
          <w:szCs w:val="20"/>
        </w:rPr>
        <w:t xml:space="preserve">Teaching and Teacher Education</w:t>
      </w:r>
      <w:r>
        <w:rPr>
          <w:sz w:val="20"/>
          <w:szCs w:val="20"/>
        </w:rPr>
        <w:t xml:space="preserve">, </w:t>
      </w:r>
      <w:r>
        <w:rPr>
          <w:i/>
          <w:iCs/>
          <w:sz w:val="20"/>
          <w:szCs w:val="20"/>
        </w:rPr>
        <w:t xml:space="preserve">105</w:t>
      </w:r>
      <w:r>
        <w:rPr>
          <w:sz w:val="20"/>
          <w:szCs w:val="20"/>
        </w:rPr>
        <w:t xml:space="preserve">, Article 103425. https://doi.org/10.1016/j.tate.2021.103425</w:t>
      </w:r>
      <w:bookmarkEnd w:id="830"/>
    </w:p>
    <w:p>
      <w:pPr>
        <w:spacing w:after="70"/>
        <w:ind w:left="280" w:hanging="280"/>
      </w:pPr>
      <w:bookmarkStart w:id="831" w:name="Ref_Ministere2023"/>
      <w:r>
        <w:rPr>
          <w:sz w:val="20"/>
          <w:szCs w:val="20"/>
        </w:rPr>
        <w:t xml:space="preserve">Ministère de l’Éducation nationale. (2023). </w:t>
      </w:r>
      <w:r>
        <w:rPr>
          <w:i/>
          <w:iCs/>
          <w:sz w:val="20"/>
          <w:szCs w:val="20"/>
        </w:rPr>
        <w:t xml:space="preserve">La retraite des personnels de l’Éducation nationale</w:t>
      </w:r>
      <w:r>
        <w:rPr>
          <w:sz w:val="20"/>
          <w:szCs w:val="20"/>
        </w:rPr>
        <w:t xml:space="preserve">. https://www.education.gouv.fr/la-retraite-des-personnels-de-l-education-nationale-41489</w:t>
      </w:r>
      <w:bookmarkEnd w:id="831"/>
    </w:p>
    <w:p>
      <w:pPr>
        <w:spacing w:after="70"/>
        <w:ind w:left="280" w:hanging="280"/>
      </w:pPr>
      <w:bookmarkStart w:id="832" w:name="Ref_MoEKorea2023"/>
      <w:r>
        <w:rPr>
          <w:sz w:val="20"/>
          <w:szCs w:val="20"/>
        </w:rPr>
        <w:t xml:space="preserve">Ministry of Education Korea. (2023). [Statistics on mid-career teacher separations 2019–2023]. Ministry of Education, Sejong. [Full bibliographic details to be completed before publication.]</w:t>
      </w:r>
      <w:bookmarkEnd w:id="832"/>
    </w:p>
    <w:p>
      <w:pPr>
        <w:spacing w:after="70"/>
        <w:ind w:left="280" w:hanging="280"/>
      </w:pPr>
      <w:bookmarkStart w:id="833" w:name="Ref_Moyer2022"/>
      <w:r>
        <w:rPr>
          <w:sz w:val="20"/>
          <w:szCs w:val="20"/>
        </w:rPr>
        <w:t xml:space="preserve">Moyer, A. (2022). Has “who comes back” changed? Teacher reentry 2000–2019. </w:t>
      </w:r>
      <w:r>
        <w:rPr>
          <w:i/>
          <w:iCs/>
          <w:sz w:val="20"/>
          <w:szCs w:val="20"/>
        </w:rPr>
        <w:t xml:space="preserve">Educational Researcher</w:t>
      </w:r>
      <w:r>
        <w:rPr>
          <w:sz w:val="20"/>
          <w:szCs w:val="20"/>
        </w:rPr>
        <w:t xml:space="preserve">, </w:t>
      </w:r>
      <w:r>
        <w:rPr>
          <w:i/>
          <w:iCs/>
          <w:sz w:val="20"/>
          <w:szCs w:val="20"/>
        </w:rPr>
        <w:t xml:space="preserve">51</w:t>
      </w:r>
      <w:r>
        <w:rPr>
          <w:sz w:val="20"/>
          <w:szCs w:val="20"/>
        </w:rPr>
        <w:t xml:space="preserve">(8), 544–546. https://doi.org/10.3102/0013189X221122746</w:t>
      </w:r>
      <w:bookmarkEnd w:id="833"/>
    </w:p>
    <w:p>
      <w:pPr>
        <w:spacing w:after="70"/>
        <w:ind w:left="280" w:hanging="280"/>
      </w:pPr>
      <w:bookmarkStart w:id="834" w:name="Ref_NCES2014"/>
      <w:r>
        <w:rPr>
          <w:sz w:val="20"/>
          <w:szCs w:val="20"/>
        </w:rPr>
        <w:t xml:space="preserve">NCES. (2014). </w:t>
      </w:r>
      <w:r>
        <w:rPr>
          <w:i/>
          <w:iCs/>
          <w:sz w:val="20"/>
          <w:szCs w:val="20"/>
        </w:rPr>
        <w:t xml:space="preserve">Teacher attrition and mobility: Results from the 2012–13 Teacher Follow-up Survey</w:t>
      </w:r>
      <w:r>
        <w:rPr>
          <w:sz w:val="20"/>
          <w:szCs w:val="20"/>
        </w:rPr>
        <w:t xml:space="preserve"> (NCES 2014-077). National Center for Education Statistics, U.S. Department of Education. https://nces.ed.gov/pubs2014/2014077.pdf</w:t>
      </w:r>
      <w:bookmarkEnd w:id="834"/>
    </w:p>
    <w:p>
      <w:pPr>
        <w:spacing w:after="70"/>
        <w:ind w:left="280" w:hanging="280"/>
      </w:pPr>
      <w:bookmarkStart w:id="835" w:name="Ref_NCES2024"/>
      <w:r>
        <w:rPr>
          <w:sz w:val="20"/>
          <w:szCs w:val="20"/>
        </w:rPr>
        <w:t xml:space="preserve">NCES. (2024). </w:t>
      </w:r>
      <w:r>
        <w:rPr>
          <w:i/>
          <w:iCs/>
          <w:sz w:val="20"/>
          <w:szCs w:val="20"/>
        </w:rPr>
        <w:t xml:space="preserve">Teacher attrition and mobility: Results from the 2021–22 Teacher Follow-up Survey</w:t>
      </w:r>
      <w:r>
        <w:rPr>
          <w:sz w:val="20"/>
          <w:szCs w:val="20"/>
        </w:rPr>
        <w:t xml:space="preserve">. National Center for Education Statistics, U.S. Department of Education. https://nces.ed.gov/pubsearch/pubsinfo.asp?pubid=2024039</w:t>
      </w:r>
      <w:bookmarkEnd w:id="835"/>
    </w:p>
    <w:p>
      <w:pPr>
        <w:spacing w:after="70"/>
        <w:ind w:left="280" w:hanging="280"/>
      </w:pPr>
      <w:bookmarkStart w:id="836" w:name="Ref_Nguyen2024"/>
      <w:r>
        <w:rPr>
          <w:sz w:val="20"/>
          <w:szCs w:val="20"/>
        </w:rPr>
        <w:t xml:space="preserve">Nguyen, T. D., Lam, C. D., &amp; Bruno, P. (2024). What do we know about the extent of teacher shortages nationwide? A systematic examination of reports of U.S. teacher shortages. </w:t>
      </w:r>
      <w:r>
        <w:rPr>
          <w:i/>
          <w:iCs/>
          <w:sz w:val="20"/>
          <w:szCs w:val="20"/>
        </w:rPr>
        <w:t xml:space="preserve">AERA Open</w:t>
      </w:r>
      <w:r>
        <w:rPr>
          <w:sz w:val="20"/>
          <w:szCs w:val="20"/>
        </w:rPr>
        <w:t xml:space="preserve">, </w:t>
      </w:r>
      <w:r>
        <w:rPr>
          <w:i/>
          <w:iCs/>
          <w:sz w:val="20"/>
          <w:szCs w:val="20"/>
        </w:rPr>
        <w:t xml:space="preserve">10</w:t>
      </w:r>
      <w:r>
        <w:rPr>
          <w:sz w:val="20"/>
          <w:szCs w:val="20"/>
        </w:rPr>
        <w:t xml:space="preserve">. https://doi.org/10.1177/23328584241276512</w:t>
      </w:r>
      <w:bookmarkEnd w:id="836"/>
    </w:p>
    <w:p>
      <w:pPr>
        <w:spacing w:after="70"/>
        <w:ind w:left="280" w:hanging="280"/>
      </w:pPr>
      <w:bookmarkStart w:id="837" w:name="Ref_Nguyen2020"/>
      <w:r>
        <w:rPr>
          <w:sz w:val="20"/>
          <w:szCs w:val="20"/>
        </w:rPr>
        <w:t xml:space="preserve">Nguyen, T. D., Pham, L. D., Crouch, M., &amp; Springer, M. G. (2020). The correlates of teacher turnover: An updated and expanded meta-analysis of the literature. </w:t>
      </w:r>
      <w:r>
        <w:rPr>
          <w:i/>
          <w:iCs/>
          <w:sz w:val="20"/>
          <w:szCs w:val="20"/>
        </w:rPr>
        <w:t xml:space="preserve">Educational Research Review</w:t>
      </w:r>
      <w:r>
        <w:rPr>
          <w:sz w:val="20"/>
          <w:szCs w:val="20"/>
        </w:rPr>
        <w:t xml:space="preserve">, </w:t>
      </w:r>
      <w:r>
        <w:rPr>
          <w:i/>
          <w:iCs/>
          <w:sz w:val="20"/>
          <w:szCs w:val="20"/>
        </w:rPr>
        <w:t xml:space="preserve">31</w:t>
      </w:r>
      <w:r>
        <w:rPr>
          <w:sz w:val="20"/>
          <w:szCs w:val="20"/>
        </w:rPr>
        <w:t xml:space="preserve">, Article 100355. https://doi.org/10.1016/j.edurev.2020.100355</w:t>
      </w:r>
      <w:bookmarkEnd w:id="837"/>
    </w:p>
    <w:p>
      <w:pPr>
        <w:spacing w:after="70"/>
        <w:ind w:left="280" w:hanging="280"/>
      </w:pPr>
      <w:bookmarkStart w:id="838" w:name="Ref_Ni2022"/>
      <w:r>
        <w:rPr>
          <w:sz w:val="20"/>
          <w:szCs w:val="20"/>
        </w:rPr>
        <w:t xml:space="preserve">Ni, S., Podgursky, M., &amp; Wang, F. (2022). How much are public school teachers willing to pay for their retirement benefits? Comment. </w:t>
      </w:r>
      <w:r>
        <w:rPr>
          <w:i/>
          <w:iCs/>
          <w:sz w:val="20"/>
          <w:szCs w:val="20"/>
        </w:rPr>
        <w:t xml:space="preserve">American Economic Journal: Economic Policy</w:t>
      </w:r>
      <w:r>
        <w:rPr>
          <w:sz w:val="20"/>
          <w:szCs w:val="20"/>
        </w:rPr>
        <w:t xml:space="preserve">, </w:t>
      </w:r>
      <w:r>
        <w:rPr>
          <w:i/>
          <w:iCs/>
          <w:sz w:val="20"/>
          <w:szCs w:val="20"/>
        </w:rPr>
        <w:t xml:space="preserve">14</w:t>
      </w:r>
      <w:r>
        <w:rPr>
          <w:sz w:val="20"/>
          <w:szCs w:val="20"/>
        </w:rPr>
        <w:t xml:space="preserve">(3), 478–493. https://doi.org/10.1257/pol.20200763</w:t>
      </w:r>
      <w:bookmarkEnd w:id="838"/>
    </w:p>
    <w:p>
      <w:pPr>
        <w:spacing w:after="70"/>
        <w:ind w:left="280" w:hanging="280"/>
      </w:pPr>
      <w:bookmarkStart w:id="839" w:name="Ref_Nickow2024"/>
      <w:r>
        <w:rPr>
          <w:sz w:val="20"/>
          <w:szCs w:val="20"/>
        </w:rPr>
        <w:t xml:space="preserve">Nickow, A., Oreopoulos, P., &amp; Quan, V. (2024). The promise of tutoring for PreK-12 learning: A systematic review and meta-analysis of the experimental evidence. </w:t>
      </w:r>
      <w:r>
        <w:rPr>
          <w:i/>
          <w:iCs/>
          <w:sz w:val="20"/>
          <w:szCs w:val="20"/>
        </w:rPr>
        <w:t xml:space="preserve">American Educational Research Journal</w:t>
      </w:r>
      <w:r>
        <w:rPr>
          <w:sz w:val="20"/>
          <w:szCs w:val="20"/>
        </w:rPr>
        <w:t xml:space="preserve">, </w:t>
      </w:r>
      <w:r>
        <w:rPr>
          <w:i/>
          <w:iCs/>
          <w:sz w:val="20"/>
          <w:szCs w:val="20"/>
        </w:rPr>
        <w:t xml:space="preserve">61</w:t>
      </w:r>
      <w:r>
        <w:rPr>
          <w:sz w:val="20"/>
          <w:szCs w:val="20"/>
        </w:rPr>
        <w:t xml:space="preserve">(1), 74–107. https://doi.org/10.3102/00028312231208687</w:t>
      </w:r>
      <w:bookmarkEnd w:id="839"/>
    </w:p>
    <w:p>
      <w:pPr>
        <w:spacing w:after="70"/>
        <w:ind w:left="280" w:hanging="280"/>
      </w:pPr>
      <w:bookmarkStart w:id="840" w:name="Ref_NSA2025"/>
      <w:r>
        <w:rPr>
          <w:sz w:val="20"/>
          <w:szCs w:val="20"/>
        </w:rPr>
        <w:t xml:space="preserve">NŠA. (2025). [Teacher demand and supply forecast]. Nacionalinė švietimo agentūra. [Full bibliographic details to be completed before publication.]</w:t>
      </w:r>
      <w:bookmarkEnd w:id="840"/>
    </w:p>
    <w:p>
      <w:pPr>
        <w:spacing w:after="70"/>
        <w:ind w:left="280" w:hanging="280"/>
      </w:pPr>
      <w:bookmarkStart w:id="841" w:name="Ref_OECD2020"/>
      <w:r>
        <w:rPr>
          <w:sz w:val="20"/>
          <w:szCs w:val="20"/>
        </w:rPr>
        <w:t xml:space="preserve">OECD. (2020). </w:t>
      </w:r>
      <w:r>
        <w:rPr>
          <w:i/>
          <w:iCs/>
          <w:sz w:val="20"/>
          <w:szCs w:val="20"/>
        </w:rPr>
        <w:t xml:space="preserve">TALIS 2018 results (Volume II): Teachers and school leaders as valued professionals</w:t>
      </w:r>
      <w:r>
        <w:rPr>
          <w:sz w:val="20"/>
          <w:szCs w:val="20"/>
        </w:rPr>
        <w:t xml:space="preserve">. OECD Publishing. https://doi.org/10.1787/19cf08df-en</w:t>
      </w:r>
      <w:bookmarkEnd w:id="841"/>
    </w:p>
    <w:p>
      <w:pPr>
        <w:spacing w:after="70"/>
        <w:ind w:left="280" w:hanging="280"/>
      </w:pPr>
      <w:bookmarkStart w:id="842" w:name="Ref_OECD2025a"/>
      <w:r>
        <w:rPr>
          <w:sz w:val="20"/>
          <w:szCs w:val="20"/>
        </w:rPr>
        <w:t xml:space="preserve">OECD. (2025a). What is the profile of the teaching workforce and how has it evolved? In </w:t>
      </w:r>
      <w:r>
        <w:rPr>
          <w:i/>
          <w:iCs/>
          <w:sz w:val="20"/>
          <w:szCs w:val="20"/>
        </w:rPr>
        <w:t xml:space="preserve">Education at a glance 2025: OECD indicators</w:t>
      </w:r>
      <w:r>
        <w:rPr>
          <w:sz w:val="20"/>
          <w:szCs w:val="20"/>
        </w:rPr>
        <w:t xml:space="preserve"> (Indicator D8, Table D8.4). OECD Publishing. https://doi.org/10.1787/f7b0b326-en</w:t>
      </w:r>
      <w:bookmarkEnd w:id="842"/>
    </w:p>
    <w:p>
      <w:pPr>
        <w:spacing w:after="70"/>
        <w:ind w:left="280" w:hanging="280"/>
      </w:pPr>
      <w:bookmarkStart w:id="843" w:name="Ref_OECD2025b"/>
      <w:r>
        <w:rPr>
          <w:sz w:val="20"/>
          <w:szCs w:val="20"/>
        </w:rPr>
        <w:t xml:space="preserve">OECD. (2025b). </w:t>
      </w:r>
      <w:r>
        <w:rPr>
          <w:i/>
          <w:iCs/>
          <w:sz w:val="20"/>
          <w:szCs w:val="20"/>
        </w:rPr>
        <w:t xml:space="preserve">Results from TALIS 2024</w:t>
      </w:r>
      <w:r>
        <w:rPr>
          <w:sz w:val="20"/>
          <w:szCs w:val="20"/>
        </w:rPr>
        <w:t xml:space="preserve">. OECD Publishing. https://doi.org/10.1787/90df6235-en</w:t>
      </w:r>
      <w:bookmarkEnd w:id="843"/>
    </w:p>
    <w:p>
      <w:pPr>
        <w:spacing w:after="70"/>
        <w:ind w:left="280" w:hanging="280"/>
      </w:pPr>
      <w:bookmarkStart w:id="844" w:name="Ref_OECD2025c"/>
      <w:r>
        <w:rPr>
          <w:sz w:val="20"/>
          <w:szCs w:val="20"/>
        </w:rPr>
        <w:t xml:space="preserve">OECD. (2025c). </w:t>
      </w:r>
      <w:r>
        <w:rPr>
          <w:i/>
          <w:iCs/>
          <w:sz w:val="20"/>
          <w:szCs w:val="20"/>
        </w:rPr>
        <w:t xml:space="preserve">Results from TALIS 2024, country notes: Japan, France and the Netherlands</w:t>
      </w:r>
      <w:r>
        <w:rPr>
          <w:sz w:val="20"/>
          <w:szCs w:val="20"/>
        </w:rPr>
        <w:t xml:space="preserve">. OECD Publishing. https://doi.org/10.1787/e127f9e2-en</w:t>
      </w:r>
      <w:bookmarkEnd w:id="844"/>
    </w:p>
    <w:p>
      <w:pPr>
        <w:spacing w:after="70"/>
        <w:ind w:left="280" w:hanging="280"/>
      </w:pPr>
      <w:bookmarkStart w:id="845" w:name="Ref_OECD2025d"/>
      <w:r>
        <w:rPr>
          <w:sz w:val="20"/>
          <w:szCs w:val="20"/>
        </w:rPr>
        <w:t xml:space="preserve">OECD. (2025d). How much are teachers and school heads paid? In </w:t>
      </w:r>
      <w:r>
        <w:rPr>
          <w:i/>
          <w:iCs/>
          <w:sz w:val="20"/>
          <w:szCs w:val="20"/>
        </w:rPr>
        <w:t xml:space="preserve">Education at a glance 2025: OECD indicators</w:t>
      </w:r>
      <w:r>
        <w:rPr>
          <w:sz w:val="20"/>
          <w:szCs w:val="20"/>
        </w:rPr>
        <w:t xml:space="preserve"> (Indicator D3, Table D3.2). OECD Publishing. https://doi.org/10.1787/1c0d9c79-en</w:t>
      </w:r>
      <w:bookmarkEnd w:id="845"/>
    </w:p>
    <w:p>
      <w:pPr>
        <w:spacing w:after="70"/>
        <w:ind w:left="280" w:hanging="280"/>
      </w:pPr>
      <w:bookmarkStart w:id="846" w:name="Ref_OECD2025e"/>
      <w:r>
        <w:rPr>
          <w:sz w:val="20"/>
          <w:szCs w:val="20"/>
        </w:rPr>
        <w:t xml:space="preserve">OECD. (2025e). </w:t>
      </w:r>
      <w:r>
        <w:rPr>
          <w:i/>
          <w:iCs/>
          <w:sz w:val="20"/>
          <w:szCs w:val="20"/>
        </w:rPr>
        <w:t xml:space="preserve">Pensions at a glance 2025: OECD and G20 indicators</w:t>
      </w:r>
      <w:r>
        <w:rPr>
          <w:sz w:val="20"/>
          <w:szCs w:val="20"/>
        </w:rPr>
        <w:t xml:space="preserve">. OECD Publishing.</w:t>
      </w:r>
      <w:bookmarkEnd w:id="846"/>
    </w:p>
    <w:p>
      <w:pPr>
        <w:spacing w:after="70"/>
        <w:ind w:left="280" w:hanging="280"/>
      </w:pPr>
      <w:bookmarkStart w:id="847" w:name="Ref_Papay2020"/>
      <w:r>
        <w:rPr>
          <w:sz w:val="20"/>
          <w:szCs w:val="20"/>
        </w:rPr>
        <w:t xml:space="preserve">Papay, J. P., Taylor, E. S., Tyler, J. H., &amp; Laski, M. E. (2020). Learning job skills from colleagues at work: Evidence from a field experiment using teacher performance data. </w:t>
      </w:r>
      <w:r>
        <w:rPr>
          <w:i/>
          <w:iCs/>
          <w:sz w:val="20"/>
          <w:szCs w:val="20"/>
        </w:rPr>
        <w:t xml:space="preserve">American Economic Journal: Economic Policy</w:t>
      </w:r>
      <w:r>
        <w:rPr>
          <w:sz w:val="20"/>
          <w:szCs w:val="20"/>
        </w:rPr>
        <w:t xml:space="preserve">, </w:t>
      </w:r>
      <w:r>
        <w:rPr>
          <w:i/>
          <w:iCs/>
          <w:sz w:val="20"/>
          <w:szCs w:val="20"/>
        </w:rPr>
        <w:t xml:space="preserve">12</w:t>
      </w:r>
      <w:r>
        <w:rPr>
          <w:sz w:val="20"/>
          <w:szCs w:val="20"/>
        </w:rPr>
        <w:t xml:space="preserve">(1), 359–388. https://doi.org/10.1257/pol.20170709</w:t>
      </w:r>
      <w:bookmarkEnd w:id="847"/>
    </w:p>
    <w:p>
      <w:pPr>
        <w:spacing w:after="70"/>
        <w:ind w:left="280" w:hanging="280"/>
      </w:pPr>
      <w:bookmarkStart w:id="848" w:name="Ref_Rasanen2020"/>
      <w:r>
        <w:rPr>
          <w:sz w:val="20"/>
          <w:szCs w:val="20"/>
        </w:rPr>
        <w:t xml:space="preserve">Räsänen, K., Pietarinen, J., Pyhältö, K., Soini, T., &amp; Väisänen, P. (2020). Why leave the teaching profession? A longitudinal approach to the prevalence and persistence of teacher turnover intentions. </w:t>
      </w:r>
      <w:r>
        <w:rPr>
          <w:i/>
          <w:iCs/>
          <w:sz w:val="20"/>
          <w:szCs w:val="20"/>
        </w:rPr>
        <w:t xml:space="preserve">Social Psychology of Education</w:t>
      </w:r>
      <w:r>
        <w:rPr>
          <w:sz w:val="20"/>
          <w:szCs w:val="20"/>
        </w:rPr>
        <w:t xml:space="preserve">, </w:t>
      </w:r>
      <w:r>
        <w:rPr>
          <w:i/>
          <w:iCs/>
          <w:sz w:val="20"/>
          <w:szCs w:val="20"/>
        </w:rPr>
        <w:t xml:space="preserve">23</w:t>
      </w:r>
      <w:r>
        <w:rPr>
          <w:sz w:val="20"/>
          <w:szCs w:val="20"/>
        </w:rPr>
        <w:t xml:space="preserve">(4), 837–859. https://doi.org/10.1007/s11218-020-09567-x</w:t>
      </w:r>
      <w:bookmarkEnd w:id="848"/>
    </w:p>
    <w:p>
      <w:pPr>
        <w:spacing w:after="70"/>
        <w:ind w:left="280" w:hanging="280"/>
      </w:pPr>
      <w:bookmarkStart w:id="849" w:name="Ref_Ryan2017"/>
      <w:r>
        <w:rPr>
          <w:sz w:val="20"/>
          <w:szCs w:val="20"/>
        </w:rPr>
        <w:t xml:space="preserve">Ryan, S. V., von der Embse, N. P., Pendergast, L. L., Saeki, E., Segool, N., &amp; Schwing, S. (2017). Leaving the teaching profession: The role of teacher stress and educational accountability policies on turnover intent. </w:t>
      </w:r>
      <w:r>
        <w:rPr>
          <w:i/>
          <w:iCs/>
          <w:sz w:val="20"/>
          <w:szCs w:val="20"/>
        </w:rPr>
        <w:t xml:space="preserve">Teaching and Teacher Education</w:t>
      </w:r>
      <w:r>
        <w:rPr>
          <w:sz w:val="20"/>
          <w:szCs w:val="20"/>
        </w:rPr>
        <w:t xml:space="preserve">, </w:t>
      </w:r>
      <w:r>
        <w:rPr>
          <w:i/>
          <w:iCs/>
          <w:sz w:val="20"/>
          <w:szCs w:val="20"/>
        </w:rPr>
        <w:t xml:space="preserve">66</w:t>
      </w:r>
      <w:r>
        <w:rPr>
          <w:sz w:val="20"/>
          <w:szCs w:val="20"/>
        </w:rPr>
        <w:t xml:space="preserve">, 1–11. https://doi.org/10.1016/j.tate.2017.03.016</w:t>
      </w:r>
      <w:bookmarkEnd w:id="849"/>
    </w:p>
    <w:p>
      <w:pPr>
        <w:spacing w:after="70"/>
        <w:ind w:left="280" w:hanging="280"/>
      </w:pPr>
      <w:bookmarkStart w:id="850" w:name="Ref_See2020"/>
      <w:r>
        <w:rPr>
          <w:sz w:val="20"/>
          <w:szCs w:val="20"/>
        </w:rPr>
        <w:t xml:space="preserve">See, B. H., Morris, R., Gorard, S., &amp; El Soufi, N. (2020). Teacher recruitment and retention: A critical review of international evidence of most promising interventions. </w:t>
      </w:r>
      <w:r>
        <w:rPr>
          <w:i/>
          <w:iCs/>
          <w:sz w:val="20"/>
          <w:szCs w:val="20"/>
        </w:rPr>
        <w:t xml:space="preserve">Education Sciences</w:t>
      </w:r>
      <w:r>
        <w:rPr>
          <w:sz w:val="20"/>
          <w:szCs w:val="20"/>
        </w:rPr>
        <w:t xml:space="preserve">, </w:t>
      </w:r>
      <w:r>
        <w:rPr>
          <w:i/>
          <w:iCs/>
          <w:sz w:val="20"/>
          <w:szCs w:val="20"/>
        </w:rPr>
        <w:t xml:space="preserve">10</w:t>
      </w:r>
      <w:r>
        <w:rPr>
          <w:sz w:val="20"/>
          <w:szCs w:val="20"/>
        </w:rPr>
        <w:t xml:space="preserve">(10), Article 262. https://doi.org/10.3390/educsci10100262</w:t>
      </w:r>
      <w:bookmarkEnd w:id="850"/>
    </w:p>
    <w:p>
      <w:pPr>
        <w:spacing w:after="70"/>
        <w:ind w:left="280" w:hanging="280"/>
      </w:pPr>
      <w:bookmarkStart w:id="851" w:name="Ref_Simon2015"/>
      <w:r>
        <w:rPr>
          <w:sz w:val="20"/>
          <w:szCs w:val="20"/>
        </w:rPr>
        <w:t xml:space="preserve">Simon, N. S., &amp; Johnson, S. M. (2015). Teacher turnover in high-poverty schools: What we know and can do. </w:t>
      </w:r>
      <w:r>
        <w:rPr>
          <w:i/>
          <w:iCs/>
          <w:sz w:val="20"/>
          <w:szCs w:val="20"/>
        </w:rPr>
        <w:t xml:space="preserve">Teachers College Record</w:t>
      </w:r>
      <w:r>
        <w:rPr>
          <w:sz w:val="20"/>
          <w:szCs w:val="20"/>
        </w:rPr>
        <w:t xml:space="preserve">, </w:t>
      </w:r>
      <w:r>
        <w:rPr>
          <w:i/>
          <w:iCs/>
          <w:sz w:val="20"/>
          <w:szCs w:val="20"/>
        </w:rPr>
        <w:t xml:space="preserve">117</w:t>
      </w:r>
      <w:r>
        <w:rPr>
          <w:sz w:val="20"/>
          <w:szCs w:val="20"/>
        </w:rPr>
        <w:t xml:space="preserve">(3), 1–36. https://doi.org/10.1177/016146811511700305</w:t>
      </w:r>
      <w:bookmarkEnd w:id="851"/>
    </w:p>
    <w:p>
      <w:pPr>
        <w:spacing w:after="70"/>
        <w:ind w:left="280" w:hanging="280"/>
      </w:pPr>
      <w:bookmarkStart w:id="852" w:name="Ref_SimsBenhenda2022"/>
      <w:r>
        <w:rPr>
          <w:sz w:val="20"/>
          <w:szCs w:val="20"/>
        </w:rPr>
        <w:t xml:space="preserve">Sims, S., &amp; Benhenda, A. (2022). </w:t>
      </w:r>
      <w:r>
        <w:rPr>
          <w:i/>
          <w:iCs/>
          <w:sz w:val="20"/>
          <w:szCs w:val="20"/>
        </w:rPr>
        <w:t xml:space="preserve">The effect of financial incentives on the retention of shortage-subject teachers: Evidence from England</w:t>
      </w:r>
      <w:r>
        <w:rPr>
          <w:sz w:val="20"/>
          <w:szCs w:val="20"/>
        </w:rPr>
        <w:t xml:space="preserve"> (CEPEO Working Paper No. 22-04). UCL Centre for Education Policy and Equalising Opportunities. https://repec-cepeo.ucl.ac.uk/cepeow/cepeowp22-04.pdf</w:t>
      </w:r>
      <w:bookmarkEnd w:id="852"/>
    </w:p>
    <w:p>
      <w:pPr>
        <w:spacing w:after="70"/>
        <w:ind w:left="280" w:hanging="280"/>
      </w:pPr>
      <w:bookmarkStart w:id="853" w:name="Ref_SimsJerrim2020"/>
      <w:r>
        <w:rPr>
          <w:sz w:val="20"/>
          <w:szCs w:val="20"/>
        </w:rPr>
        <w:t xml:space="preserve">Sims, S., &amp; Jerrim, J. (2020). </w:t>
      </w:r>
      <w:r>
        <w:rPr>
          <w:i/>
          <w:iCs/>
          <w:sz w:val="20"/>
          <w:szCs w:val="20"/>
        </w:rPr>
        <w:t xml:space="preserve">TALIS 2018: Teacher working conditions, turnover and attrition</w:t>
      </w:r>
      <w:r>
        <w:rPr>
          <w:sz w:val="20"/>
          <w:szCs w:val="20"/>
        </w:rPr>
        <w:t xml:space="preserve"> (Statistical working paper). Department for Education. https://www.gov.uk/government/publications/talis-2018-teacher-working-conditions-turnover-and-attrition</w:t>
      </w:r>
      <w:bookmarkEnd w:id="853"/>
    </w:p>
    <w:p>
      <w:pPr>
        <w:spacing w:after="70"/>
        <w:ind w:left="280" w:hanging="280"/>
      </w:pPr>
      <w:bookmarkStart w:id="854" w:name="Ref_Springer2016"/>
      <w:r>
        <w:rPr>
          <w:sz w:val="20"/>
          <w:szCs w:val="20"/>
        </w:rPr>
        <w:t xml:space="preserve">Springer, M. G., Swain, W. A., &amp; Rodriguez, L. A. (2016). Effective teacher retention bonuses: Evidence from Tennessee. </w:t>
      </w:r>
      <w:r>
        <w:rPr>
          <w:i/>
          <w:iCs/>
          <w:sz w:val="20"/>
          <w:szCs w:val="20"/>
        </w:rPr>
        <w:t xml:space="preserve">Educational Evaluation and Policy Analysis</w:t>
      </w:r>
      <w:r>
        <w:rPr>
          <w:sz w:val="20"/>
          <w:szCs w:val="20"/>
        </w:rPr>
        <w:t xml:space="preserve">, </w:t>
      </w:r>
      <w:r>
        <w:rPr>
          <w:i/>
          <w:iCs/>
          <w:sz w:val="20"/>
          <w:szCs w:val="20"/>
        </w:rPr>
        <w:t xml:space="preserve">38</w:t>
      </w:r>
      <w:r>
        <w:rPr>
          <w:sz w:val="20"/>
          <w:szCs w:val="20"/>
        </w:rPr>
        <w:t xml:space="preserve">(2), 199–221. https://doi.org/10.3102/0162373715609687</w:t>
      </w:r>
      <w:bookmarkEnd w:id="854"/>
    </w:p>
    <w:p>
      <w:pPr>
        <w:spacing w:after="70"/>
        <w:ind w:left="280" w:hanging="280"/>
      </w:pPr>
      <w:bookmarkStart w:id="855" w:name="Ref_StatNorway2025"/>
      <w:r>
        <w:rPr>
          <w:sz w:val="20"/>
          <w:szCs w:val="20"/>
        </w:rPr>
        <w:t xml:space="preserve">Statistics Norway. (2025). [Articles on the labour-market attachment of trained teachers]. Statistisk sentralbyrå. https://www.ssb.no/ [Full bibliographic details to be completed before publication.]</w:t>
      </w:r>
      <w:bookmarkEnd w:id="855"/>
    </w:p>
    <w:p>
      <w:pPr>
        <w:spacing w:after="70"/>
        <w:ind w:left="280" w:hanging="280"/>
      </w:pPr>
      <w:bookmarkStart w:id="856" w:name="Ref_StatSweden2023"/>
      <w:r>
        <w:rPr>
          <w:sz w:val="20"/>
          <w:szCs w:val="20"/>
        </w:rPr>
        <w:t xml:space="preserve">Statistics Sweden. (2023). </w:t>
      </w:r>
      <w:r>
        <w:rPr>
          <w:i/>
          <w:iCs/>
          <w:sz w:val="20"/>
          <w:szCs w:val="20"/>
        </w:rPr>
        <w:t xml:space="preserve">Lärare utanför yrket 2022/2023</w:t>
      </w:r>
      <w:r>
        <w:rPr>
          <w:sz w:val="20"/>
          <w:szCs w:val="20"/>
        </w:rPr>
        <w:t xml:space="preserve"> [Teachers outside the profession 2022/2023]. Statistiska centralbyrån. https://www.scb.se/</w:t>
      </w:r>
      <w:bookmarkEnd w:id="856"/>
    </w:p>
    <w:p>
      <w:pPr>
        <w:spacing w:after="70"/>
        <w:ind w:left="280" w:hanging="280"/>
      </w:pPr>
      <w:bookmarkStart w:id="857" w:name="Ref_Stinebrickner2002"/>
      <w:r>
        <w:rPr>
          <w:sz w:val="20"/>
          <w:szCs w:val="20"/>
        </w:rPr>
        <w:t xml:space="preserve">Stinebrickner, T. R. (2002). An analysis of occupational change and departure from the labor force: Evidence of the reasons that teachers leave. </w:t>
      </w:r>
      <w:r>
        <w:rPr>
          <w:i/>
          <w:iCs/>
          <w:sz w:val="20"/>
          <w:szCs w:val="20"/>
        </w:rPr>
        <w:t xml:space="preserve">Journal of Human Resources</w:t>
      </w:r>
      <w:r>
        <w:rPr>
          <w:sz w:val="20"/>
          <w:szCs w:val="20"/>
        </w:rPr>
        <w:t xml:space="preserve">, </w:t>
      </w:r>
      <w:r>
        <w:rPr>
          <w:i/>
          <w:iCs/>
          <w:sz w:val="20"/>
          <w:szCs w:val="20"/>
        </w:rPr>
        <w:t xml:space="preserve">37</w:t>
      </w:r>
      <w:r>
        <w:rPr>
          <w:sz w:val="20"/>
          <w:szCs w:val="20"/>
        </w:rPr>
        <w:t xml:space="preserve">(1), 192–216. https://doi.org/10.2307/3069608</w:t>
      </w:r>
      <w:bookmarkEnd w:id="857"/>
    </w:p>
    <w:p>
      <w:pPr>
        <w:spacing w:after="70"/>
        <w:ind w:left="280" w:hanging="280"/>
      </w:pPr>
      <w:bookmarkStart w:id="858" w:name="Ref_TCANZ2016"/>
      <w:r>
        <w:rPr>
          <w:sz w:val="20"/>
          <w:szCs w:val="20"/>
        </w:rPr>
        <w:t xml:space="preserve">Teaching Council of Aotearoa New Zealand. (2016). </w:t>
      </w:r>
      <w:r>
        <w:rPr>
          <w:i/>
          <w:iCs/>
          <w:sz w:val="20"/>
          <w:szCs w:val="20"/>
        </w:rPr>
        <w:t xml:space="preserve">Teaching Council Rules 2016</w:t>
      </w:r>
      <w:r>
        <w:rPr>
          <w:sz w:val="20"/>
          <w:szCs w:val="20"/>
        </w:rPr>
        <w:t xml:space="preserve"> (LI 2016/122). New Zealand Legislation. https://www.legislation.govt.nz/regulation/public/2016/0122/latest/whole.html</w:t>
      </w:r>
      <w:bookmarkEnd w:id="858"/>
    </w:p>
    <w:p>
      <w:pPr>
        <w:spacing w:after="70"/>
        <w:ind w:left="280" w:hanging="280"/>
      </w:pPr>
      <w:bookmarkStart w:id="859" w:name="Ref_UNESCO2024"/>
      <w:r>
        <w:rPr>
          <w:sz w:val="20"/>
          <w:szCs w:val="20"/>
        </w:rPr>
        <w:t xml:space="preserve">UNESCO. (2024). </w:t>
      </w:r>
      <w:r>
        <w:rPr>
          <w:i/>
          <w:iCs/>
          <w:sz w:val="20"/>
          <w:szCs w:val="20"/>
        </w:rPr>
        <w:t xml:space="preserve">Global report on teachers: Addressing teacher shortages and transforming the profession</w:t>
      </w:r>
      <w:r>
        <w:rPr>
          <w:sz w:val="20"/>
          <w:szCs w:val="20"/>
        </w:rPr>
        <w:t xml:space="preserve">. UNESCO and the International Task Force on Teachers for Education 2030. https://doi.org/10.54675/FIGU8035</w:t>
      </w:r>
      <w:bookmarkEnd w:id="859"/>
    </w:p>
    <w:p>
      <w:pPr>
        <w:spacing w:after="70"/>
        <w:ind w:left="280" w:hanging="280"/>
      </w:pPr>
      <w:bookmarkStart w:id="860" w:name="Ref_VanCasteren2023"/>
      <w:r>
        <w:rPr>
          <w:sz w:val="20"/>
          <w:szCs w:val="20"/>
        </w:rPr>
        <w:t xml:space="preserve">Van Casteren, W., Lodewick, J., Lommertzen, J., Luyten, E., &amp; van Mensvoort, C. (2023). </w:t>
      </w:r>
      <w:r>
        <w:rPr>
          <w:i/>
          <w:iCs/>
          <w:sz w:val="20"/>
          <w:szCs w:val="20"/>
        </w:rPr>
        <w:t xml:space="preserve">Vertrekredenen leraren en docenten in het po, vo en mbo</w:t>
      </w:r>
      <w:r>
        <w:rPr>
          <w:sz w:val="20"/>
          <w:szCs w:val="20"/>
        </w:rPr>
        <w:t xml:space="preserve"> [Reasons for leaving among teachers in primary, secondary and vocational education]. ResearchNed. https://www.voion.nl/publicaties/vertrekredenen-leraren-en-docenten-in-het-po-vo-en-mbo/</w:t>
      </w:r>
      <w:bookmarkEnd w:id="860"/>
    </w:p>
    <w:p>
      <w:pPr>
        <w:spacing w:after="70"/>
        <w:ind w:left="280" w:hanging="280"/>
      </w:pPr>
      <w:bookmarkStart w:id="861" w:name="Ref_Vansteenkiste2025"/>
      <w:r>
        <w:rPr>
          <w:sz w:val="20"/>
          <w:szCs w:val="20"/>
        </w:rPr>
        <w:t xml:space="preserve">Vansteenkiste, S. (2025). </w:t>
      </w:r>
      <w:r>
        <w:rPr>
          <w:i/>
          <w:iCs/>
          <w:sz w:val="20"/>
          <w:szCs w:val="20"/>
        </w:rPr>
        <w:t xml:space="preserve">De in- en uitstroom in het lerarenberoep vanuit vergelijkend perspectief</w:t>
      </w:r>
      <w:r>
        <w:rPr>
          <w:sz w:val="20"/>
          <w:szCs w:val="20"/>
        </w:rPr>
        <w:t xml:space="preserve"> [Inflow into and outflow from the teaching profession in comparative perspective]. Steunpunt Onderwijsonderzoek.</w:t>
      </w:r>
      <w:bookmarkEnd w:id="861"/>
    </w:p>
    <w:p>
      <w:pPr>
        <w:spacing w:after="70"/>
        <w:ind w:left="280" w:hanging="280"/>
      </w:pPr>
      <w:bookmarkStart w:id="862" w:name="Ref_VIT2025"/>
      <w:r>
        <w:rPr>
          <w:sz w:val="20"/>
          <w:szCs w:val="20"/>
        </w:rPr>
        <w:t xml:space="preserve">Victorian Institute of Teaching. (2025). </w:t>
      </w:r>
      <w:r>
        <w:rPr>
          <w:i/>
          <w:iCs/>
          <w:sz w:val="20"/>
          <w:szCs w:val="20"/>
        </w:rPr>
        <w:t xml:space="preserve">Professional practice and learning requirements</w:t>
      </w:r>
      <w:r>
        <w:rPr>
          <w:sz w:val="20"/>
          <w:szCs w:val="20"/>
        </w:rPr>
        <w:t xml:space="preserve">. https://www.vit.vic.edu.au/maintain/requirements</w:t>
      </w:r>
      <w:bookmarkEnd w:id="862"/>
    </w:p>
    <w:p>
      <w:pPr>
        <w:spacing w:after="70"/>
        <w:ind w:left="280" w:hanging="280"/>
      </w:pPr>
      <w:bookmarkStart w:id="863" w:name="Ref_Walker2024"/>
      <w:r>
        <w:rPr>
          <w:sz w:val="20"/>
          <w:szCs w:val="20"/>
        </w:rPr>
        <w:t xml:space="preserve">Walker, M., Worth, J., Liht, J., Classick, R., Tang, S., Rutt, S., &amp; Straw, S. (2024). </w:t>
      </w:r>
      <w:r>
        <w:rPr>
          <w:i/>
          <w:iCs/>
          <w:sz w:val="20"/>
          <w:szCs w:val="20"/>
        </w:rPr>
        <w:t xml:space="preserve">Evaluation of the early roll-out of the Early Career Framework: Evaluation report</w:t>
      </w:r>
      <w:r>
        <w:rPr>
          <w:sz w:val="20"/>
          <w:szCs w:val="20"/>
        </w:rPr>
        <w:t xml:space="preserve">. National Foundation for Educational Research for the Education Endowment Foundation. https://d2tic4wvo1iusb.cloudfront.net/production/documents/projects/ECF_early_year_rollout_evaluation_report.pdf</w:t>
      </w:r>
      <w:bookmarkEnd w:id="863"/>
    </w:p>
    <w:sectPr w:rsidR="00F40E91">
      <w:headerReference w:type="default" r:id="rId14"/>
      <w:footerReference w:type="even" r:id="rId15"/>
      <w:footerReference w:type="default" r:id="rId16"/>
      <w:footerReference w:type="first" r:id="rId17"/>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DURÁN ROA José Elías, EDU/IMEP" w:date="2026-09-15T15:24:00Z" w:initials="JD">
    <w:p w14:paraId="51D09100" w14:textId="77777777" w:rsidR="00520C8B" w:rsidRDefault="00F10B26" w:rsidP="00520C8B">
      <w:pPr>
        <w:pStyle w:val="CommentText"/>
      </w:pPr>
      <w:r>
        <w:rPr>
          <w:rStyle w:val="CommentReference"/>
        </w:rPr>
        <w:annotationRef/>
      </w:r>
      <w:r w:rsidR="00520C8B">
        <w:rPr>
          <w:lang w:val="en-GB"/>
        </w:rPr>
        <w:t>Otra opción sería eliminar la tabla y dejar las areas como subtitulos en el texto, ya que al final menciono todo su contenido, en orden, en el cuerpo del texto.</w:t>
      </w:r>
    </w:p>
  </w:comment>
  <w:comment w:id="9" w:author="DURÁN ROA José Elías, EDU/IMEP" w:date="2026-09-16T12:02:00Z" w:initials="JD">
    <w:p w14:paraId="37AE38B7" w14:textId="77777777" w:rsidR="003D32AA" w:rsidRDefault="003D32AA" w:rsidP="003D32AA">
      <w:pPr>
        <w:pStyle w:val="CommentText"/>
      </w:pPr>
      <w:r>
        <w:rPr>
          <w:rStyle w:val="CommentReference"/>
        </w:rPr>
        <w:annotationRef/>
      </w:r>
      <w:r>
        <w:rPr>
          <w:lang w:val="en-GB"/>
        </w:rPr>
        <w:t>No sé bien como funcionan las blue pages, pero aquí se podría hacer una de 1 página, un cierre, con lo que aprendemos y será útil para las políticas de re atracting former teachers</w:t>
      </w:r>
    </w:p>
  </w:comment>
  <w:comment w:id="10" w:author="DURÁN ROA José Elías, EDU/IMEP" w:date="2026-09-16T12:03:00Z" w:initials="JD">
    <w:p w14:paraId="6F61083B" w14:textId="77777777" w:rsidR="00D80668" w:rsidRDefault="003D32AA" w:rsidP="00D80668">
      <w:pPr>
        <w:pStyle w:val="CommentText"/>
      </w:pPr>
      <w:r>
        <w:rPr>
          <w:rStyle w:val="CommentReference"/>
        </w:rPr>
        <w:annotationRef/>
      </w:r>
      <w:r w:rsidR="00D80668">
        <w:rPr>
          <w:lang w:val="en-GB"/>
        </w:rPr>
        <w:t>Crees que tiene sentido? Tipo razón A - afecta mainly a swtchers… aprendemos X… razón B - afecta tanto a leavers como a swicthers y aprendemos… O crees que con los dos párrafos de cierre basta?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D09100" w15:done="0"/>
  <w15:commentEx w15:paraId="37AE38B7" w15:done="0"/>
  <w15:commentEx w15:paraId="6F61083B" w15:paraIdParent="37AE38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55A082" w16cex:dateUtc="2026-09-15T13:24:00Z"/>
  <w16cex:commentExtensible w16cex:durableId="3C297BB5" w16cex:dateUtc="2026-09-16T10:02:00Z"/>
  <w16cex:commentExtensible w16cex:durableId="0CED5071" w16cex:dateUtc="2026-09-16T1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D09100" w16cid:durableId="4455A082"/>
  <w16cid:commentId w16cid:paraId="37AE38B7" w16cid:durableId="3C297BB5"/>
  <w16cid:commentId w16cid:paraId="6F61083B" w16cid:durableId="0CED5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2A6E6" w14:textId="77777777" w:rsidR="00E12A0C" w:rsidRDefault="00E12A0C">
      <w:r>
        <w:separator/>
      </w:r>
    </w:p>
  </w:endnote>
  <w:endnote w:type="continuationSeparator" w:id="0">
    <w:p w14:paraId="6B8D4C92" w14:textId="77777777" w:rsidR="00E12A0C" w:rsidRDefault="00E12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1B484A05" w:rsidR="00D80802" w:rsidRDefault="00D80802">
    <w:pPr>
      <w:pStyle w:val="Footer"/>
    </w:pPr>
    <w:r>
      <w:rPr>
        <w:noProof/>
      </w:rPr>
      <mc:AlternateContent>
        <mc:Choice Requires="wps">
          <w:drawing>
            <wp:anchor distT="0" distB="0" distL="0" distR="0" simplePos="0" relativeHeight="251659264" behindDoc="0" locked="0" layoutInCell="1" allowOverlap="1" wp14:anchorId="3F4C51FF" wp14:editId="17ACD854">
              <wp:simplePos x="635" y="635"/>
              <wp:positionH relativeFrom="page">
                <wp:align>center</wp:align>
              </wp:positionH>
              <wp:positionV relativeFrom="page">
                <wp:align>bottom</wp:align>
              </wp:positionV>
              <wp:extent cx="1819275" cy="345440"/>
              <wp:effectExtent l="0" t="0" r="9525" b="0"/>
              <wp:wrapNone/>
              <wp:docPr id="1089696338" name="Text Box 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45440"/>
                      </a:xfrm>
                      <a:prstGeom prst="rect">
                        <a:avLst/>
                      </a:prstGeom>
                      <a:noFill/>
                      <a:ln>
                        <a:noFill/>
                      </a:ln>
                    </wps:spPr>
                    <wps:txbx>
                      <w:txbxContent>
                        <w:p w14:paraId="7500B537" w14:textId="3734F990"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C51FF" id="_x0000_t202" coordsize="21600,21600" o:spt="202" path="m,l,21600r21600,l21600,xe">
              <v:stroke joinstyle="miter"/>
              <v:path gradientshapeok="t" o:connecttype="rect"/>
            </v:shapetype>
            <v:shape id="Text Box 2" o:spid="_x0000_s1026" type="#_x0000_t202" alt="Restricted Use - À usage restreint" style="position:absolute;margin-left:0;margin-top:0;width:143.2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" filled="f" stroked="f">
              <v:textbox style="mso-fit-shape-to-text:t" inset="0,0,0,15pt">
                <w:txbxContent>
                  <w:p w14:paraId="7500B537" w14:textId="3734F990"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1115000A" w:rsidR="00F40E91" w:rsidRDefault="00D80802">
    <w:pPr>
      <w:jc w:val="center"/>
    </w:pPr>
    <w:r>
      <w:rPr>
        <w:noProof/>
        <w:color w:val="8C8C8C"/>
        <w:sz w:val="16"/>
        <w:szCs w:val="16"/>
      </w:rPr>
      <mc:AlternateContent>
        <mc:Choice Requires="wps">
          <w:drawing>
            <wp:anchor distT="0" distB="0" distL="0" distR="0" simplePos="0" relativeHeight="251660288" behindDoc="0" locked="0" layoutInCell="1" allowOverlap="1" wp14:anchorId="6DAF3F2B" wp14:editId="0E6021DA">
              <wp:simplePos x="900701" y="10128214"/>
              <wp:positionH relativeFrom="page">
                <wp:align>center</wp:align>
              </wp:positionH>
              <wp:positionV relativeFrom="page">
                <wp:align>bottom</wp:align>
              </wp:positionV>
              <wp:extent cx="1819275" cy="345440"/>
              <wp:effectExtent l="0" t="0" r="9525" b="0"/>
              <wp:wrapNone/>
              <wp:docPr id="192409660" name="Text Box 3"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45440"/>
                      </a:xfrm>
                      <a:prstGeom prst="rect">
                        <a:avLst/>
                      </a:prstGeom>
                      <a:noFill/>
                      <a:ln>
                        <a:noFill/>
                      </a:ln>
                    </wps:spPr>
                    <wps:txbx>
                      <w:txbxContent>
                        <w:p w14:paraId="5D9C6BBD" w14:textId="54DE08BA"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DAF3F2B" id="_x0000_t202" coordsize="21600,21600" o:spt="202" path="m,l,21600r21600,l21600,xe">
              <v:stroke joinstyle="miter"/>
              <v:path gradientshapeok="t" o:connecttype="rect"/>
            </v:shapetype>
            <v:shape id="Text Box 3" o:spid="_x0000_s1027" type="#_x0000_t202" alt="Restricted Use - À usage restreint" style="position:absolute;left:0;text-align:left;margin-left:0;margin-top:0;width:143.2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" filled="f" stroked="f">
              <v:textbox style="mso-fit-shape-to-text:t" inset="0,0,0,15pt">
                <w:txbxContent>
                  <w:p w14:paraId="5D9C6BBD" w14:textId="54DE08BA"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v:textbox>
              <w10:wrap anchorx="page" anchory="page"/>
            </v:shape>
          </w:pict>
        </mc:Fallback>
      </mc:AlternateContent>
    </w:r>
    <w:r>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489E92C6" w:rsidR="00D80802" w:rsidRDefault="00D80802">
    <w:pPr>
      <w:pStyle w:val="Footer"/>
    </w:pPr>
    <w:r>
      <w:rPr>
        <w:noProof/>
      </w:rPr>
      <mc:AlternateContent>
        <mc:Choice Requires="wps">
          <w:drawing>
            <wp:anchor distT="0" distB="0" distL="0" distR="0" simplePos="0" relativeHeight="251658240" behindDoc="0" locked="0" layoutInCell="1" allowOverlap="1" wp14:anchorId="0671898E" wp14:editId="4AE3EC48">
              <wp:simplePos x="635" y="635"/>
              <wp:positionH relativeFrom="page">
                <wp:align>center</wp:align>
              </wp:positionH>
              <wp:positionV relativeFrom="page">
                <wp:align>bottom</wp:align>
              </wp:positionV>
              <wp:extent cx="1819275" cy="345440"/>
              <wp:effectExtent l="0" t="0" r="9525" b="0"/>
              <wp:wrapNone/>
              <wp:docPr id="1414335939" name="Text Box 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819275" cy="345440"/>
                      </a:xfrm>
                      <a:prstGeom prst="rect">
                        <a:avLst/>
                      </a:prstGeom>
                      <a:noFill/>
                      <a:ln>
                        <a:noFill/>
                      </a:ln>
                    </wps:spPr>
                    <wps:txbx>
                      <w:txbxContent>
                        <w:p w14:paraId="16C8EE0E" w14:textId="35614C27"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71898E" id="_x0000_t202" coordsize="21600,21600" o:spt="202" path="m,l,21600r21600,l21600,xe">
              <v:stroke joinstyle="miter"/>
              <v:path gradientshapeok="t" o:connecttype="rect"/>
            </v:shapetype>
            <v:shape id="Text Box 1" o:spid="_x0000_s1028" type="#_x0000_t202" alt="Restricted Use - À usage restreint" style="position:absolute;margin-left:0;margin-top:0;width:143.2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" filled="f" stroked="f">
              <v:textbox style="mso-fit-shape-to-text:t" inset="0,0,0,15pt">
                <w:txbxContent>
                  <w:p w14:paraId="16C8EE0E" w14:textId="35614C27" w:rsidR="00D80802" w:rsidRPr="00D80802" w:rsidRDefault="00D80802" w:rsidP="00D80802">
                    <w:pPr>
                      <w:rPr>
                        <w:rFonts w:ascii="Aptos" w:eastAsia="Aptos" w:hAnsi="Aptos" w:cs="Aptos"/>
                        <w:noProof/>
                        <w:color w:val="0000FF"/>
                        <w:sz w:val="20"/>
                        <w:szCs w:val="20"/>
                      </w:rPr>
                    </w:pPr>
                    <w:r w:rsidRPr="00D80802">
                      <w:rPr>
                        <w:rFonts w:ascii="Aptos" w:eastAsia="Aptos" w:hAnsi="Aptos" w:cs="Aptos"/>
                        <w:noProof/>
                        <w:color w:val="0000FF"/>
                        <w:sz w:val="20"/>
                        <w:szCs w:val="20"/>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A25EE" w14:textId="77777777" w:rsidR="00E12A0C" w:rsidRDefault="00E12A0C">
      <w:r>
        <w:separator/>
      </w:r>
    </w:p>
  </w:footnote>
  <w:footnote w:type="continuationSeparator" w:id="0">
    <w:p w14:paraId="7AF04E37" w14:textId="77777777" w:rsidR="00E12A0C" w:rsidRDefault="00E12A0C">
      <w:r>
        <w:continuationSeparator/>
      </w:r>
    </w:p>
  </w:footnote>
  <w:footnote w:id="1">
    <w:p w14:paraId="6182760D" w14:textId="283A6035" w:rsidR="00843159" w:rsidRDefault="00843159" w:rsidP="000839D1">
      <w:pPr>
        <w:spacing w:after="50"/>
        <w:jc w:val="both"/>
      </w:pPr>
      <w:r>
        <w:rPr>
          <w:rStyle w:val="FootnoteReference"/>
        </w:rPr>
        <w:footnoteRef/>
      </w:r>
      <w:r>
        <w:rPr>
          <w:sz w:val="18"/>
          <w:szCs w:val="18"/>
        </w:rPr>
        <w:t xml:space="preserve">The two</w:t>
      </w:r>
      <w:r>
        <w:rPr>
          <w:sz w:val="18"/>
          <w:szCs w:val="18"/>
        </w:rPr>
        <w:t xml:space="preserve"> only </w:t>
      </w:r>
      <w:r>
        <w:rPr>
          <w:sz w:val="18"/>
          <w:szCs w:val="18"/>
        </w:rPr>
        <w:t xml:space="preserve">exceptions are Austria and Estonia, whose rate nearly doubled during the same interval </w:t>
      </w:r>
      <w:r>
        <w:rPr>
          <w:color w:val="0563C1"/>
          <w:sz w:val="18"/>
          <w:szCs w:val="18"/>
        </w:rPr>
        <w:t xml:space="preserve">(</w:t>
      </w:r>
      <w:hyperlink w:anchor="Ref_OECD2025a" w:history="1">
        <w:r>
          <w:rPr>
            <w:color w:val="0563C1"/>
            <w:sz w:val="18"/>
            <w:szCs w:val="18"/>
          </w:rPr>
          <w:t xml:space="preserve">OECD, 2025a</w:t>
        </w:r>
      </w:hyperlink>
      <w:r>
        <w:rPr>
          <w:color w:val="0563C1"/>
          <w:sz w:val="18"/>
          <w:szCs w:val="18"/>
        </w:rPr>
        <w:t xml:space="preserve">)</w:t>
      </w:r>
      <w:r>
        <w:rPr>
          <w:sz w:val="18"/>
          <w:szCs w:val="18"/>
        </w:rPr>
        <w:t xml:space="preserve">.</w:t>
      </w:r>
    </w:p>
  </w:footnote>
  <w:footnote w:id="2">
    <w:p w14:paraId="64F7C097" w14:textId="77777777" w:rsidR="00843159" w:rsidRDefault="00843159" w:rsidP="000839D1">
      <w:pPr>
        <w:spacing w:after="5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its successor the National Teacher and Principal Survey (NTPS); the waves are three to five years apart, so the series is discontinuous but covers 1988 to 2022 under one definition. A continuous annual measure built from the Current Population Survey (CPS) gives consistent results </w:t>
      </w:r>
      <w:r>
        <w:rPr>
          <w:color w:val="0563C1"/>
          <w:sz w:val="18"/>
          <w:szCs w:val="18"/>
        </w:rPr>
        <w:t xml:space="preserve">(</w:t>
      </w:r>
      <w:hyperlink w:anchor="Ref_Harris2007" w:history="1">
        <w:r>
          <w:rPr>
            <w:color w:val="0563C1"/>
            <w:sz w:val="18"/>
            <w:szCs w:val="18"/>
          </w:rPr>
          <w:t xml:space="preserve">Harris and Adams, 2007</w:t>
        </w:r>
      </w:hyperlink>
      <w:r>
        <w:rPr>
          <w:color w:val="0563C1"/>
          <w:sz w:val="18"/>
          <w:szCs w:val="18"/>
        </w:rPr>
        <w:t xml:space="preserve">; </w:t>
      </w:r>
      <w:hyperlink w:anchor="Ref_Aldeman2025" w:history="1">
        <w:r>
          <w:rPr>
            <w:color w:val="0563C1"/>
            <w:sz w:val="18"/>
            <w:szCs w:val="18"/>
          </w:rPr>
          <w:t xml:space="preserve">Aldeman and Yi, 2025</w:t>
        </w:r>
      </w:hyperlink>
      <w:r>
        <w:rPr>
          <w:color w:val="0563C1"/>
          <w:sz w:val="18"/>
          <w:szCs w:val="18"/>
        </w:rPr>
        <w:t xml:space="preserve">)</w:t>
      </w:r>
      <w:r>
        <w:rPr>
          <w:sz w:val="18"/>
          <w:szCs w:val="18"/>
        </w:rPr>
        <w:t xml:space="preserve">.</w:t>
      </w:r>
    </w:p>
  </w:footnote>
  <w:footnote w:id="3">
    <w:p w14:paraId="0FA441F7" w14:textId="77777777" w:rsidR="00843159" w:rsidRDefault="00843159" w:rsidP="00843159">
      <w:pPr>
        <w:spacing w:after="60"/>
        <w:jc w:val="both"/>
      </w:pPr>
      <w:r>
        <w:rPr>
          <w:rStyle w:val="FootnoteReference"/>
        </w:rPr>
        <w:footnoteRef/>
      </w:r>
      <w:r>
        <w:rPr>
          <w:sz w:val="18"/>
          <w:szCs w:val="18"/>
        </w:rPr>
        <w:t xml:space="preserve">For most countries no historical data exists, as such series require longitudinally linked teacher registers. Shorter series move both ways, upward in Denmark, Estonia, Lithuania and Korea and downward in Australia and Chile </w:t>
      </w:r>
      <w:r>
        <w:rPr>
          <w:color w:val="0563C1"/>
          <w:sz w:val="18"/>
          <w:szCs w:val="18"/>
        </w:rPr>
        <w:t xml:space="preserve">(</w:t>
      </w:r>
      <w:hyperlink w:anchor="Ref_AE2024" w:history="1">
        <w:r>
          <w:rPr>
            <w:color w:val="0563C1"/>
            <w:sz w:val="18"/>
            <w:szCs w:val="18"/>
          </w:rPr>
          <w:t xml:space="preserve">AE, 2024</w:t>
        </w:r>
      </w:hyperlink>
      <w:r>
        <w:rPr>
          <w:color w:val="0563C1"/>
          <w:sz w:val="18"/>
          <w:szCs w:val="18"/>
        </w:rPr>
        <w:t xml:space="preserve">; </w:t>
      </w:r>
      <w:hyperlink w:anchor="Ref_Kindsiko2023" w:history="1">
        <w:r>
          <w:rPr>
            <w:color w:val="0563C1"/>
            <w:sz w:val="18"/>
            <w:szCs w:val="18"/>
          </w:rPr>
          <w:t xml:space="preserve">Kindsiko, 2023</w:t>
        </w:r>
      </w:hyperlink>
      <w:r>
        <w:rPr>
          <w:color w:val="0563C1"/>
          <w:sz w:val="18"/>
          <w:szCs w:val="18"/>
        </w:rPr>
        <w:t xml:space="preserve">; </w:t>
      </w:r>
      <w:hyperlink w:anchor="Ref_NSA2025" w:history="1">
        <w:r>
          <w:rPr>
            <w:color w:val="0563C1"/>
            <w:sz w:val="18"/>
            <w:szCs w:val="18"/>
          </w:rPr>
          <w:t xml:space="preserve">NŠA, 2025</w:t>
        </w:r>
      </w:hyperlink>
      <w:r>
        <w:rPr>
          <w:color w:val="0563C1"/>
          <w:sz w:val="18"/>
          <w:szCs w:val="18"/>
        </w:rPr>
        <w:t xml:space="preserve">; </w:t>
      </w:r>
      <w:hyperlink w:anchor="Ref_MoEKorea2023" w:history="1">
        <w:r>
          <w:rPr>
            <w:color w:val="0563C1"/>
            <w:sz w:val="18"/>
            <w:szCs w:val="18"/>
          </w:rPr>
          <w:t xml:space="preserve">Ministry of Education Korea, 2023</w:t>
        </w:r>
      </w:hyperlink>
      <w:r>
        <w:rPr>
          <w:color w:val="0563C1"/>
          <w:sz w:val="18"/>
          <w:szCs w:val="18"/>
        </w:rPr>
        <w:t xml:space="preserve">; </w:t>
      </w:r>
      <w:hyperlink w:anchor="Ref_Buckley2025" w:history="1">
        <w:r>
          <w:rPr>
            <w:color w:val="0563C1"/>
            <w:sz w:val="18"/>
            <w:szCs w:val="18"/>
          </w:rPr>
          <w:t xml:space="preserve">Buckley and Griselda, 2025</w:t>
        </w:r>
      </w:hyperlink>
      <w:r>
        <w:rPr>
          <w:color w:val="0563C1"/>
          <w:sz w:val="18"/>
          <w:szCs w:val="18"/>
        </w:rPr>
        <w:t xml:space="preserve">; </w:t>
      </w:r>
      <w:hyperlink w:anchor="Ref_CIAE2025" w:history="1">
        <w:r>
          <w:rPr>
            <w:color w:val="0563C1"/>
            <w:sz w:val="18"/>
            <w:szCs w:val="18"/>
          </w:rPr>
          <w:t xml:space="preserve">CIAE, 2025</w:t>
        </w:r>
      </w:hyperlink>
      <w:r>
        <w:rPr>
          <w:color w:val="0563C1"/>
          <w:sz w:val="18"/>
          <w:szCs w:val="18"/>
        </w:rPr>
        <w:t xml:space="preserve">)</w:t>
      </w:r>
      <w:r>
        <w:rPr>
          <w:sz w:val="18"/>
          <w:szCs w:val="18"/>
        </w:rPr>
        <w:t xml:space="preserve">.</w:t>
      </w:r>
    </w:p>
  </w:footnote>
  <w:footnote w:id="4">
    <w:p w14:paraId="783E4505" w14:textId="5D8A12DA" w:rsidR="00EB10F8" w:rsidRPr="00EB10F8" w:rsidRDefault="00EB10F8">
      <w:pPr>
        <w:pStyle w:val="FootnoteText"/>
      </w:pPr>
      <w:r>
        <w:rPr>
          <w:rStyle w:val="FootnoteReference"/>
        </w:rPr>
        <w:footnoteRef/>
      </w:r>
      <w:r>
        <w:t xml:space="preserve"> </w:t>
      </w:r>
      <w:r w:rsidRPr="00F10B26">
        <w:rPr>
          <w:color w:val="FF0000"/>
          <w:sz w:val="18"/>
          <w:szCs w:val="18"/>
        </w:rPr>
        <w:t xml:space="preserve">See table A1 in the Appendix to observe the comparison of our </w:t>
      </w:r>
      <w:r w:rsidR="003A3EA3" w:rsidRPr="00F10B26">
        <w:rPr>
          <w:color w:val="FF0000"/>
          <w:sz w:val="18"/>
          <w:szCs w:val="18"/>
        </w:rPr>
        <w:t>area definitions</w:t>
      </w:r>
      <w:r w:rsidRPr="00F10B26">
        <w:rPr>
          <w:color w:val="FF0000"/>
          <w:sz w:val="18"/>
          <w:szCs w:val="18"/>
        </w:rPr>
        <w:t xml:space="preserve"> and the </w:t>
      </w:r>
      <w:r w:rsidR="00FE4777" w:rsidRPr="00F10B26">
        <w:rPr>
          <w:color w:val="FF0000"/>
          <w:sz w:val="18"/>
          <w:szCs w:val="18"/>
        </w:rPr>
        <w:t>most used</w:t>
      </w:r>
      <w:r w:rsidRPr="00F10B26">
        <w:rPr>
          <w:color w:val="FF0000"/>
          <w:sz w:val="18"/>
          <w:szCs w:val="18"/>
        </w:rPr>
        <w:t xml:space="preserve"> in the main meta-analysis of teaching turnover (por construir!)</w:t>
      </w:r>
    </w:p>
  </w:footnote>
  <w:footnote w:id="5">
    <w:p w14:paraId="1045C04F" w14:textId="014A0FFC" w:rsidR="00C45034" w:rsidRPr="00BD2158" w:rsidRDefault="00C45034" w:rsidP="00C45034">
      <w:pPr>
        <w:pStyle w:val="FootnoteText"/>
        <w:rPr>
          <w:sz w:val="18"/>
          <w:szCs w:val="18"/>
        </w:rPr>
      </w:pPr>
      <w:r w:rsidRPr="00412188">
        <w:rPr>
          <w:rStyle w:val="FootnoteReference"/>
          <w:color w:val="000000" w:themeColor="text1"/>
        </w:rPr>
        <w:footnoteRef/>
      </w:r>
      <w:r>
        <w:rPr>
          <w:color w:val="000000" w:themeColor="text1"/>
        </w:rPr>
        <w:t xml:space="preserve"> </w:t>
      </w:r>
      <w:r>
        <w:rPr>
          <w:sz w:val="18"/>
          <w:szCs w:val="18"/>
        </w:rPr>
        <w:t xml:space="preserve">Declared i</w:t>
      </w:r>
      <w:r>
        <w:rPr>
          <w:sz w:val="18"/>
          <w:szCs w:val="18"/>
        </w:rPr>
        <w:t xml:space="preserve">ntentions </w:t>
      </w:r>
      <w:r>
        <w:rPr>
          <w:sz w:val="18"/>
          <w:szCs w:val="18"/>
        </w:rPr>
        <w:t xml:space="preserve">to leave </w:t>
      </w:r>
      <w:r>
        <w:rPr>
          <w:sz w:val="18"/>
          <w:szCs w:val="18"/>
        </w:rPr>
        <w:t xml:space="preserve">are an imperfect proxy for departure. One of the largest meta-</w:t>
      </w:r>
      <w:r>
        <w:rPr>
          <w:sz w:val="18"/>
          <w:szCs w:val="18"/>
        </w:rPr>
        <w:t xml:space="preserve">analyses</w:t>
      </w:r>
      <w:r>
        <w:rPr>
          <w:sz w:val="18"/>
          <w:szCs w:val="18"/>
        </w:rPr>
        <w:t xml:space="preserve"> of the field, which pools 3430 coefficients from 186 studies of teacher turnover, found that the antecedents of intended departure</w:t>
      </w:r>
      <w:r>
        <w:rPr>
          <w:sz w:val="18"/>
          <w:szCs w:val="18"/>
        </w:rPr>
        <w:t xml:space="preserve"> are not the ones that </w:t>
      </w:r>
      <w:r>
        <w:rPr>
          <w:sz w:val="18"/>
          <w:szCs w:val="18"/>
        </w:rPr>
        <w:t xml:space="preserve">weigh</w:t>
      </w:r>
      <w:r>
        <w:rPr>
          <w:sz w:val="18"/>
          <w:szCs w:val="18"/>
        </w:rPr>
        <w:t xml:space="preserve"> most to predict the actual leaving decision </w:t>
      </w:r>
      <w:r>
        <w:rPr>
          <w:color w:val="0563C1"/>
          <w:sz w:val="18"/>
          <w:szCs w:val="18"/>
        </w:rPr>
        <w:t xml:space="preserve">(</w:t>
      </w:r>
      <w:hyperlink w:anchor="Ref_Gundlach2024" w:history="1">
        <w:r>
          <w:rPr>
            <w:color w:val="0563C1"/>
            <w:sz w:val="18"/>
            <w:szCs w:val="18"/>
          </w:rPr>
          <w:t xml:space="preserve">Gundlach, Slemp and Hattie, 2024</w:t>
        </w:r>
      </w:hyperlink>
      <w:r>
        <w:rPr>
          <w:color w:val="0563C1"/>
          <w:sz w:val="18"/>
          <w:szCs w:val="18"/>
        </w:rPr>
        <w:t xml:space="preserve">).</w:t>
      </w:r>
    </w:p>
  </w:footnote>
  <w:footnote w:id="6">
    <w:p w14:paraId="0DBBE715" w14:textId="4930FB3B" w:rsidR="000D7270" w:rsidRDefault="000D7270" w:rsidP="000D7270">
      <w:pPr>
        <w:spacing w:after="60"/>
        <w:jc w:val="both"/>
      </w:pPr>
      <w:r>
        <w:rPr>
          <w:rStyle w:val="FootnoteReference"/>
        </w:rPr>
        <w:footnoteRef/>
      </w:r>
      <w:r>
        <w:rPr>
          <w:sz w:val="18"/>
          <w:szCs w:val="18"/>
        </w:rPr>
        <w:t xml:space="preserve"> In the 2018 round</w:t>
      </w:r>
      <w:r>
        <w:rPr>
          <w:sz w:val="18"/>
          <w:szCs w:val="18"/>
        </w:rPr>
        <w:t xml:space="preserve"> of TALIS</w:t>
      </w:r>
      <w:r>
        <w:rPr>
          <w:sz w:val="18"/>
          <w:szCs w:val="18"/>
        </w:rPr>
        <w:t xml:space="preserve">, 73% of surveyed English teachers consented to linkage with the School Workforce Census, the administrative register of state-school staff, yielding 2 684 linked records at an 84% match rate </w:t>
      </w:r>
      <w:r>
        <w:rPr>
          <w:color w:val="0563C1"/>
          <w:sz w:val="18"/>
          <w:szCs w:val="18"/>
        </w:rPr>
        <w:t xml:space="preserve">(</w:t>
      </w:r>
      <w:hyperlink w:anchor="Ref_SimsJerrim2020" w:history="1">
        <w:r>
          <w:rPr>
            <w:color w:val="0563C1"/>
            <w:sz w:val="18"/>
            <w:szCs w:val="18"/>
          </w:rPr>
          <w:t xml:space="preserve">Sims and Jerrim, 2020</w:t>
        </w:r>
      </w:hyperlink>
      <w:r>
        <w:rPr>
          <w:color w:val="0563C1"/>
          <w:sz w:val="18"/>
          <w:szCs w:val="18"/>
        </w:rPr>
        <w:t xml:space="preserve">)</w:t>
      </w:r>
      <w:r>
        <w:rPr>
          <w:sz w:val="18"/>
          <w:szCs w:val="18"/>
        </w:rPr>
        <w:t xml:space="preserve">.</w:t>
      </w:r>
    </w:p>
  </w:footnote>
  <w:footnote w:id="7">
    <w:p w14:paraId="78C0C468" w14:textId="22C1AAD7" w:rsidR="00A10B98" w:rsidRPr="00A10B98" w:rsidRDefault="00A10B98" w:rsidP="000D7270">
      <w:pPr>
        <w:pStyle w:val="FootnoteText"/>
        <w:jc w:val="both"/>
      </w:pPr>
      <w:r>
        <w:rPr>
          <w:rStyle w:val="FootnoteReference"/>
        </w:rPr>
        <w:footnoteRef/>
      </w:r>
      <w:r>
        <w:rPr>
          <w:sz w:val="18"/>
          <w:szCs w:val="18"/>
        </w:rPr>
        <w:t xml:space="preserve">The discipline climate </w:t>
      </w:r>
      <w:r>
        <w:rPr>
          <w:sz w:val="18"/>
          <w:szCs w:val="18"/>
        </w:rPr>
        <w:t xml:space="preserve">was</w:t>
      </w:r>
      <w:r>
        <w:rPr>
          <w:sz w:val="18"/>
          <w:szCs w:val="18"/>
        </w:rPr>
        <w:t xml:space="preserve"> </w:t>
      </w:r>
      <w:r>
        <w:rPr>
          <w:sz w:val="18"/>
          <w:szCs w:val="18"/>
        </w:rPr>
        <w:t xml:space="preserve">measured as an</w:t>
      </w:r>
      <w:r>
        <w:rPr>
          <w:sz w:val="18"/>
          <w:szCs w:val="18"/>
        </w:rPr>
        <w:t xml:space="preserve"> </w:t>
      </w:r>
      <w:r>
        <w:rPr>
          <w:sz w:val="18"/>
          <w:szCs w:val="18"/>
        </w:rPr>
        <w:t xml:space="preserve">standardized</w:t>
      </w:r>
      <w:r>
        <w:rPr>
          <w:sz w:val="18"/>
          <w:szCs w:val="18"/>
        </w:rPr>
        <w:t xml:space="preserve"> index built from teachers' reports on how far they can control disruptive </w:t>
      </w:r>
      <w:r>
        <w:rPr>
          <w:sz w:val="18"/>
          <w:szCs w:val="18"/>
        </w:rPr>
        <w:t xml:space="preserve">behavior</w:t>
      </w:r>
      <w:r>
        <w:rPr>
          <w:sz w:val="18"/>
          <w:szCs w:val="18"/>
        </w:rPr>
        <w:t xml:space="preserve">, how consistently their school enforces rules and how much stress pupil </w:t>
      </w:r>
      <w:r>
        <w:rPr>
          <w:sz w:val="18"/>
          <w:szCs w:val="18"/>
        </w:rPr>
        <w:t xml:space="preserve">behavior</w:t>
      </w:r>
      <w:r>
        <w:rPr>
          <w:sz w:val="18"/>
          <w:szCs w:val="18"/>
        </w:rPr>
        <w:t xml:space="preserve"> causes them</w:t>
      </w:r>
      <w:r>
        <w:rPr>
          <w:sz w:val="18"/>
          <w:szCs w:val="18"/>
        </w:rPr>
        <w:t xml:space="preserve">. </w:t>
      </w:r>
      <w:r>
        <w:rPr>
          <w:sz w:val="18"/>
          <w:szCs w:val="18"/>
        </w:rPr>
        <w:t xml:space="preserve">The </w:t>
      </w:r>
      <w:r>
        <w:rPr>
          <w:sz w:val="18"/>
          <w:szCs w:val="18"/>
        </w:rPr>
        <w:t xml:space="preserve">magnitude </w:t>
      </w:r>
      <w:r>
        <w:rPr>
          <w:sz w:val="18"/>
          <w:szCs w:val="18"/>
        </w:rPr>
        <w:t xml:space="preserve">is large for this literature, where one standard deviation in a school leadership index lowers annual departures from the school by around 10% in North Carolina primary schools </w:t>
      </w:r>
      <w:r>
        <w:rPr>
          <w:color w:val="0563C1"/>
          <w:sz w:val="18"/>
          <w:szCs w:val="18"/>
        </w:rPr>
        <w:t xml:space="preserve">(</w:t>
      </w:r>
      <w:hyperlink w:anchor="Ref_Ladd2011" w:history="1">
        <w:r>
          <w:rPr>
            <w:color w:val="0563C1"/>
            <w:sz w:val="18"/>
            <w:szCs w:val="18"/>
          </w:rPr>
          <w:t xml:space="preserve">Ladd, 2011</w:t>
        </w:r>
      </w:hyperlink>
      <w:r>
        <w:rPr>
          <w:color w:val="0563C1"/>
          <w:sz w:val="18"/>
          <w:szCs w:val="18"/>
        </w:rPr>
        <w:t xml:space="preserve">)</w:t>
      </w:r>
      <w:r>
        <w:rPr>
          <w:sz w:val="18"/>
          <w:szCs w:val="18"/>
        </w:rPr>
        <w:t xml:space="preserve">, and one in each of four indices covering leadership, academic expectations, teacher relationships and safety lowers them by 25% in New York middle schools </w:t>
      </w:r>
      <w:r>
        <w:rPr>
          <w:color w:val="0563C1"/>
          <w:sz w:val="18"/>
          <w:szCs w:val="18"/>
        </w:rPr>
        <w:t xml:space="preserve">(</w:t>
      </w:r>
      <w:hyperlink w:anchor="Ref_Kraft2016" w:history="1">
        <w:r>
          <w:rPr>
            <w:color w:val="0563C1"/>
            <w:sz w:val="18"/>
            <w:szCs w:val="18"/>
          </w:rPr>
          <w:t xml:space="preserve">Kraft, Marinell and Shen-Wei Yee, 2016</w:t>
        </w:r>
      </w:hyperlink>
      <w:r>
        <w:rPr>
          <w:color w:val="0563C1"/>
          <w:sz w:val="18"/>
          <w:szCs w:val="18"/>
        </w:rPr>
        <w:t xml:space="preserve">)</w:t>
      </w:r>
      <w:r>
        <w:rPr>
          <w:sz w:val="18"/>
          <w:szCs w:val="18"/>
        </w:rPr>
        <w:t xml:space="preserve">.</w:t>
      </w:r>
    </w:p>
  </w:footnote>
  <w:footnote w:id="8">
    <w:p w14:paraId="2BB3C306" w14:textId="10797E54" w:rsidR="00FC1564" w:rsidRPr="00FC1564" w:rsidRDefault="00FC1564" w:rsidP="00FC1564">
      <w:pPr>
        <w:pStyle w:val="FootnoteText"/>
        <w:jc w:val="both"/>
      </w:pPr>
      <w:r>
        <w:rPr>
          <w:rStyle w:val="FootnoteReference"/>
        </w:rPr>
        <w:footnoteRef/>
      </w:r>
      <w:r>
        <w:t xml:space="preserve"> </w:t>
      </w:r>
      <w:r>
        <w:rPr>
          <w:sz w:val="18"/>
          <w:szCs w:val="18"/>
        </w:rPr>
        <w:t xml:space="preserve">The obligation consists either of completing training, which ranges from 8 hours a year in Luxembourg to 35 in Scotland and from three to five days in Belgium, Finland, Cyprus, Lithuania and Slovenia </w:t>
      </w:r>
      <w:r>
        <w:rPr>
          <w:color w:val="0563C1"/>
          <w:sz w:val="18"/>
          <w:szCs w:val="18"/>
        </w:rPr>
        <w:t xml:space="preserve">(</w:t>
      </w:r>
      <w:hyperlink w:anchor="Ref_Eurydice2021" w:history="1">
        <w:r>
          <w:rPr>
            <w:color w:val="0563C1"/>
            <w:sz w:val="18"/>
            <w:szCs w:val="18"/>
          </w:rPr>
          <w:t xml:space="preserve">European Commission/EACEA/Eurydice, 2021</w:t>
        </w:r>
      </w:hyperlink>
      <w:r>
        <w:rPr>
          <w:color w:val="0563C1"/>
          <w:sz w:val="18"/>
          <w:szCs w:val="18"/>
        </w:rPr>
        <w:t xml:space="preserve">)</w:t>
      </w:r>
      <w:r>
        <w:rPr>
          <w:sz w:val="18"/>
          <w:szCs w:val="18"/>
        </w:rPr>
        <w:t xml:space="preserve">, or of a minimum amount of teaching, </w:t>
      </w:r>
      <w:r>
        <w:rPr>
          <w:sz w:val="18"/>
          <w:szCs w:val="18"/>
        </w:rPr>
        <w:t xml:space="preserve">such as </w:t>
      </w:r>
      <w:r>
        <w:rPr>
          <w:sz w:val="18"/>
          <w:szCs w:val="18"/>
        </w:rPr>
        <w:t xml:space="preserve">20 days a year in </w:t>
      </w:r>
      <w:r>
        <w:rPr>
          <w:sz w:val="18"/>
          <w:szCs w:val="18"/>
        </w:rPr>
        <w:t xml:space="preserve">Australia</w:t>
      </w:r>
      <w:r>
        <w:rPr>
          <w:sz w:val="18"/>
          <w:szCs w:val="18"/>
        </w:rPr>
        <w:t xml:space="preserve"> or two years of classroom practice in New Zealand </w:t>
      </w:r>
      <w:r>
        <w:rPr>
          <w:color w:val="0563C1"/>
          <w:sz w:val="18"/>
          <w:szCs w:val="18"/>
        </w:rPr>
        <w:t xml:space="preserve">(</w:t>
      </w:r>
      <w:hyperlink w:anchor="Ref_VIT2025" w:history="1">
        <w:r>
          <w:rPr>
            <w:color w:val="0563C1"/>
            <w:sz w:val="18"/>
            <w:szCs w:val="18"/>
          </w:rPr>
          <w:t xml:space="preserve">Victorian Institute of Teaching, 2025</w:t>
        </w:r>
      </w:hyperlink>
      <w:r>
        <w:rPr>
          <w:color w:val="0563C1"/>
          <w:sz w:val="18"/>
          <w:szCs w:val="18"/>
        </w:rPr>
        <w:t xml:space="preserve">; </w:t>
      </w:r>
      <w:hyperlink w:anchor="Ref_TCANZ2016" w:history="1">
        <w:r>
          <w:rPr>
            <w:color w:val="0563C1"/>
            <w:sz w:val="18"/>
            <w:szCs w:val="18"/>
          </w:rPr>
          <w:t xml:space="preserve">Teaching Council of Aotearoa New Zealand, 2016</w:t>
        </w:r>
      </w:hyperlink>
      <w:r>
        <w:rPr>
          <w:color w:val="0563C1"/>
          <w:sz w:val="18"/>
          <w:szCs w:val="18"/>
        </w:rPr>
        <w:t xml:space="preserve">).</w:t>
      </w:r>
    </w:p>
  </w:footnote>
  <w:footnote w:id="9">
    <w:p w14:paraId="07DB213C" w14:textId="661B37FD" w:rsidR="00B75580" w:rsidRPr="00B75580" w:rsidRDefault="00B75580" w:rsidP="00480AF8">
      <w:pPr>
        <w:pStyle w:val="FootnoteText"/>
        <w:spacing w:after="40"/>
      </w:pPr>
      <w:r>
        <w:rPr>
          <w:rStyle w:val="FootnoteReference"/>
        </w:rPr>
        <w:footnoteRef/>
      </w:r>
      <w:r>
        <w:t xml:space="preserve"> </w:t>
      </w:r>
      <w:r>
        <w:rPr>
          <w:sz w:val="18"/>
          <w:szCs w:val="18"/>
        </w:rPr>
        <w:t xml:space="preserve">The causal evidence rests on a small number of studies exploiting policy discontinuities, with three main conclusions. Financial incentives are effective when the payment is large and teachers are aware of their eligibility </w:t>
      </w:r>
      <w:r>
        <w:rPr>
          <w:color w:val="0563C1"/>
          <w:sz w:val="18"/>
          <w:szCs w:val="18"/>
        </w:rPr>
        <w:t xml:space="preserve">(</w:t>
      </w:r>
      <w:hyperlink w:anchor="Ref_Falch2011" w:history="1">
        <w:r>
          <w:rPr>
            <w:color w:val="0563C1"/>
            <w:sz w:val="18"/>
            <w:szCs w:val="18"/>
          </w:rPr>
          <w:t xml:space="preserve">Falch, 2011</w:t>
        </w:r>
      </w:hyperlink>
      <w:r>
        <w:rPr>
          <w:color w:val="0563C1"/>
          <w:sz w:val="18"/>
          <w:szCs w:val="18"/>
        </w:rPr>
        <w:t xml:space="preserve">; </w:t>
      </w:r>
      <w:hyperlink w:anchor="Ref_Clotfelter2008" w:history="1">
        <w:r>
          <w:rPr>
            <w:color w:val="0563C1"/>
            <w:sz w:val="18"/>
            <w:szCs w:val="18"/>
          </w:rPr>
          <w:t xml:space="preserve">Clotfelter et al., 2008</w:t>
        </w:r>
      </w:hyperlink>
      <w:r>
        <w:rPr>
          <w:color w:val="0563C1"/>
          <w:sz w:val="18"/>
          <w:szCs w:val="18"/>
        </w:rPr>
        <w:t xml:space="preserve">)</w:t>
      </w:r>
      <w:r>
        <w:rPr>
          <w:sz w:val="18"/>
          <w:szCs w:val="18"/>
        </w:rPr>
        <w:t xml:space="preserve">. Their effect is confined to the teachers they target and is negligible for the rest </w:t>
      </w:r>
      <w:r>
        <w:rPr>
          <w:color w:val="0563C1"/>
          <w:sz w:val="18"/>
          <w:szCs w:val="18"/>
        </w:rPr>
        <w:t xml:space="preserve">(</w:t>
      </w:r>
      <w:hyperlink w:anchor="Ref_Springer2016" w:history="1">
        <w:r>
          <w:rPr>
            <w:color w:val="0563C1"/>
            <w:sz w:val="18"/>
            <w:szCs w:val="18"/>
          </w:rPr>
          <w:t xml:space="preserve">Springer, Swain and Rodriguez, 2016</w:t>
        </w:r>
      </w:hyperlink>
      <w:r>
        <w:rPr>
          <w:color w:val="0563C1"/>
          <w:sz w:val="18"/>
          <w:szCs w:val="18"/>
        </w:rPr>
        <w:t xml:space="preserve">)</w:t>
      </w:r>
      <w:r>
        <w:rPr>
          <w:sz w:val="18"/>
          <w:szCs w:val="18"/>
        </w:rPr>
        <w:t xml:space="preserve">. One-off bonuses produce larger short-run effects than permanent increases, which indicates that the retention gain does not persist beyond the payment period </w:t>
      </w:r>
      <w:r>
        <w:rPr>
          <w:color w:val="0563C1"/>
          <w:sz w:val="18"/>
          <w:szCs w:val="18"/>
        </w:rPr>
        <w:t xml:space="preserve">(</w:t>
      </w:r>
      <w:hyperlink w:anchor="Ref_Feng2018" w:history="1">
        <w:r>
          <w:rPr>
            <w:color w:val="0563C1"/>
            <w:sz w:val="18"/>
            <w:szCs w:val="18"/>
          </w:rPr>
          <w:t xml:space="preserve">Feng and Sass, 2018</w:t>
        </w:r>
      </w:hyperlink>
      <w:r>
        <w:rPr>
          <w:color w:val="0563C1"/>
          <w:sz w:val="18"/>
          <w:szCs w:val="18"/>
        </w:rPr>
        <w:t xml:space="preserve">)</w:t>
      </w:r>
      <w:r>
        <w:rPr>
          <w:sz w:val="18"/>
          <w:szCs w:val="18"/>
        </w:rPr>
        <w:t xml:space="preserve">.</w:t>
      </w:r>
    </w:p>
  </w:footnote>
  <w:footnote w:id="10">
    <w:p w14:paraId="20C5B835" w14:textId="23FA98A1" w:rsidR="00817375" w:rsidRPr="00817375" w:rsidRDefault="00817375" w:rsidP="009D01EF">
      <w:pPr>
        <w:pStyle w:val="FootnoteText"/>
        <w:spacing w:after="40"/>
        <w:jc w:val="both"/>
      </w:pPr>
      <w:r>
        <w:rPr>
          <w:rStyle w:val="FootnoteReference"/>
        </w:rPr>
        <w:footnoteRef/>
      </w:r>
      <w:r>
        <w:t xml:space="preserve"> </w:t>
      </w:r>
      <w:r>
        <w:rPr>
          <w:sz w:val="18"/>
          <w:szCs w:val="18"/>
        </w:rPr>
        <w:t xml:space="preserve">The retirement age generally falls between 62 and 67, averaging 64.7 for men and 63.9 for women across the OECD. It stands at 62 in Greece and Slovenia, at 67 in Australia, Denmark, Iceland, Israel, the Netherlands and Norway, and in between everywhere else </w:t>
      </w:r>
      <w:r>
        <w:rPr>
          <w:color w:val="0563C1"/>
          <w:sz w:val="18"/>
          <w:szCs w:val="18"/>
        </w:rPr>
        <w:t xml:space="preserve">(</w:t>
      </w:r>
      <w:r>
        <w:rPr>
          <w:color w:val="FF0000"/>
          <w:sz w:val="18"/>
          <w:szCs w:val="18"/>
        </w:rPr>
        <w:t xml:space="preserve">OECD, 2025f</w:t>
      </w:r>
      <w:r>
        <w:rPr>
          <w:color w:val="0563C1"/>
          <w:sz w:val="18"/>
          <w:szCs w:val="18"/>
        </w:rPr>
        <w:t xml:space="preserve">).</w:t>
      </w:r>
      <w:r>
        <w:rPr>
          <w:sz w:val="18"/>
          <w:szCs w:val="18"/>
        </w:rPr>
        <w:t xml:space="preserve"> The systems with the lowest ages for teachers are France and Spain, where retirement is possible from 59 for the former primary corps and from 60 for civil-servant teachers with thirty years of service </w:t>
      </w:r>
      <w:r>
        <w:rPr>
          <w:color w:val="0563C1"/>
          <w:sz w:val="18"/>
          <w:szCs w:val="18"/>
        </w:rPr>
        <w:t xml:space="preserve">(</w:t>
      </w:r>
      <w:hyperlink w:anchor="Ref_Ministere2023" w:history="1">
        <w:r>
          <w:rPr>
            <w:color w:val="0563C1"/>
            <w:sz w:val="18"/>
            <w:szCs w:val="18"/>
          </w:rPr>
          <w:t xml:space="preserve">Ministère de l'Éducation nationale, 2023</w:t>
        </w:r>
      </w:hyperlink>
      <w:r>
        <w:rPr>
          <w:color w:val="0563C1"/>
          <w:sz w:val="18"/>
          <w:szCs w:val="18"/>
        </w:rPr>
        <w:t xml:space="preserve">; </w:t>
      </w:r>
      <w:hyperlink w:anchor="Ref_GovSpain2015" w:history="1">
        <w:r>
          <w:rPr>
            <w:color w:val="0563C1"/>
            <w:sz w:val="18"/>
            <w:szCs w:val="18"/>
          </w:rPr>
          <w:t xml:space="preserve">Government of Spain, 2015</w:t>
        </w:r>
      </w:hyperlink>
      <w:r>
        <w:rPr>
          <w:color w:val="0563C1"/>
          <w:sz w:val="18"/>
          <w:szCs w:val="18"/>
        </w:rPr>
        <w:t xml:space="preserve">).</w:t>
      </w:r>
    </w:p>
  </w:footnote>
  <w:footnote w:id="11">
    <w:p w14:paraId="211991F5" w14:textId="0F350D6A" w:rsidR="00D75A88" w:rsidRPr="00F71798" w:rsidRDefault="00D75A88" w:rsidP="00F71798">
      <w:pPr>
        <w:pStyle w:val="FootnoteText"/>
        <w:spacing w:after="40"/>
        <w:rPr>
          <w:sz w:val="18"/>
          <w:szCs w:val="18"/>
        </w:rPr>
      </w:pPr>
      <w:r>
        <w:rPr>
          <w:rStyle w:val="FootnoteReference"/>
        </w:rPr>
        <w:footnoteRef/>
      </w:r>
      <w:r>
        <w:t xml:space="preserve"> </w:t>
      </w:r>
      <w:r>
        <w:rPr>
          <w:sz w:val="18"/>
          <w:szCs w:val="18"/>
        </w:rPr>
        <w:t xml:space="preserve">Women make up around seven in ten lower secondary teachers across the OECD</w:t>
      </w:r>
      <w:r>
        <w:rPr>
          <w:sz w:val="18"/>
          <w:szCs w:val="18"/>
        </w:rPr>
        <w:t xml:space="preserve"> in ANO</w:t>
      </w:r>
      <w:r>
        <w:rPr>
          <w:sz w:val="18"/>
          <w:szCs w:val="18"/>
        </w:rPr>
        <w:t xml:space="preserve">. The proportion is highest in Latvia, Lithuania and Estonia, at 84% to 86%, and among OECD members it falls below half only in Japan, at 41% </w:t>
      </w:r>
      <w:r>
        <w:rPr>
          <w:color w:val="0563C1"/>
          <w:sz w:val="18"/>
          <w:szCs w:val="18"/>
        </w:rPr>
        <w:t xml:space="preserve">(</w:t>
      </w:r>
      <w:hyperlink w:anchor="Ref_OECD2025c" w:history="1">
        <w:r>
          <w:rPr>
            <w:color w:val="0563C1"/>
            <w:sz w:val="18"/>
            <w:szCs w:val="18"/>
          </w:rPr>
          <w:t xml:space="preserve">OECD, 2025c</w:t>
        </w:r>
      </w:hyperlink>
      <w:r>
        <w:rPr>
          <w:sz w:val="18"/>
          <w:szCs w:val="18"/>
        </w:rPr>
        <w:t xml:space="preserve">)</w:t>
      </w:r>
    </w:p>
  </w:footnote>
  <w:footnote w:id="12">
    <w:p w14:paraId="4E1867B4" w14:textId="77777777" w:rsidR="00D80668" w:rsidRPr="00F31987" w:rsidRDefault="00D80668" w:rsidP="00D80668">
      <w:pPr>
        <w:pStyle w:val="FootnoteText"/>
        <w:spacing w:after="40"/>
      </w:pPr>
      <w:r>
        <w:rPr>
          <w:rStyle w:val="FootnoteReference"/>
        </w:rPr>
        <w:footnoteRef/>
      </w:r>
      <w:r>
        <w:t xml:space="preserve"> </w:t>
      </w:r>
      <w:r>
        <w:rPr>
          <w:sz w:val="18"/>
          <w:szCs w:val="18"/>
        </w:rPr>
        <w:t xml:space="preserve">Both studies synthesize the broader literature on teacher turnover, which counts every departure from the school and therefore combines teachers who leave the profession with teachers who move between schools. </w:t>
      </w:r>
      <w:hyperlink w:anchor="Ref_Nguyen2020" w:history="1">
        <w:r>
          <w:rPr>
            <w:color w:val="0563C1"/>
            <w:sz w:val="18"/>
            <w:szCs w:val="18"/>
          </w:rPr>
          <w:t xml:space="preserve">Nguyen et al. (2020)</w:t>
        </w:r>
      </w:hyperlink>
      <w:r>
        <w:rPr>
          <w:color w:val="0563C1"/>
          <w:sz w:val="18"/>
          <w:szCs w:val="18"/>
        </w:rPr>
        <w:t xml:space="preserve"> </w:t>
      </w:r>
      <w:r>
        <w:rPr>
          <w:sz w:val="18"/>
          <w:szCs w:val="18"/>
        </w:rPr>
        <w:t xml:space="preserve">pool 120 studies of observed turnover in the United States, while </w:t>
      </w:r>
      <w:hyperlink w:anchor="Ref_Gundlach2024" w:history="1">
        <w:r>
          <w:rPr>
            <w:color w:val="0563C1"/>
            <w:sz w:val="18"/>
            <w:szCs w:val="18"/>
          </w:rPr>
          <w:t xml:space="preserve">Gundlach, Slemp and Hattie (2024)</w:t>
        </w:r>
      </w:hyperlink>
      <w:r>
        <w:rPr>
          <w:color w:val="0563C1"/>
          <w:sz w:val="18"/>
          <w:szCs w:val="18"/>
        </w:rPr>
        <w:t xml:space="preserve"> </w:t>
      </w:r>
      <w:r>
        <w:rPr>
          <w:sz w:val="18"/>
          <w:szCs w:val="18"/>
        </w:rPr>
        <w:t xml:space="preserve">pool 3 430 coefficients on close to 70 antecedents and estimate attrition, migration and retention separately, for intentions as well as for observed behaviour.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2"/>
  </w:num>
  <w:num w:numId="3" w16cid:durableId="969170164">
    <w:abstractNumId w:val="4"/>
  </w:num>
  <w:num w:numId="4" w16cid:durableId="79563750">
    <w:abstractNumId w:val="3"/>
  </w:num>
  <w:num w:numId="5" w16cid:durableId="162708215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2F4E"/>
    <w:rsid w:val="00080071"/>
    <w:rsid w:val="000825FA"/>
    <w:rsid w:val="000839D1"/>
    <w:rsid w:val="00084763"/>
    <w:rsid w:val="00091964"/>
    <w:rsid w:val="0009341A"/>
    <w:rsid w:val="00095B86"/>
    <w:rsid w:val="00097155"/>
    <w:rsid w:val="000A06D1"/>
    <w:rsid w:val="000B791D"/>
    <w:rsid w:val="000C0A82"/>
    <w:rsid w:val="000C61AF"/>
    <w:rsid w:val="000C79CF"/>
    <w:rsid w:val="000D34C8"/>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83"/>
    <w:rsid w:val="001B6682"/>
    <w:rsid w:val="001C556B"/>
    <w:rsid w:val="001D60A1"/>
    <w:rsid w:val="001D6BCA"/>
    <w:rsid w:val="001E1B1A"/>
    <w:rsid w:val="001E2539"/>
    <w:rsid w:val="001F3AB6"/>
    <w:rsid w:val="001F3B7A"/>
    <w:rsid w:val="001F6A7E"/>
    <w:rsid w:val="001F7637"/>
    <w:rsid w:val="001F7D6B"/>
    <w:rsid w:val="002007AE"/>
    <w:rsid w:val="00202593"/>
    <w:rsid w:val="00203C81"/>
    <w:rsid w:val="00206AC3"/>
    <w:rsid w:val="00211433"/>
    <w:rsid w:val="002156EE"/>
    <w:rsid w:val="002174E7"/>
    <w:rsid w:val="0022493E"/>
    <w:rsid w:val="00224F86"/>
    <w:rsid w:val="00226C8B"/>
    <w:rsid w:val="00231912"/>
    <w:rsid w:val="00234230"/>
    <w:rsid w:val="00237103"/>
    <w:rsid w:val="00243CC3"/>
    <w:rsid w:val="00243FA8"/>
    <w:rsid w:val="00243FDC"/>
    <w:rsid w:val="00245270"/>
    <w:rsid w:val="00253C6A"/>
    <w:rsid w:val="002614CD"/>
    <w:rsid w:val="00273734"/>
    <w:rsid w:val="0029004B"/>
    <w:rsid w:val="00296F3A"/>
    <w:rsid w:val="002977D8"/>
    <w:rsid w:val="002A4C7B"/>
    <w:rsid w:val="002B0FDD"/>
    <w:rsid w:val="002B5E3C"/>
    <w:rsid w:val="002C3A62"/>
    <w:rsid w:val="002C3E55"/>
    <w:rsid w:val="002C5100"/>
    <w:rsid w:val="002C6282"/>
    <w:rsid w:val="002C78C1"/>
    <w:rsid w:val="002D2C43"/>
    <w:rsid w:val="002D3700"/>
    <w:rsid w:val="002D3DB5"/>
    <w:rsid w:val="0030189D"/>
    <w:rsid w:val="00304306"/>
    <w:rsid w:val="003204C8"/>
    <w:rsid w:val="00334214"/>
    <w:rsid w:val="00340EDF"/>
    <w:rsid w:val="00342566"/>
    <w:rsid w:val="00342582"/>
    <w:rsid w:val="003455F5"/>
    <w:rsid w:val="003528B7"/>
    <w:rsid w:val="00354CE7"/>
    <w:rsid w:val="00354FD1"/>
    <w:rsid w:val="003608F9"/>
    <w:rsid w:val="00362E72"/>
    <w:rsid w:val="00363CD0"/>
    <w:rsid w:val="00365378"/>
    <w:rsid w:val="003673B7"/>
    <w:rsid w:val="00373628"/>
    <w:rsid w:val="0037463F"/>
    <w:rsid w:val="00380246"/>
    <w:rsid w:val="00387842"/>
    <w:rsid w:val="003905F2"/>
    <w:rsid w:val="003A2ED9"/>
    <w:rsid w:val="003A3EA3"/>
    <w:rsid w:val="003A41E4"/>
    <w:rsid w:val="003B3B0C"/>
    <w:rsid w:val="003B41FD"/>
    <w:rsid w:val="003B55ED"/>
    <w:rsid w:val="003C2D1A"/>
    <w:rsid w:val="003C3469"/>
    <w:rsid w:val="003C619C"/>
    <w:rsid w:val="003D32AA"/>
    <w:rsid w:val="003D4C99"/>
    <w:rsid w:val="003D4EB7"/>
    <w:rsid w:val="003D74F2"/>
    <w:rsid w:val="003E4536"/>
    <w:rsid w:val="003F0D02"/>
    <w:rsid w:val="004000A1"/>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4CB6"/>
    <w:rsid w:val="004F4F07"/>
    <w:rsid w:val="00502E0E"/>
    <w:rsid w:val="00506E9B"/>
    <w:rsid w:val="00520C8B"/>
    <w:rsid w:val="0052472D"/>
    <w:rsid w:val="00533647"/>
    <w:rsid w:val="005370F6"/>
    <w:rsid w:val="00537141"/>
    <w:rsid w:val="00554DEE"/>
    <w:rsid w:val="005628C0"/>
    <w:rsid w:val="0056656C"/>
    <w:rsid w:val="00566AFD"/>
    <w:rsid w:val="00573D68"/>
    <w:rsid w:val="00576D64"/>
    <w:rsid w:val="00582E20"/>
    <w:rsid w:val="005918D9"/>
    <w:rsid w:val="0059314A"/>
    <w:rsid w:val="005942F1"/>
    <w:rsid w:val="005976A2"/>
    <w:rsid w:val="005A0F0E"/>
    <w:rsid w:val="005A330A"/>
    <w:rsid w:val="005A3DFD"/>
    <w:rsid w:val="005B02F9"/>
    <w:rsid w:val="005B3DCB"/>
    <w:rsid w:val="005C4F9B"/>
    <w:rsid w:val="005C6ABF"/>
    <w:rsid w:val="005D04F1"/>
    <w:rsid w:val="005D140C"/>
    <w:rsid w:val="005D52B5"/>
    <w:rsid w:val="005D52C7"/>
    <w:rsid w:val="005D5A9F"/>
    <w:rsid w:val="005D7737"/>
    <w:rsid w:val="005E3834"/>
    <w:rsid w:val="005E52AB"/>
    <w:rsid w:val="005E578F"/>
    <w:rsid w:val="005F245E"/>
    <w:rsid w:val="005F2F20"/>
    <w:rsid w:val="005F4653"/>
    <w:rsid w:val="005F520B"/>
    <w:rsid w:val="00605373"/>
    <w:rsid w:val="00611770"/>
    <w:rsid w:val="006123A0"/>
    <w:rsid w:val="0061240E"/>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C088D"/>
    <w:rsid w:val="006C08BF"/>
    <w:rsid w:val="006C2E48"/>
    <w:rsid w:val="006C4815"/>
    <w:rsid w:val="006C717F"/>
    <w:rsid w:val="006D35EF"/>
    <w:rsid w:val="006D4F6E"/>
    <w:rsid w:val="006D5065"/>
    <w:rsid w:val="006D56B9"/>
    <w:rsid w:val="006E21ED"/>
    <w:rsid w:val="006E3EC6"/>
    <w:rsid w:val="006E55A7"/>
    <w:rsid w:val="00702959"/>
    <w:rsid w:val="00702B1B"/>
    <w:rsid w:val="00710FE9"/>
    <w:rsid w:val="00711708"/>
    <w:rsid w:val="007121FC"/>
    <w:rsid w:val="007140A7"/>
    <w:rsid w:val="007155A3"/>
    <w:rsid w:val="0071625C"/>
    <w:rsid w:val="00722112"/>
    <w:rsid w:val="00723D45"/>
    <w:rsid w:val="007265F4"/>
    <w:rsid w:val="00727D1C"/>
    <w:rsid w:val="00730AE6"/>
    <w:rsid w:val="00731A34"/>
    <w:rsid w:val="00736366"/>
    <w:rsid w:val="007423A6"/>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685D"/>
    <w:rsid w:val="007A38BF"/>
    <w:rsid w:val="007A5292"/>
    <w:rsid w:val="007B1065"/>
    <w:rsid w:val="007B5956"/>
    <w:rsid w:val="007B67A0"/>
    <w:rsid w:val="007B7135"/>
    <w:rsid w:val="007C28C2"/>
    <w:rsid w:val="007C7386"/>
    <w:rsid w:val="007D15AD"/>
    <w:rsid w:val="007D2976"/>
    <w:rsid w:val="007E7B7F"/>
    <w:rsid w:val="007F421F"/>
    <w:rsid w:val="007F6D30"/>
    <w:rsid w:val="0080128E"/>
    <w:rsid w:val="008062D9"/>
    <w:rsid w:val="00807453"/>
    <w:rsid w:val="0081260D"/>
    <w:rsid w:val="00815B2F"/>
    <w:rsid w:val="00817375"/>
    <w:rsid w:val="00822240"/>
    <w:rsid w:val="00832DDB"/>
    <w:rsid w:val="00837709"/>
    <w:rsid w:val="00841893"/>
    <w:rsid w:val="00842847"/>
    <w:rsid w:val="00843159"/>
    <w:rsid w:val="008536A5"/>
    <w:rsid w:val="0085440B"/>
    <w:rsid w:val="00854A87"/>
    <w:rsid w:val="00854CD7"/>
    <w:rsid w:val="008650B8"/>
    <w:rsid w:val="0086527B"/>
    <w:rsid w:val="00865AF8"/>
    <w:rsid w:val="00874EF2"/>
    <w:rsid w:val="008835E0"/>
    <w:rsid w:val="00885D58"/>
    <w:rsid w:val="00893EA4"/>
    <w:rsid w:val="008A00DF"/>
    <w:rsid w:val="008A2346"/>
    <w:rsid w:val="008B146E"/>
    <w:rsid w:val="008B3B15"/>
    <w:rsid w:val="008B547A"/>
    <w:rsid w:val="008B6D08"/>
    <w:rsid w:val="008C4BA2"/>
    <w:rsid w:val="008D1818"/>
    <w:rsid w:val="008D2821"/>
    <w:rsid w:val="008E1677"/>
    <w:rsid w:val="008E6603"/>
    <w:rsid w:val="008F4C0E"/>
    <w:rsid w:val="00902271"/>
    <w:rsid w:val="00906A65"/>
    <w:rsid w:val="00906F1B"/>
    <w:rsid w:val="00921086"/>
    <w:rsid w:val="00924DBE"/>
    <w:rsid w:val="0092640C"/>
    <w:rsid w:val="00932063"/>
    <w:rsid w:val="009337BA"/>
    <w:rsid w:val="00936961"/>
    <w:rsid w:val="0094096C"/>
    <w:rsid w:val="00943589"/>
    <w:rsid w:val="0094360E"/>
    <w:rsid w:val="00944A2B"/>
    <w:rsid w:val="00946AD2"/>
    <w:rsid w:val="0096522D"/>
    <w:rsid w:val="00965EE1"/>
    <w:rsid w:val="00972F8E"/>
    <w:rsid w:val="00975B11"/>
    <w:rsid w:val="00975F46"/>
    <w:rsid w:val="00977870"/>
    <w:rsid w:val="00986392"/>
    <w:rsid w:val="00987410"/>
    <w:rsid w:val="00992A4E"/>
    <w:rsid w:val="0099711E"/>
    <w:rsid w:val="009B35C9"/>
    <w:rsid w:val="009B36BC"/>
    <w:rsid w:val="009D01EF"/>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C5B"/>
    <w:rsid w:val="00A42790"/>
    <w:rsid w:val="00A43F9A"/>
    <w:rsid w:val="00A43FAC"/>
    <w:rsid w:val="00A5374A"/>
    <w:rsid w:val="00A542E7"/>
    <w:rsid w:val="00A55970"/>
    <w:rsid w:val="00A55E29"/>
    <w:rsid w:val="00A6191E"/>
    <w:rsid w:val="00A64D3B"/>
    <w:rsid w:val="00A72AAF"/>
    <w:rsid w:val="00A74720"/>
    <w:rsid w:val="00A930DA"/>
    <w:rsid w:val="00A9517F"/>
    <w:rsid w:val="00A95534"/>
    <w:rsid w:val="00A95685"/>
    <w:rsid w:val="00AA054B"/>
    <w:rsid w:val="00AA72BC"/>
    <w:rsid w:val="00AB1698"/>
    <w:rsid w:val="00AB1856"/>
    <w:rsid w:val="00AB3BDC"/>
    <w:rsid w:val="00AB5608"/>
    <w:rsid w:val="00AC0313"/>
    <w:rsid w:val="00AC1221"/>
    <w:rsid w:val="00AC309E"/>
    <w:rsid w:val="00AD1F30"/>
    <w:rsid w:val="00AD5E15"/>
    <w:rsid w:val="00AE1444"/>
    <w:rsid w:val="00AE4A79"/>
    <w:rsid w:val="00AF1913"/>
    <w:rsid w:val="00AF1F60"/>
    <w:rsid w:val="00AF7D32"/>
    <w:rsid w:val="00B0592A"/>
    <w:rsid w:val="00B11902"/>
    <w:rsid w:val="00B1511A"/>
    <w:rsid w:val="00B16350"/>
    <w:rsid w:val="00B20A62"/>
    <w:rsid w:val="00B21448"/>
    <w:rsid w:val="00B30D15"/>
    <w:rsid w:val="00B32098"/>
    <w:rsid w:val="00B367B6"/>
    <w:rsid w:val="00B4358E"/>
    <w:rsid w:val="00B44265"/>
    <w:rsid w:val="00B55BC2"/>
    <w:rsid w:val="00B57637"/>
    <w:rsid w:val="00B63000"/>
    <w:rsid w:val="00B65B91"/>
    <w:rsid w:val="00B75580"/>
    <w:rsid w:val="00B840E9"/>
    <w:rsid w:val="00B8486C"/>
    <w:rsid w:val="00B873ED"/>
    <w:rsid w:val="00B91343"/>
    <w:rsid w:val="00BA3E0D"/>
    <w:rsid w:val="00BA5651"/>
    <w:rsid w:val="00BA727B"/>
    <w:rsid w:val="00BC04C3"/>
    <w:rsid w:val="00BC2D8A"/>
    <w:rsid w:val="00BC2E5A"/>
    <w:rsid w:val="00BC4EF6"/>
    <w:rsid w:val="00BC7EFB"/>
    <w:rsid w:val="00BD0016"/>
    <w:rsid w:val="00BD1CF2"/>
    <w:rsid w:val="00BD2158"/>
    <w:rsid w:val="00BD2AB1"/>
    <w:rsid w:val="00BE048D"/>
    <w:rsid w:val="00BE6659"/>
    <w:rsid w:val="00BE74FF"/>
    <w:rsid w:val="00BF1ED1"/>
    <w:rsid w:val="00BF628A"/>
    <w:rsid w:val="00C02FD5"/>
    <w:rsid w:val="00C05CD7"/>
    <w:rsid w:val="00C10869"/>
    <w:rsid w:val="00C16489"/>
    <w:rsid w:val="00C24767"/>
    <w:rsid w:val="00C2526D"/>
    <w:rsid w:val="00C2529C"/>
    <w:rsid w:val="00C25D4F"/>
    <w:rsid w:val="00C41994"/>
    <w:rsid w:val="00C433F1"/>
    <w:rsid w:val="00C44524"/>
    <w:rsid w:val="00C45034"/>
    <w:rsid w:val="00C5048B"/>
    <w:rsid w:val="00C52B63"/>
    <w:rsid w:val="00C52E93"/>
    <w:rsid w:val="00C53DD4"/>
    <w:rsid w:val="00C53E48"/>
    <w:rsid w:val="00C53F8F"/>
    <w:rsid w:val="00C7200F"/>
    <w:rsid w:val="00C77FF7"/>
    <w:rsid w:val="00C85E44"/>
    <w:rsid w:val="00C90F8D"/>
    <w:rsid w:val="00C9572A"/>
    <w:rsid w:val="00CA030F"/>
    <w:rsid w:val="00CB6798"/>
    <w:rsid w:val="00CC3D01"/>
    <w:rsid w:val="00CD0C79"/>
    <w:rsid w:val="00CD6439"/>
    <w:rsid w:val="00CE2B14"/>
    <w:rsid w:val="00CF0514"/>
    <w:rsid w:val="00CF0983"/>
    <w:rsid w:val="00CF11B2"/>
    <w:rsid w:val="00CF7D21"/>
    <w:rsid w:val="00D06A27"/>
    <w:rsid w:val="00D1061D"/>
    <w:rsid w:val="00D1529A"/>
    <w:rsid w:val="00D156D2"/>
    <w:rsid w:val="00D1684E"/>
    <w:rsid w:val="00D20F84"/>
    <w:rsid w:val="00D2205A"/>
    <w:rsid w:val="00D23A0B"/>
    <w:rsid w:val="00D26B8B"/>
    <w:rsid w:val="00D30377"/>
    <w:rsid w:val="00D3267D"/>
    <w:rsid w:val="00D40161"/>
    <w:rsid w:val="00D4061F"/>
    <w:rsid w:val="00D42F8A"/>
    <w:rsid w:val="00D44B68"/>
    <w:rsid w:val="00D547AA"/>
    <w:rsid w:val="00D54CE3"/>
    <w:rsid w:val="00D55A29"/>
    <w:rsid w:val="00D625FF"/>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5104"/>
    <w:rsid w:val="00DE4C1C"/>
    <w:rsid w:val="00DE65E6"/>
    <w:rsid w:val="00DF03F4"/>
    <w:rsid w:val="00DF3EBD"/>
    <w:rsid w:val="00E01A13"/>
    <w:rsid w:val="00E06D8E"/>
    <w:rsid w:val="00E12125"/>
    <w:rsid w:val="00E12A0C"/>
    <w:rsid w:val="00E2278F"/>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985"/>
    <w:rsid w:val="00EA1A67"/>
    <w:rsid w:val="00EA4639"/>
    <w:rsid w:val="00EA4B65"/>
    <w:rsid w:val="00EA56CD"/>
    <w:rsid w:val="00EB10F8"/>
    <w:rsid w:val="00EB379F"/>
    <w:rsid w:val="00EB39D6"/>
    <w:rsid w:val="00EB7456"/>
    <w:rsid w:val="00EC2F8C"/>
    <w:rsid w:val="00EC66D3"/>
    <w:rsid w:val="00ED4D9B"/>
    <w:rsid w:val="00EE6373"/>
    <w:rsid w:val="00EE6A01"/>
    <w:rsid w:val="00EE7295"/>
    <w:rsid w:val="00EF0ECD"/>
    <w:rsid w:val="00EF523A"/>
    <w:rsid w:val="00F0364F"/>
    <w:rsid w:val="00F03EA3"/>
    <w:rsid w:val="00F10673"/>
    <w:rsid w:val="00F10B26"/>
    <w:rsid w:val="00F11368"/>
    <w:rsid w:val="00F15A52"/>
    <w:rsid w:val="00F17FBC"/>
    <w:rsid w:val="00F22355"/>
    <w:rsid w:val="00F237FE"/>
    <w:rsid w:val="00F31987"/>
    <w:rsid w:val="00F319C1"/>
    <w:rsid w:val="00F374EA"/>
    <w:rsid w:val="00F37940"/>
    <w:rsid w:val="00F37A75"/>
    <w:rsid w:val="00F40E91"/>
    <w:rsid w:val="00F466C4"/>
    <w:rsid w:val="00F47CDC"/>
    <w:rsid w:val="00F5169E"/>
    <w:rsid w:val="00F71798"/>
    <w:rsid w:val="00F763F9"/>
    <w:rsid w:val="00F77B00"/>
    <w:rsid w:val="00F82C31"/>
    <w:rsid w:val="00F91A3C"/>
    <w:rsid w:val="00F921D2"/>
    <w:rsid w:val="00F967DE"/>
    <w:rsid w:val="00FA48A4"/>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9117214B-119C-45A2-A881-CAC70D00B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Adermon2018</b:Tag>
    <b:SourceType>Report</b:SourceType>
    <b:Guid>{40A1CDA4-83D0-404C-ACE0-4073570862AD}</b:Guid>
    <b:Author>
      <b:Author>
        <b:NameList>
          <b:Person>
            <b:Last>Adermon</b:Last>
            <b:First>A.</b:First>
          </b:Person>
          <b:Person>
            <b:Last>Laun</b:Last>
            <b:First>L.</b:First>
          </b:Person>
        </b:NameList>
      </b:Author>
    </b:Author>
    <b:Title>Bristyrken i offentlig verksamhet [Shortage occupations in the public sector]</b:Title>
    <b:Year>2018</b:Year>
    <b:Publisher>Institutet för arbetsmarknads- och utbildningspolitisk utvärdering</b:Publisher>
    <b:URL>https://www.ifau.se/globalassets/pdf/se/2018/r-2018-19-bristyrken-i-offentlig-verksamhet.pdf</b:URL>
    <b:Comments>IFAU Rapport 2018:19</b:Comments>
  </b:Source>
  <b:Source>
    <b:Tag>AE2024</b:Tag>
    <b:SourceType>Report</b:SourceType>
    <b:Guid>{AE2C7E5F-5B33-4343-84A2-5345E8043566}</b:Guid>
    <b:Author>
      <b:Author>
        <b:Corporate>AE</b:Corporate>
      </b:Author>
    </b:Author>
    <b:Title>Mange nye folkeskolelærere forlader folkeskolen på få år</b:Title>
    <b:Year>2024</b:Year>
    <b:Publisher>Arbejderbevægelsens Erhvervsråd</b:Publisher>
    <b:URL>https://www.ae.dk/analyse/2024-06-mange-nye-folkeskolelaerere-forlader-folkeskolen-paa-faa-aar</b:URL>
  </b:Source>
  <b:Source>
    <b:Tag>Aldeman2025</b:Tag>
    <b:SourceType>JournalArticle</b:SourceType>
    <b:Guid>{4DF71E4D-6364-4B2F-AC8F-7534E4B321C5}</b:Guid>
    <b:Author>
      <b:Author>
        <b:NameList>
          <b:Person>
            <b:Last>Aldeman</b:Last>
            <b:First>C.</b:First>
          </b:Person>
          <b:Person>
            <b:Last>Yi</b:Last>
            <b:First>S.</b:First>
          </b:Person>
        </b:NameList>
      </b:Author>
    </b:Author>
    <b:Title>Are teachers abandoning teaching? Data show teacher turnover remains low</b:Title>
    <b:JournalName>Education Next</b:JournalName>
    <b:Year>2025</b:Year>
    <b:URL>https://www.educationnext.org/are-teachers-abandoning-teaching-data-show-teacher-turnover-remains-low/</b:URL>
    <b:Comments>18 December 2025</b:Comments>
  </b:Source>
  <b:Source>
    <b:Tag>Bjornsdottir2024</b:Tag>
    <b:SourceType>JournalArticle</b:SourceType>
    <b:Guid>{479CB68C-C1C2-41D4-9472-E7FF7A0C48D1}</b:Guid>
    <b:Author>
      <b:Author>
        <b:NameList>
          <b:Person>
            <b:Last>Björnsdóttir</b:Last>
            <b:First>A.</b:First>
          </b:Person>
          <b:Person>
            <b:Last>Hansen</b:Last>
            <b:First>B.</b:First>
          </b:Person>
        </b:NameList>
      </b:Author>
    </b:Author>
    <b:Title>Starfsmannavelta meðal kennara í grunnskólum árin 1998 til 2020</b:Title>
    <b:JournalName>Netla — Veftímarit um uppeldi og menntun</b:JournalName>
    <b:Year>2024</b:Year>
    <b:StandardNumber>doi:10.24270/serritnetla.2024.6</b:StandardNumber>
    <b:URL>https://doi.org/10.24270/serritnetla.2024.6</b:URL>
    <b:Comments>Sérrit 2024 — Menntakvika</b:Comments>
  </b:Source>
  <b:Source>
    <b:Tag>Boyd2011</b:Tag>
    <b:SourceType>JournalArticle</b:SourceType>
    <b:Guid>{BB214683-D26C-446C-8FD4-1225BAE48745}</b:Guid>
    <b:Author>
      <b:Author>
        <b:NameList>
          <b:Person>
            <b:Last>Boyd</b:Last>
            <b:First>D.</b:First>
          </b:Person>
          <b:Person>
            <b:Last>Grossman</b:Last>
            <b:First>P.</b:First>
          </b:Person>
          <b:Person>
            <b:Last>Ing</b:Last>
            <b:First>M.</b:First>
          </b:Person>
          <b:Person>
            <b:Last>Lankford</b:Last>
            <b:First>H.</b:First>
          </b:Person>
          <b:Person>
            <b:Last>Loeb</b:Last>
            <b:First>S.</b:First>
          </b:Person>
          <b:Person>
            <b:Last>Wyckoff</b:Last>
            <b:First>J.</b:First>
          </b:Person>
        </b:NameList>
      </b:Author>
    </b:Author>
    <b:Title>The influence of school administrators on teacher retention decisions</b:Title>
    <b:JournalName>American Educational Research Journal</b:JournalName>
    <b:Year>2011</b:Year>
    <b:Pages>303–333</b:Pages>
    <b:Volume>48</b:Volume>
    <b:Issue>2</b:Issue>
    <b:StandardNumber>doi:10.3102/0002831210380788</b:StandardNumber>
    <b:URL>https://doi.org/10.3102/0002831210380788</b:URL>
  </b:Source>
  <b:Source>
    <b:Tag>Brandenburg2024</b:Tag>
    <b:SourceType>JournalArticle</b:SourceType>
    <b:Guid>{18BFF8E7-1A4D-4FC4-83B7-7D97C2760530}</b:Guid>
    <b:Author>
      <b:Author>
        <b:NameList>
          <b:Person>
            <b:Last>Brandenburg</b:Last>
            <b:First>R.</b:First>
          </b:Person>
          <b:Person>
            <b:Last>Larsen</b:Last>
            <b:First>E.</b:First>
          </b:Person>
          <b:Person>
            <b:Last>Simpson</b:Last>
            <b:First>A.</b:First>
          </b:Person>
          <b:Person>
            <b:Last>Sallis</b:Last>
            <b:First>R.</b:First>
          </b:Person>
          <b:Person>
            <b:Last>Tran</b:Last>
            <b:First>D.</b:First>
          </b:Person>
        </b:NameList>
      </b:Author>
    </b:Author>
    <b:Title>‘I left the teaching profession... and this is what I am doing now’: A national study of teacher attrition</b:Title>
    <b:JournalName>The Australian Educational Researcher</b:JournalName>
    <b:Year>2024</b:Year>
    <b:Pages>2381–2400</b:Pages>
    <b:Volume>51</b:Volume>
    <b:Issue>5</b:Issue>
    <b:StandardNumber>doi:10.1007/s13384-024-00697-1</b:StandardNumber>
    <b:URL>https://doi.org/10.1007/s13384-024-00697-1</b:URL>
  </b:Source>
  <b:Source>
    <b:Tag>Buckley2025</b:Tag>
    <b:SourceType>Report</b:SourceType>
    <b:Guid>{451F232F-4487-4536-96A6-68C04225634E}</b:Guid>
    <b:Author>
      <b:Author>
        <b:NameList>
          <b:Person>
            <b:Last>Buckley</b:Last>
            <b:First>J.</b:First>
          </b:Person>
          <b:Person>
            <b:Last>Griselda</b:Last>
            <b:First>S.</b:First>
          </b:Person>
        </b:NameList>
      </b:Author>
    </b:Author>
    <b:Title>Who stays, who goes? A new look at teacher attrition using administrative data</b:Title>
    <b:Year>2025</b:Year>
    <b:Publisher>e61 Institute</b:Publisher>
    <b:URL>https://e61.in/who-stays-who-goes-a-new-look-at-teacher-attrition-using-administrative-data/</b:URL>
    <b:Comments>e61 Institute Research Note</b:Comments>
  </b:Source>
  <b:Source>
    <b:Tag>CarverThomas2019</b:Tag>
    <b:SourceType>JournalArticle</b:SourceType>
    <b:Guid>{372C9A51-60F7-41EB-8035-A52EE53D498D}</b:Guid>
    <b:Author>
      <b:Author>
        <b:NameList>
          <b:Person>
            <b:Last>Carver-Thomas</b:Last>
            <b:First>D.</b:First>
          </b:Person>
          <b:Person>
            <b:Last>Darling-Hammond</b:Last>
            <b:First>L.</b:First>
          </b:Person>
        </b:NameList>
      </b:Author>
    </b:Author>
    <b:Title>The trouble with teacher turnover: How teacher attrition affects students and schools</b:Title>
    <b:JournalName>Education Policy Analysis Archives</b:JournalName>
    <b:Year>2019</b:Year>
    <b:Volume>27</b:Volume>
    <b:Issue>36</b:Issue>
    <b:StandardNumber>doi:10.14507/epaa.27.3699</b:StandardNumber>
    <b:URL>https://doi.org/10.14507/epaa.27.3699</b:URL>
  </b:Source>
  <b:Source>
    <b:Tag>CBSIsrael2023</b:Tag>
    <b:SourceType>Report</b:SourceType>
    <b:Guid>{F456EE2D-C9D2-495A-B7C8-1C4F3B1D00DC}</b:Guid>
    <b:Author>
      <b:Author>
        <b:Corporate>CBS Israel</b:Corporate>
      </b:Author>
    </b:Author>
    <b:Title>Teaching staff leaving the education system</b:Title>
    <b:Year>2023</b:Year>
    <b:Publisher>Central Bureau of Statistics</b:Publisher>
    <b:URL>https://www.cbs.gov.il/</b:URL>
    <b:Comments>Full bibliographic details to be completed before publication</b:Comments>
  </b:Source>
  <b:Source>
    <b:Tag>CIAE2025</b:Tag>
    <b:SourceType>Report</b:SourceType>
    <b:Guid>{A1316ECB-04F0-4FFA-A6AD-C74C965BEC3B}</b:Guid>
    <b:Author>
      <b:Author>
        <b:Corporate>CIAE</b:Corporate>
      </b:Author>
    </b:Author>
    <b:Title>Abandono docente en el sistema educativo chileno 2015–2024</b:Title>
    <b:Year>2025</b:Year>
    <b:Publisher>Observatorio de Formación Docente, Universidad de Chile</b:Publisher>
    <b:URL>https://ciae.uchile.cl/noticia/abandono-docente-en-la-educacion-publica-llega-solo-a-4-anual-y-profesores-se-mantendrian-25-anos-en-ejercicio</b:URL>
    <b:Comments>Informe OFD No. 12, by J. P. Valenzuela and F. Meneses</b:Comments>
  </b:Source>
  <b:Source>
    <b:Tag>Clotfelter2008</b:Tag>
    <b:SourceType>JournalArticle</b:SourceType>
    <b:Guid>{4354DDD7-6128-40C3-B6A1-191237C5B02E}</b:Guid>
    <b:Author>
      <b:Author>
        <b:NameList>
          <b:Person>
            <b:Last>Clotfelter</b:Last>
            <b:First>C.</b:First>
          </b:Person>
          <b:Person>
            <b:Last>Glennie</b:Last>
            <b:First>E.</b:First>
          </b:Person>
          <b:Person>
            <b:Last>Ladd</b:Last>
            <b:First>H.</b:First>
          </b:Person>
          <b:Person>
            <b:Last>Vigdor</b:Last>
            <b:First>J.</b:First>
          </b:Person>
        </b:NameList>
      </b:Author>
    </b:Author>
    <b:Title>Would higher salaries keep teachers in high-poverty schools? Evidence from a policy intervention in North Carolina</b:Title>
    <b:JournalName>Journal of Public Economics</b:JournalName>
    <b:Year>2008</b:Year>
    <b:Pages>1352–1370</b:Pages>
    <b:Volume>92</b:Volume>
    <b:Issue>5–6</b:Issue>
    <b:StandardNumber>doi:10.1016/j.jpubeco.2007.07.003</b:StandardNumber>
    <b:URL>https://doi.org/10.1016/j.jpubeco.2007.07.003</b:URL>
  </b:Source>
  <b:Source>
    <b:Tag>Costrell2009</b:Tag>
    <b:SourceType>JournalArticle</b:SourceType>
    <b:Guid>{D27792FF-7BCB-4631-8ACC-EE8361B2DB7A}</b:Guid>
    <b:Author>
      <b:Author>
        <b:NameList>
          <b:Person>
            <b:Last>Costrell</b:Last>
            <b:First>R. M.</b:First>
          </b:Person>
          <b:Person>
            <b:Last>Podgursky</b:Last>
            <b:First>M.</b:First>
          </b:Person>
        </b:NameList>
      </b:Author>
    </b:Author>
    <b:Title>Peaks, cliffs, and valleys: The peculiar incentives in teacher retirement systems and their consequences for school staffing</b:Title>
    <b:JournalName>Education Finance and Policy</b:JournalName>
    <b:Year>2009</b:Year>
    <b:Pages>175–211</b:Pages>
    <b:Volume>4</b:Volume>
    <b:Issue>2</b:Issue>
    <b:StandardNumber>doi:10.1162/edfp.2009.4.2.175</b:StandardNumber>
    <b:URL>https://doi.org/10.1162/edfp.2009.4.2.175</b:URL>
  </b:Source>
  <b:Source>
    <b:Tag>DeCesare2017</b:Tag>
    <b:SourceType>Report</b:SourceType>
    <b:Guid>{F454EDED-9B3D-407B-97BF-509A28B9DD48}</b:Guid>
    <b:Author>
      <b:Author>
        <b:NameList>
          <b:Person>
            <b:Last>DeCesare</b:Last>
            <b:First>D.</b:First>
          </b:Person>
          <b:Person>
            <b:Last>McClelland</b:Last>
            <b:First>A.</b:First>
          </b:Person>
          <b:Person>
            <b:Last>Randel</b:Last>
            <b:First>B.</b:First>
          </b:Person>
        </b:NameList>
      </b:Author>
    </b:Author>
    <b:Title>Impacts of the Retired Mentors for New Teachers program</b:Title>
    <b:Year>2017</b:Year>
    <b:Publisher>Regional Educational Laboratory Central, Institute of Education Sciences, U.S. Department of Education</b:Publisher>
    <b:URL>https://ies.ed.gov/ncee/edlabs</b:URL>
    <b:Comments>REL 2017-225</b:Comments>
  </b:Source>
  <b:Source>
    <b:Tag>DfE2023</b:Tag>
    <b:SourceType>Report</b:SourceType>
    <b:Guid>{629E8BC9-B69B-4278-A0DE-6CC4396EC5A8}</b:Guid>
    <b:Author>
      <b:Author>
        <b:Corporate>Department for Education</b:Corporate>
      </b:Author>
    </b:Author>
    <b:Title>School workforce in England: Ad hoc statistics on maternity leave and returns</b:Title>
    <b:Year>2023</b:Year>
    <b:Publisher>Department for Education</b:Publisher>
    <b:Comments>Release to be verified before publication</b:Comments>
  </b:Source>
  <b:Source>
    <b:Tag>DfE2024a</b:Tag>
    <b:SourceType>Report</b:SourceType>
    <b:Guid>{053C5A22-4184-4B2B-B260-D1A05EE5A5CC}</b:Guid>
    <b:Author>
      <b:Author>
        <b:Corporate>Department for Education</b:Corporate>
      </b:Author>
    </b:Author>
    <b:Title>School workforce in England: Reporting year 2023</b:Title>
    <b:Year>2024a</b:Year>
    <b:Publisher>Department for Education</b:Publisher>
    <b:URL>https://explore-education-statistics.service.gov.uk/find-statistics/school-workforce-in-england</b:URL>
  </b:Source>
  <b:Source>
    <b:Tag>DfE2024b</b:Tag>
    <b:SourceType>Report</b:SourceType>
    <b:Guid>{541C6AE3-4B7C-4C59-8783-BF35D638EA18}</b:Guid>
    <b:Author>
      <b:Author>
        <b:Corporate>Department for Education</b:Corporate>
      </b:Author>
    </b:Author>
    <b:Title>Working lives of teachers and leaders: Wave 3 and wave 4 reports</b:Title>
    <b:Year>2024b</b:Year>
    <b:Publisher>Department for Education</b:Publisher>
    <b:URL>https://www.gov.uk/government/publications/working-lives-of-teachers-and-leaders</b:URL>
  </b:Source>
  <b:Source>
    <b:Tag>EducationCounts2025</b:Tag>
    <b:SourceType>InternetSite</b:SourceType>
    <b:Guid>{7E2D17B5-8A16-429D-992F-F4AA716067A0}</b:Guid>
    <b:Author>
      <b:Author>
        <b:Corporate>Education Counts</b:Corporate>
      </b:Author>
    </b:Author>
    <b:Title>Teacher turnover</b:Title>
    <b:Year>2025</b:Year>
    <b:Publisher>New Zealand Ministry of Education</b:Publisher>
    <b:URL>https://www.educationcounts.govt.nz/statistics/teacher-turnover</b:URL>
  </b:Source>
  <b:Source>
    <b:Tag>Eurydice2021</b:Tag>
    <b:SourceType>Report</b:SourceType>
    <b:Guid>{A744F6BE-E933-41A7-800E-D1A2A2D576DE}</b:Guid>
    <b:Author>
      <b:Author>
        <b:Corporate>European Commission/EACEA/Eurydice</b:Corporate>
      </b:Author>
    </b:Author>
    <b:Title>Teachers in Europe: Careers, development and well-being</b:Title>
    <b:Year>2021</b:Year>
    <b:Publisher>Publications Office of the European Union</b:Publisher>
    <b:Comments>Eurydice report</b:Comments>
  </b:Source>
  <b:Source>
    <b:Tag>Falch2011</b:Tag>
    <b:SourceType>JournalArticle</b:SourceType>
    <b:Guid>{3BBE102F-DB05-4DDA-BCA3-DE39C2E2A5EC}</b:Guid>
    <b:Author>
      <b:Author>
        <b:NameList>
          <b:Person>
            <b:Last>Falch</b:Last>
            <b:First>T.</b:First>
          </b:Person>
        </b:NameList>
      </b:Author>
    </b:Author>
    <b:Title>Teacher mobility responses to wage changes: Evidence from a quasi-natural experiment</b:Title>
    <b:JournalName>American Economic Review</b:JournalName>
    <b:Year>2011</b:Year>
    <b:Pages>460–465</b:Pages>
    <b:Volume>101</b:Volume>
    <b:Issue>3</b:Issue>
    <b:StandardNumber>doi:10.1257/aer.101.3.460</b:StandardNumber>
    <b:URL>https://doi.org/10.1257/aer.101.3.460</b:URL>
  </b:Source>
  <b:Source>
    <b:Tag>Feng2018</b:Tag>
    <b:SourceType>JournalArticle</b:SourceType>
    <b:Guid>{57643129-2318-41F6-83E7-E618DEA8B3F2}</b:Guid>
    <b:Author>
      <b:Author>
        <b:NameList>
          <b:Person>
            <b:Last>Feng</b:Last>
            <b:First>L.</b:First>
          </b:Person>
          <b:Person>
            <b:Last>Sass</b:Last>
            <b:First>T. R.</b:First>
          </b:Person>
        </b:NameList>
      </b:Author>
    </b:Author>
    <b:Title>The impact of incentives to recruit and retain teachers in “hard-to-staff” subjects</b:Title>
    <b:JournalName>Journal of Policy Analysis and Management</b:JournalName>
    <b:Year>2018</b:Year>
    <b:Pages>112–135</b:Pages>
    <b:Volume>37</b:Volume>
    <b:Issue>1</b:Issue>
    <b:StandardNumber>doi:10.1002/pam.22037</b:StandardNumber>
    <b:URL>https://doi.org/10.1002/pam.22037</b:URL>
  </b:Source>
  <b:Source>
    <b:Tag>Fitzpatrick2015</b:Tag>
    <b:SourceType>JournalArticle</b:SourceType>
    <b:Guid>{AFE0F89B-26F3-450E-9C55-A178B475652D}</b:Guid>
    <b:Author>
      <b:Author>
        <b:NameList>
          <b:Person>
            <b:Last>Fitzpatrick</b:Last>
            <b:First>M. D.</b:First>
          </b:Person>
        </b:NameList>
      </b:Author>
    </b:Author>
    <b:Title>How much are public school teachers willing to pay for their retirement benefits?</b:Title>
    <b:JournalName>American Economic Journal: Economic Policy</b:JournalName>
    <b:Year>2015</b:Year>
    <b:Pages>165–188</b:Pages>
    <b:Volume>7</b:Volume>
    <b:Issue>4</b:Issue>
    <b:StandardNumber>doi:10.1257/pol.20140087</b:StandardNumber>
    <b:URL>https://doi.org/10.1257/pol.20140087</b:URL>
  </b:Source>
  <b:Source>
    <b:Tag>GovSpain2015</b:Tag>
    <b:SourceType>Report</b:SourceType>
    <b:Guid>{6EADFAA2-10C3-4414-9C7E-294A8198B9D2}</b:Guid>
    <b:Author>
      <b:Author>
        <b:Corporate>Government of Spain</b:Corporate>
      </b:Author>
    </b:Author>
    <b:Title>Real Decreto Legislativo 5/2015, de 30 de octubre, por el que se aprueba el texto refundido de la Ley del Estatuto Básico del Empleado Público</b:Title>
    <b:Year>2015</b:Year>
    <b:Publisher>Boletín Oficial del Estado</b:Publisher>
    <b:URL>https://www.boe.es/eli/es/rdlg/2015/10/30/5/con</b:URL>
    <b:Comments>Articles 49 and 89</b:Comments>
  </b:Source>
  <b:Source>
    <b:Tag>Grissom2012</b:Tag>
    <b:SourceType>JournalArticle</b:SourceType>
    <b:Guid>{57B3A721-241D-4CAE-92FE-637F44FB46BF}</b:Guid>
    <b:Author>
      <b:Author>
        <b:NameList>
          <b:Person>
            <b:Last>Grissom</b:Last>
            <b:First>J. A.</b:First>
          </b:Person>
          <b:Person>
            <b:Last>Reininger</b:Last>
            <b:First>M.</b:First>
          </b:Person>
        </b:NameList>
      </b:Author>
    </b:Author>
    <b:Title>Who comes back? A longitudinal analysis of the reentry behavior of exiting teachers</b:Title>
    <b:JournalName>Education Finance and Policy</b:JournalName>
    <b:Year>2012</b:Year>
    <b:Pages>425–454</b:Pages>
    <b:Volume>7</b:Volume>
    <b:Issue>4</b:Issue>
    <b:StandardNumber>doi:10.1162/EDFP_a_00075</b:StandardNumber>
    <b:URL>https://doi.org/10.1162/EDFP_a_00075</b:URL>
  </b:Source>
  <b:Source>
    <b:Tag>Guarino2006</b:Tag>
    <b:SourceType>JournalArticle</b:SourceType>
    <b:Guid>{4345BFD7-2098-435C-A583-E054831C4B53}</b:Guid>
    <b:Author>
      <b:Author>
        <b:NameList>
          <b:Person>
            <b:Last>Guarino</b:Last>
            <b:First>C. M.</b:First>
          </b:Person>
          <b:Person>
            <b:Last>Santibañez</b:Last>
            <b:First>L.</b:First>
          </b:Person>
          <b:Person>
            <b:Last>Daley</b:Last>
            <b:First>G. A.</b:First>
          </b:Person>
        </b:NameList>
      </b:Author>
    </b:Author>
    <b:Title>Teacher recruitment and retention: A review of the recent empirical literature</b:Title>
    <b:JournalName>Review of Educational Research</b:JournalName>
    <b:Year>2006</b:Year>
    <b:Pages>173–208</b:Pages>
    <b:Volume>76</b:Volume>
    <b:Issue>2</b:Issue>
    <b:StandardNumber>doi:10.3102/00346543076002173</b:StandardNumber>
    <b:URL>https://doi.org/10.3102/00346543076002173</b:URL>
  </b:Source>
  <b:Source>
    <b:Tag>Gundlach2024</b:Tag>
    <b:SourceType>JournalArticle</b:SourceType>
    <b:Guid>{31A41259-D301-421D-8EEB-9F02586EA86C}</b:Guid>
    <b:Author>
      <b:Author>
        <b:NameList>
          <b:Person>
            <b:Last>Gundlach</b:Last>
            <b:First>H. A. D.</b:First>
          </b:Person>
          <b:Person>
            <b:Last>Slemp</b:Last>
            <b:First>G. R.</b:First>
          </b:Person>
          <b:Person>
            <b:Last>Hattie</b:Last>
            <b:First>J.</b:First>
          </b:Person>
        </b:NameList>
      </b:Author>
    </b:Author>
    <b:Title>A meta-analysis of the antecedents of teacher turnover and retention</b:Title>
    <b:JournalName>Educational Research Review</b:JournalName>
    <b:Year>2024</b:Year>
    <b:Pages>100606</b:Pages>
    <b:Volume>44</b:Volume>
    <b:StandardNumber>doi:10.1016/j.edurev.2024.100606</b:StandardNumber>
    <b:URL>https://doi.org/10.1016/j.edurev.2024.100606</b:URL>
    <b:Comments>Article 100606</b:Comments>
  </b:Source>
  <b:Source>
    <b:Tag>Harris2007</b:Tag>
    <b:SourceType>JournalArticle</b:SourceType>
    <b:Guid>{353AE73F-9F45-445E-9F3E-888798472490}</b:Guid>
    <b:Author>
      <b:Author>
        <b:NameList>
          <b:Person>
            <b:Last>Harris</b:Last>
            <b:First>D. N.</b:First>
          </b:Person>
          <b:Person>
            <b:Last>Adams</b:Last>
            <b:First>S. J.</b:First>
          </b:Person>
        </b:NameList>
      </b:Author>
    </b:Author>
    <b:Title>Understanding the level and causes of teacher turnover: A comparison with other professions</b:Title>
    <b:JournalName>Economics of Education Review</b:JournalName>
    <b:Year>2007</b:Year>
    <b:Pages>325–337</b:Pages>
    <b:Volume>26</b:Volume>
    <b:Issue>3</b:Issue>
    <b:StandardNumber>doi:10.1016/j.econedurev.2005.09.007</b:StandardNumber>
    <b:URL>https://doi.org/10.1016/j.econedurev.2005.09.007</b:URL>
  </b:Source>
  <b:Source>
    <b:Tag>Johnson2012</b:Tag>
    <b:SourceType>JournalArticle</b:SourceType>
    <b:Guid>{BF0857A6-3CD5-4002-8159-C370EA67FC97}</b:Guid>
    <b:Author>
      <b:Author>
        <b:NameList>
          <b:Person>
            <b:Last>Johnson</b:Last>
            <b:First>S. M.</b:First>
          </b:Person>
          <b:Person>
            <b:Last>Kraft</b:Last>
            <b:First>M. A.</b:First>
          </b:Person>
          <b:Person>
            <b:Last>Papay</b:Last>
            <b:First>J. P.</b:First>
          </b:Person>
        </b:NameList>
      </b:Author>
    </b:Author>
    <b:Title>How context matters in high-need schools: The effects of teachers’ working conditions on their professional satisfaction and their students’ achievement</b:Title>
    <b:JournalName>Teachers College Record</b:JournalName>
    <b:Year>2012</b:Year>
    <b:Pages>1–39</b:Pages>
    <b:Volume>114</b:Volume>
    <b:Issue>10</b:Issue>
    <b:StandardNumber>doi:10.1177/016146811211401004</b:StandardNumber>
    <b:URL>https://doi.org/10.1177/016146811211401004</b:URL>
  </b:Source>
  <b:Source>
    <b:Tag>Kindsiko2023</b:Tag>
    <b:SourceType>Report</b:SourceType>
    <b:Guid>{85DA2D55-B38E-4EDE-9103-E97B38EE13CF}</b:Guid>
    <b:Author>
      <b:Author>
        <b:NameList>
          <b:Person>
            <b:Last>Kindsiko</b:Last>
            <b:First>E.</b:First>
          </b:Person>
        </b:NameList>
      </b:Author>
    </b:Author>
    <b:Title>Analysis of teacher attrition in Estonia using EHIS register data 2005/06–2021/22</b:Title>
    <b:Year>2023</b:Year>
    <b:Publisher>Arenguseire Keskus</b:Publisher>
    <b:Comments>Full bibliographic details to be completed before publication</b:Comments>
  </b:Source>
  <b:Source>
    <b:Tag>Kraft2016</b:Tag>
    <b:SourceType>JournalArticle</b:SourceType>
    <b:Guid>{E0233D4E-4554-4B39-8271-5D92BA5C3B5A}</b:Guid>
    <b:Author>
      <b:Author>
        <b:NameList>
          <b:Person>
            <b:Last>Kraft</b:Last>
            <b:First>M. A.</b:First>
          </b:Person>
          <b:Person>
            <b:Last>Marinell</b:Last>
            <b:First>W. H.</b:First>
          </b:Person>
          <b:Person>
            <b:Last>Shen-Wei Yee</b:Last>
            <b:First>D.</b:First>
          </b:Person>
        </b:NameList>
      </b:Author>
    </b:Author>
    <b:Title>School organizational contexts, teacher turnover, and student achievement: Evidence from panel data</b:Title>
    <b:JournalName>American Educational Research Journal</b:JournalName>
    <b:Year>2016</b:Year>
    <b:Pages>1411–1449</b:Pages>
    <b:Volume>53</b:Volume>
    <b:Issue>5</b:Issue>
    <b:StandardNumber>doi:10.3102/0002831216667478</b:StandardNumber>
    <b:URL>https://doi.org/10.3102/0002831216667478</b:URL>
  </b:Source>
  <b:Source>
    <b:Tag>Ladd2011</b:Tag>
    <b:SourceType>JournalArticle</b:SourceType>
    <b:Guid>{A5CFAD1A-C32B-4650-9303-6F90EE8EED2F}</b:Guid>
    <b:Author>
      <b:Author>
        <b:NameList>
          <b:Person>
            <b:Last>Ladd</b:Last>
            <b:First>H. F.</b:First>
          </b:Person>
        </b:NameList>
      </b:Author>
    </b:Author>
    <b:Title>Teachers’ perceptions of their working conditions: How predictive of planned and actual teacher movement?</b:Title>
    <b:JournalName>Educational Evaluation and Policy Analysis</b:JournalName>
    <b:Year>2011</b:Year>
    <b:Pages>235–261</b:Pages>
    <b:Volume>33</b:Volume>
    <b:Issue>2</b:Issue>
    <b:StandardNumber>doi:10.3102/0162373711398128</b:StandardNumber>
    <b:URL>https://doi.org/10.3102/0162373711398128</b:URL>
  </b:Source>
  <b:Source>
    <b:Tag>Madigan2021</b:Tag>
    <b:SourceType>JournalArticle</b:SourceType>
    <b:Guid>{BFE30961-B4D3-4A99-AB00-FE6BA73A8DDF}</b:Guid>
    <b:Author>
      <b:Author>
        <b:NameList>
          <b:Person>
            <b:Last>Madigan</b:Last>
            <b:First>D. J.</b:First>
          </b:Person>
          <b:Person>
            <b:Last>Kim</b:Last>
            <b:First>L. E.</b:First>
          </b:Person>
        </b:NameList>
      </b:Author>
    </b:Author>
    <b:Title>Towards an understanding of teacher attrition: A meta-analysis of burnout, job satisfaction, and teachers’ intentions to quit</b:Title>
    <b:JournalName>Teaching and Teacher Education</b:JournalName>
    <b:Year>2021</b:Year>
    <b:Pages>103425</b:Pages>
    <b:Volume>105</b:Volume>
    <b:StandardNumber>doi:10.1016/j.tate.2021.103425</b:StandardNumber>
    <b:URL>https://doi.org/10.1016/j.tate.2021.103425</b:URL>
    <b:Comments>Article 103425</b:Comments>
  </b:Source>
  <b:Source>
    <b:Tag>Ministere2023</b:Tag>
    <b:SourceType>InternetSite</b:SourceType>
    <b:Guid>{700ADBD4-9178-44D2-97FA-B553641D44D4}</b:Guid>
    <b:Author>
      <b:Author>
        <b:Corporate>Ministère de l’Éducation nationale</b:Corporate>
      </b:Author>
    </b:Author>
    <b:Title>La retraite des personnels de l’Éducation nationale</b:Title>
    <b:Year>2023</b:Year>
    <b:URL>https://www.education.gouv.fr/la-retraite-des-personnels-de-l-education-nationale-41489</b:URL>
  </b:Source>
  <b:Source>
    <b:Tag>MoEKorea2023</b:Tag>
    <b:SourceType>Report</b:SourceType>
    <b:Guid>{43C2FEC8-621E-48A9-8380-B5F0B8171202}</b:Guid>
    <b:Author>
      <b:Author>
        <b:Corporate>Ministry of Education Korea</b:Corporate>
      </b:Author>
    </b:Author>
    <b:Title>Statistics on mid-career teacher separations 2019–2023</b:Title>
    <b:Year>2023</b:Year>
    <b:Publisher>Ministry of Education, Sejong</b:Publisher>
    <b:Comments>Full bibliographic details to be completed before publication</b:Comments>
  </b:Source>
  <b:Source>
    <b:Tag>Moyer2022</b:Tag>
    <b:SourceType>JournalArticle</b:SourceType>
    <b:Guid>{51C9B607-F5C3-41DF-B21F-B251F3CA2AEF}</b:Guid>
    <b:Author>
      <b:Author>
        <b:NameList>
          <b:Person>
            <b:Last>Moyer</b:Last>
            <b:First>A.</b:First>
          </b:Person>
        </b:NameList>
      </b:Author>
    </b:Author>
    <b:Title>Has “who comes back” changed? Teacher reentry 2000–2019</b:Title>
    <b:JournalName>Educational Researcher</b:JournalName>
    <b:Year>2022</b:Year>
    <b:Pages>544–546</b:Pages>
    <b:Volume>51</b:Volume>
    <b:Issue>8</b:Issue>
    <b:StandardNumber>doi:10.3102/0013189X221122746</b:StandardNumber>
    <b:URL>https://doi.org/10.3102/0013189X221122746</b:URL>
  </b:Source>
  <b:Source>
    <b:Tag>NCES2014</b:Tag>
    <b:SourceType>Report</b:SourceType>
    <b:Guid>{B4DFD54B-EDC7-4346-9AA1-54C6F8B53FC2}</b:Guid>
    <b:Author>
      <b:Author>
        <b:Corporate>NCES</b:Corporate>
      </b:Author>
    </b:Author>
    <b:Title>Teacher attrition and mobility: Results from the 2012–13 Teacher Follow-up Survey</b:Title>
    <b:Year>2014</b:Year>
    <b:Publisher>National Center for Education Statistics, U.S. Department of Education</b:Publisher>
    <b:URL>https://nces.ed.gov/pubs2014/2014077.pdf</b:URL>
    <b:Comments>NCES 2014-077</b:Comments>
  </b:Source>
  <b:Source>
    <b:Tag>NCES2024</b:Tag>
    <b:SourceType>Report</b:SourceType>
    <b:Guid>{532B07FA-BEB8-4648-A9B4-50A9447B3C17}</b:Guid>
    <b:Author>
      <b:Author>
        <b:Corporate>NCES</b:Corporate>
      </b:Author>
    </b:Author>
    <b:Title>Teacher attrition and mobility: Results from the 2021–22 Teacher Follow-up Survey</b:Title>
    <b:Year>2024</b:Year>
    <b:Publisher>National Center for Education Statistics, U.S. Department of Education</b:Publisher>
    <b:URL>https://nces.ed.gov/pubsearch/pubsinfo.asp?pubid=2024039</b:URL>
  </b:Source>
  <b:Source>
    <b:Tag>Nguyen2024</b:Tag>
    <b:SourceType>JournalArticle</b:SourceType>
    <b:Guid>{B14F00C9-F4A8-4F0C-8DC8-49150BD033CF}</b:Guid>
    <b:Author>
      <b:Author>
        <b:NameList>
          <b:Person>
            <b:Last>Nguyen</b:Last>
            <b:First>T. D.</b:First>
          </b:Person>
          <b:Person>
            <b:Last>Lam</b:Last>
            <b:First>C. D.</b:First>
          </b:Person>
          <b:Person>
            <b:Last>Bruno</b:Last>
            <b:First>P.</b:First>
          </b:Person>
        </b:NameList>
      </b:Author>
    </b:Author>
    <b:Title>What do we know about the extent of teacher shortages nationwide? A systematic examination of reports of U.S. teacher shortages</b:Title>
    <b:JournalName>AERA Open</b:JournalName>
    <b:Year>2024</b:Year>
    <b:Volume>10</b:Volume>
    <b:StandardNumber>doi:10.1177/23328584241276512</b:StandardNumber>
    <b:URL>https://doi.org/10.1177/23328584241276512</b:URL>
  </b:Source>
  <b:Source>
    <b:Tag>Nguyen2020</b:Tag>
    <b:SourceType>JournalArticle</b:SourceType>
    <b:Guid>{E5CFBC7E-BE4A-4A2F-B1CF-2980BCA58258}</b:Guid>
    <b:Author>
      <b:Author>
        <b:NameList>
          <b:Person>
            <b:Last>Nguyen</b:Last>
            <b:First>T. D.</b:First>
          </b:Person>
          <b:Person>
            <b:Last>Pham</b:Last>
            <b:First>L. D.</b:First>
          </b:Person>
          <b:Person>
            <b:Last>Crouch</b:Last>
            <b:First>M.</b:First>
          </b:Person>
          <b:Person>
            <b:Last>Springer</b:Last>
            <b:First>M. G.</b:First>
          </b:Person>
        </b:NameList>
      </b:Author>
    </b:Author>
    <b:Title>The correlates of teacher turnover: An updated and expanded meta-analysis of the literature</b:Title>
    <b:JournalName>Educational Research Review</b:JournalName>
    <b:Year>2020</b:Year>
    <b:Pages>100355</b:Pages>
    <b:Volume>31</b:Volume>
    <b:StandardNumber>doi:10.1016/j.edurev.2020.100355</b:StandardNumber>
    <b:URL>https://doi.org/10.1016/j.edurev.2020.100355</b:URL>
    <b:Comments>Article 100355</b:Comments>
  </b:Source>
  <b:Source>
    <b:Tag>Ni2022</b:Tag>
    <b:SourceType>JournalArticle</b:SourceType>
    <b:Guid>{1692B1AF-1254-451D-A85E-7350C8DFE6C3}</b:Guid>
    <b:Author>
      <b:Author>
        <b:NameList>
          <b:Person>
            <b:Last>Ni</b:Last>
            <b:First>S.</b:First>
          </b:Person>
          <b:Person>
            <b:Last>Podgursky</b:Last>
            <b:First>M.</b:First>
          </b:Person>
          <b:Person>
            <b:Last>Wang</b:Last>
            <b:First>F.</b:First>
          </b:Person>
        </b:NameList>
      </b:Author>
    </b:Author>
    <b:Title>How much are public school teachers willing to pay for their retirement benefits? Comment</b:Title>
    <b:JournalName>American Economic Journal: Economic Policy</b:JournalName>
    <b:Year>2022</b:Year>
    <b:Pages>478–493</b:Pages>
    <b:Volume>14</b:Volume>
    <b:Issue>3</b:Issue>
    <b:StandardNumber>doi:10.1257/pol.20200763</b:StandardNumber>
    <b:URL>https://doi.org/10.1257/pol.20200763</b:URL>
  </b:Source>
  <b:Source>
    <b:Tag>Nickow2024</b:Tag>
    <b:SourceType>JournalArticle</b:SourceType>
    <b:Guid>{B0BFC219-42B4-4CA4-B937-35125B12544C}</b:Guid>
    <b:Author>
      <b:Author>
        <b:NameList>
          <b:Person>
            <b:Last>Nickow</b:Last>
            <b:First>A.</b:First>
          </b:Person>
          <b:Person>
            <b:Last>Oreopoulos</b:Last>
            <b:First>P.</b:First>
          </b:Person>
          <b:Person>
            <b:Last>Quan</b:Last>
            <b:First>V.</b:First>
          </b:Person>
        </b:NameList>
      </b:Author>
    </b:Author>
    <b:Title>The promise of tutoring for PreK-12 learning: A systematic review and meta-analysis of the experimental evidence</b:Title>
    <b:JournalName>American Educational Research Journal</b:JournalName>
    <b:Year>2024</b:Year>
    <b:Pages>74–107</b:Pages>
    <b:Volume>61</b:Volume>
    <b:Issue>1</b:Issue>
    <b:StandardNumber>doi:10.3102/00028312231208687</b:StandardNumber>
    <b:URL>https://doi.org/10.3102/00028312231208687</b:URL>
  </b:Source>
  <b:Source>
    <b:Tag>NSA2025</b:Tag>
    <b:SourceType>Report</b:SourceType>
    <b:Guid>{9BA8C2C7-38DA-4EDC-A769-08CFA366C7A4}</b:Guid>
    <b:Author>
      <b:Author>
        <b:Corporate>NŠA</b:Corporate>
      </b:Author>
    </b:Author>
    <b:Title>Teacher demand and supply forecast</b:Title>
    <b:Year>2025</b:Year>
    <b:Publisher>Nacionalinė švietimo agentūra</b:Publisher>
    <b:Comments>Full bibliographic details to be completed before publication</b:Comments>
  </b:Source>
  <b:Source>
    <b:Tag>OECD2020</b:Tag>
    <b:SourceType>Book</b:SourceType>
    <b:Guid>{AE45B050-7154-49F4-A8EE-D116862FE62B}</b:Guid>
    <b:Author>
      <b:Author>
        <b:Corporate>OECD</b:Corporate>
      </b:Author>
    </b:Author>
    <b:Title>TALIS 2018 results (Volume II): Teachers and school leaders as valued professionals</b:Title>
    <b:Year>2020</b:Year>
    <b:Publisher>OECD Publishing</b:Publisher>
    <b:StandardNumber>doi:10.1787/19cf08df-en</b:StandardNumber>
    <b:URL>https://doi.org/10.1787/19cf08df-en</b:URL>
  </b:Source>
  <b:Source>
    <b:Tag>OECD2025a</b:Tag>
    <b:SourceType>Report</b:SourceType>
    <b:Guid>{3043CEF3-87C5-40D1-B137-BDD32657EC84}</b:Guid>
    <b:Author>
      <b:Author>
        <b:Corporate>OECD</b:Corporate>
      </b:Author>
    </b:Author>
    <b:Title>What is the profile of the teaching workforce and how has it evolved?</b:Title>
    <b:Year>2025a</b:Year>
    <b:Publisher>OECD Publishing</b:Publisher>
    <b:StandardNumber>doi:10.1787/f7b0b326-en</b:StandardNumber>
    <b:URL>https://doi.org/10.1787/f7b0b326-en</b:URL>
    <b:Comments>In Education at a glance 2025: OECD indicators, Indicator D8, Table D8.4</b:Comments>
  </b:Source>
  <b:Source>
    <b:Tag>OECD2025b</b:Tag>
    <b:SourceType>Book</b:SourceType>
    <b:Guid>{3B897953-981A-4BEA-8028-AD531B713D27}</b:Guid>
    <b:Author>
      <b:Author>
        <b:Corporate>OECD</b:Corporate>
      </b:Author>
    </b:Author>
    <b:Title>Results from TALIS 2024</b:Title>
    <b:Year>2025b</b:Year>
    <b:Publisher>OECD Publishing</b:Publisher>
    <b:StandardNumber>doi:10.1787/90df6235-en</b:StandardNumber>
    <b:URL>https://doi.org/10.1787/90df6235-en</b:URL>
  </b:Source>
  <b:Source>
    <b:Tag>OECD2025c</b:Tag>
    <b:SourceType>Book</b:SourceType>
    <b:Guid>{E81203F7-F030-44C3-A6D0-194992F57FCC}</b:Guid>
    <b:Author>
      <b:Author>
        <b:Corporate>OECD</b:Corporate>
      </b:Author>
    </b:Author>
    <b:Title>Results from TALIS 2024, country notes: Japan, France and the Netherlands</b:Title>
    <b:Year>2025c</b:Year>
    <b:Publisher>OECD Publishing</b:Publisher>
    <b:StandardNumber>doi:10.1787/e127f9e2-en</b:StandardNumber>
    <b:URL>https://doi.org/10.1787/e127f9e2-en</b:URL>
  </b:Source>
  <b:Source>
    <b:Tag>OECD2025d</b:Tag>
    <b:SourceType>Report</b:SourceType>
    <b:Guid>{2B2F6520-E8C8-414A-8D47-018B3917CFF0}</b:Guid>
    <b:Author>
      <b:Author>
        <b:Corporate>OECD</b:Corporate>
      </b:Author>
    </b:Author>
    <b:Title>How much are teachers and school heads paid?</b:Title>
    <b:Year>2025d</b:Year>
    <b:Publisher>OECD Publishing</b:Publisher>
    <b:StandardNumber>doi:10.1787/1c0d9c79-en</b:StandardNumber>
    <b:URL>https://doi.org/10.1787/1c0d9c79-en</b:URL>
    <b:Comments>In Education at a glance 2025: OECD indicators, Indicator D3, Table D3.2</b:Comments>
  </b:Source>
  <b:Source>
    <b:Tag>OECD2025e</b:Tag>
    <b:SourceType>Book</b:SourceType>
    <b:Guid>{F8847669-298C-4524-9DE4-A50D97F3A46B}</b:Guid>
    <b:Author>
      <b:Author>
        <b:Corporate>OECD</b:Corporate>
      </b:Author>
    </b:Author>
    <b:Title>Pensions at a glance 2025: OECD and G20 indicators</b:Title>
    <b:Year>2025e</b:Year>
    <b:Publisher>OECD Publishing</b:Publisher>
  </b:Source>
  <b:Source>
    <b:Tag>Papay2020</b:Tag>
    <b:SourceType>JournalArticle</b:SourceType>
    <b:Guid>{51642867-4353-49E5-A53A-8FC9AE375FBF}</b:Guid>
    <b:Author>
      <b:Author>
        <b:NameList>
          <b:Person>
            <b:Last>Papay</b:Last>
            <b:First>J. P.</b:First>
          </b:Person>
          <b:Person>
            <b:Last>Taylor</b:Last>
            <b:First>E. S.</b:First>
          </b:Person>
          <b:Person>
            <b:Last>Tyler</b:Last>
            <b:First>J. H.</b:First>
          </b:Person>
          <b:Person>
            <b:Last>Laski</b:Last>
            <b:First>M. E.</b:First>
          </b:Person>
        </b:NameList>
      </b:Author>
    </b:Author>
    <b:Title>Learning job skills from colleagues at work: Evidence from a field experiment using teacher performance data</b:Title>
    <b:JournalName>American Economic Journal: Economic Policy</b:JournalName>
    <b:Year>2020</b:Year>
    <b:Pages>359–388</b:Pages>
    <b:Volume>12</b:Volume>
    <b:Issue>1</b:Issue>
    <b:StandardNumber>doi:10.1257/pol.20170709</b:StandardNumber>
    <b:URL>https://doi.org/10.1257/pol.20170709</b:URL>
  </b:Source>
  <b:Source>
    <b:Tag>Rasanen2020</b:Tag>
    <b:SourceType>JournalArticle</b:SourceType>
    <b:Guid>{6AA26B49-979A-4E7C-8CA2-18C32E3E4661}</b:Guid>
    <b:Author>
      <b:Author>
        <b:NameList>
          <b:Person>
            <b:Last>Räsänen</b:Last>
            <b:First>K.</b:First>
          </b:Person>
          <b:Person>
            <b:Last>Pietarinen</b:Last>
            <b:First>J.</b:First>
          </b:Person>
          <b:Person>
            <b:Last>Pyhältö</b:Last>
            <b:First>K.</b:First>
          </b:Person>
          <b:Person>
            <b:Last>Soini</b:Last>
            <b:First>T.</b:First>
          </b:Person>
          <b:Person>
            <b:Last>Väisänen</b:Last>
            <b:First>P.</b:First>
          </b:Person>
        </b:NameList>
      </b:Author>
    </b:Author>
    <b:Title>Why leave the teaching profession? A longitudinal approach to the prevalence and persistence of teacher turnover intentions</b:Title>
    <b:JournalName>Social Psychology of Education</b:JournalName>
    <b:Year>2020</b:Year>
    <b:Pages>837–859</b:Pages>
    <b:Volume>23</b:Volume>
    <b:Issue>4</b:Issue>
    <b:StandardNumber>doi:10.1007/s11218-020-09567-x</b:StandardNumber>
    <b:URL>https://doi.org/10.1007/s11218-020-09567-x</b:URL>
  </b:Source>
  <b:Source>
    <b:Tag>Ryan2017</b:Tag>
    <b:SourceType>JournalArticle</b:SourceType>
    <b:Guid>{0A86251D-3C8A-48CD-8592-915F1CF80A87}</b:Guid>
    <b:Author>
      <b:Author>
        <b:NameList>
          <b:Person>
            <b:Last>Ryan</b:Last>
            <b:First>S. V.</b:First>
          </b:Person>
          <b:Person>
            <b:Last>von der Embse</b:Last>
            <b:First>N. P.</b:First>
          </b:Person>
          <b:Person>
            <b:Last>Pendergast</b:Last>
            <b:First>L. L.</b:First>
          </b:Person>
          <b:Person>
            <b:Last>Saeki</b:Last>
            <b:First>E.</b:First>
          </b:Person>
          <b:Person>
            <b:Last>Segool</b:Last>
            <b:First>N.</b:First>
          </b:Person>
          <b:Person>
            <b:Last>Schwing</b:Last>
            <b:First>S.</b:First>
          </b:Person>
        </b:NameList>
      </b:Author>
    </b:Author>
    <b:Title>Leaving the teaching profession: The role of teacher stress and educational accountability policies on turnover intent</b:Title>
    <b:JournalName>Teaching and Teacher Education</b:JournalName>
    <b:Year>2017</b:Year>
    <b:Pages>1–11</b:Pages>
    <b:Volume>66</b:Volume>
    <b:StandardNumber>doi:10.1016/j.tate.2017.03.016</b:StandardNumber>
    <b:URL>https://doi.org/10.1016/j.tate.2017.03.016</b:URL>
  </b:Source>
  <b:Source>
    <b:Tag>See2020</b:Tag>
    <b:SourceType>JournalArticle</b:SourceType>
    <b:Guid>{3FE4E9E9-06F1-414A-8FA5-0A602F1C075D}</b:Guid>
    <b:Author>
      <b:Author>
        <b:NameList>
          <b:Person>
            <b:Last>See</b:Last>
            <b:First>B. H.</b:First>
          </b:Person>
          <b:Person>
            <b:Last>Morris</b:Last>
            <b:First>R.</b:First>
          </b:Person>
          <b:Person>
            <b:Last>Gorard</b:Last>
            <b:First>S.</b:First>
          </b:Person>
          <b:Person>
            <b:Last>El Soufi</b:Last>
            <b:First>N.</b:First>
          </b:Person>
        </b:NameList>
      </b:Author>
    </b:Author>
    <b:Title>Teacher recruitment and retention: A critical review of international evidence of most promising interventions</b:Title>
    <b:JournalName>Education Sciences</b:JournalName>
    <b:Year>2020</b:Year>
    <b:Pages>262</b:Pages>
    <b:Volume>10</b:Volume>
    <b:Issue>10</b:Issue>
    <b:StandardNumber>doi:10.3390/educsci10100262</b:StandardNumber>
    <b:URL>https://doi.org/10.3390/educsci10100262</b:URL>
    <b:Comments>Article 262</b:Comments>
  </b:Source>
  <b:Source>
    <b:Tag>Simon2015</b:Tag>
    <b:SourceType>JournalArticle</b:SourceType>
    <b:Guid>{39F0A02C-E660-4C60-B3B6-82197B849A6D}</b:Guid>
    <b:Author>
      <b:Author>
        <b:NameList>
          <b:Person>
            <b:Last>Simon</b:Last>
            <b:First>N. S.</b:First>
          </b:Person>
          <b:Person>
            <b:Last>Johnson</b:Last>
            <b:First>S. M.</b:First>
          </b:Person>
        </b:NameList>
      </b:Author>
    </b:Author>
    <b:Title>Teacher turnover in high-poverty schools: What we know and can do</b:Title>
    <b:JournalName>Teachers College Record</b:JournalName>
    <b:Year>2015</b:Year>
    <b:Pages>1–36</b:Pages>
    <b:Volume>117</b:Volume>
    <b:Issue>3</b:Issue>
    <b:StandardNumber>doi:10.1177/016146811511700305</b:StandardNumber>
    <b:URL>https://doi.org/10.1177/016146811511700305</b:URL>
  </b:Source>
  <b:Source>
    <b:Tag>SimsBenhenda2022</b:Tag>
    <b:SourceType>Report</b:SourceType>
    <b:Guid>{EA4D2ADA-C6A5-4F81-8340-06353A46A8B3}</b:Guid>
    <b:Author>
      <b:Author>
        <b:NameList>
          <b:Person>
            <b:Last>Sims</b:Last>
            <b:First>S.</b:First>
          </b:Person>
          <b:Person>
            <b:Last>Benhenda</b:Last>
            <b:First>A.</b:First>
          </b:Person>
        </b:NameList>
      </b:Author>
    </b:Author>
    <b:Title>The effect of financial incentives on the retention of shortage-subject teachers: Evidence from England</b:Title>
    <b:Year>2022</b:Year>
    <b:Publisher>UCL Centre for Education Policy and Equalising Opportunities</b:Publisher>
    <b:URL>https://repec-cepeo.ucl.ac.uk/cepeow/cepeowp22-04.pdf</b:URL>
    <b:Comments>CEPEO Working Paper No. 22-04</b:Comments>
  </b:Source>
  <b:Source>
    <b:Tag>SimsJerrim2020</b:Tag>
    <b:SourceType>Report</b:SourceType>
    <b:Guid>{1FCC34B5-D875-4538-B44B-5000B3D79DFB}</b:Guid>
    <b:Author>
      <b:Author>
        <b:NameList>
          <b:Person>
            <b:Last>Sims</b:Last>
            <b:First>S.</b:First>
          </b:Person>
          <b:Person>
            <b:Last>Jerrim</b:Last>
            <b:First>J.</b:First>
          </b:Person>
        </b:NameList>
      </b:Author>
    </b:Author>
    <b:Title>TALIS 2018: Teacher working conditions, turnover and attrition</b:Title>
    <b:Year>2020</b:Year>
    <b:Publisher>Department for Education</b:Publisher>
    <b:URL>https://www.gov.uk/government/publications/talis-2018-teacher-working-conditions-turnover-and-attrition</b:URL>
    <b:Comments>Statistical working paper</b:Comments>
  </b:Source>
  <b:Source>
    <b:Tag>Springer2016</b:Tag>
    <b:SourceType>JournalArticle</b:SourceType>
    <b:Guid>{940033A6-354D-41B9-AC54-9F8D29C0FC0D}</b:Guid>
    <b:Author>
      <b:Author>
        <b:NameList>
          <b:Person>
            <b:Last>Springer</b:Last>
            <b:First>M. G.</b:First>
          </b:Person>
          <b:Person>
            <b:Last>Swain</b:Last>
            <b:First>W. A.</b:First>
          </b:Person>
          <b:Person>
            <b:Last>Rodriguez</b:Last>
            <b:First>L. A.</b:First>
          </b:Person>
        </b:NameList>
      </b:Author>
    </b:Author>
    <b:Title>Effective teacher retention bonuses: Evidence from Tennessee</b:Title>
    <b:JournalName>Educational Evaluation and Policy Analysis</b:JournalName>
    <b:Year>2016</b:Year>
    <b:Pages>199–221</b:Pages>
    <b:Volume>38</b:Volume>
    <b:Issue>2</b:Issue>
    <b:StandardNumber>doi:10.3102/0162373715609687</b:StandardNumber>
    <b:URL>https://doi.org/10.3102/0162373715609687</b:URL>
  </b:Source>
  <b:Source>
    <b:Tag>StatNorway2025</b:Tag>
    <b:SourceType>InternetSite</b:SourceType>
    <b:Guid>{067B11AB-B4FB-480A-A8BF-3F7AFA2F07DE}</b:Guid>
    <b:Author>
      <b:Author>
        <b:Corporate>Statistics Norway</b:Corporate>
      </b:Author>
    </b:Author>
    <b:Title>Articles on the labour-market attachment of trained teachers</b:Title>
    <b:Year>2025</b:Year>
    <b:Publisher>Statistisk sentralbyrå</b:Publisher>
    <b:URL>https://www.ssb.no/</b:URL>
    <b:Comments>Full bibliographic details to be completed before publication</b:Comments>
  </b:Source>
  <b:Source>
    <b:Tag>StatSweden2023</b:Tag>
    <b:SourceType>Report</b:SourceType>
    <b:Guid>{3ED2F56D-09D2-449E-8F90-0079A0A68C65}</b:Guid>
    <b:Author>
      <b:Author>
        <b:Corporate>Statistics Sweden</b:Corporate>
      </b:Author>
    </b:Author>
    <b:Title>Lärare utanför yrket 2022/2023 [Teachers outside the profession 2022/2023]</b:Title>
    <b:Year>2023</b:Year>
    <b:Publisher>Statistiska centralbyrån</b:Publisher>
    <b:URL>https://www.scb.se/</b:URL>
  </b:Source>
  <b:Source>
    <b:Tag>Stinebrickner2002</b:Tag>
    <b:SourceType>JournalArticle</b:SourceType>
    <b:Guid>{67B383D6-C24B-4A18-BB22-7EDFE4D564B3}</b:Guid>
    <b:Author>
      <b:Author>
        <b:NameList>
          <b:Person>
            <b:Last>Stinebrickner</b:Last>
            <b:First>T. R.</b:First>
          </b:Person>
        </b:NameList>
      </b:Author>
    </b:Author>
    <b:Title>An analysis of occupational change and departure from the labor force: Evidence of the reasons that teachers leave</b:Title>
    <b:JournalName>Journal of Human Resources</b:JournalName>
    <b:Year>2002</b:Year>
    <b:Pages>192–216</b:Pages>
    <b:Volume>37</b:Volume>
    <b:Issue>1</b:Issue>
    <b:StandardNumber>doi:10.2307/3069608</b:StandardNumber>
    <b:URL>https://doi.org/10.2307/3069608</b:URL>
  </b:Source>
  <b:Source>
    <b:Tag>TCANZ2016</b:Tag>
    <b:SourceType>Report</b:SourceType>
    <b:Guid>{8FF1BAEB-8130-458F-ADEA-62218D7A888C}</b:Guid>
    <b:Author>
      <b:Author>
        <b:Corporate>Teaching Council of Aotearoa New Zealand</b:Corporate>
      </b:Author>
    </b:Author>
    <b:Title>Teaching Council Rules 2016</b:Title>
    <b:Year>2016</b:Year>
    <b:Publisher>New Zealand Legislation</b:Publisher>
    <b:URL>https://www.legislation.govt.nz/regulation/public/2016/0122/latest/whole.html</b:URL>
    <b:Comments>LI 2016/122</b:Comments>
  </b:Source>
  <b:Source>
    <b:Tag>UNESCO2024</b:Tag>
    <b:SourceType>Book</b:SourceType>
    <b:Guid>{ED6171A1-135E-4272-A6F8-D41B6CAAB538}</b:Guid>
    <b:Author>
      <b:Author>
        <b:Corporate>UNESCO</b:Corporate>
      </b:Author>
    </b:Author>
    <b:Title>Global report on teachers: Addressing teacher shortages and transforming the profession</b:Title>
    <b:Year>2024</b:Year>
    <b:Publisher>UNESCO and the International Task Force on Teachers for Education 2030</b:Publisher>
    <b:StandardNumber>doi:10.54675/FIGU8035</b:StandardNumber>
    <b:URL>https://doi.org/10.54675/FIGU8035</b:URL>
  </b:Source>
  <b:Source>
    <b:Tag>VanCasteren2023</b:Tag>
    <b:SourceType>Report</b:SourceType>
    <b:Guid>{B4F1501A-E2B9-4B39-A95A-C51977BAE3FB}</b:Guid>
    <b:Author>
      <b:Author>
        <b:NameList>
          <b:Person>
            <b:Last>Van Casteren</b:Last>
            <b:First>W.</b:First>
          </b:Person>
          <b:Person>
            <b:Last>Lodewick</b:Last>
            <b:First>J.</b:First>
          </b:Person>
          <b:Person>
            <b:Last>Lommertzen</b:Last>
            <b:First>J.</b:First>
          </b:Person>
          <b:Person>
            <b:Last>Luyten</b:Last>
            <b:First>E.</b:First>
          </b:Person>
          <b:Person>
            <b:Last>van Mensvoort</b:Last>
            <b:First>C.</b:First>
          </b:Person>
        </b:NameList>
      </b:Author>
    </b:Author>
    <b:Title>Vertrekredenen leraren en docenten in het po, vo en mbo</b:Title>
    <b:Year>2023</b:Year>
    <b:Publisher>ResearchNed</b:Publisher>
    <b:URL>https://www.voion.nl/publicaties/vertrekredenen-leraren-en-docenten-in-het-po-vo-en-mbo/</b:URL>
  </b:Source>
  <b:Source>
    <b:Tag>Vansteenkiste2025</b:Tag>
    <b:SourceType>Report</b:SourceType>
    <b:Guid>{C1E780F4-1722-4DCA-AB72-C021213F1449}</b:Guid>
    <b:Author>
      <b:Author>
        <b:NameList>
          <b:Person>
            <b:Last>Vansteenkiste</b:Last>
            <b:First>S.</b:First>
          </b:Person>
        </b:NameList>
      </b:Author>
    </b:Author>
    <b:Title>De in- en uitstroom in het lerarenberoep vanuit vergelijkend perspectief</b:Title>
    <b:Year>2025</b:Year>
    <b:Publisher>Steunpunt Onderwijsonderzoek</b:Publisher>
  </b:Source>
  <b:Source>
    <b:Tag>VIT2025</b:Tag>
    <b:SourceType>InternetSite</b:SourceType>
    <b:Guid>{3EE953B7-A213-48C2-8778-16620C749137}</b:Guid>
    <b:Author>
      <b:Author>
        <b:Corporate>Victorian Institute of Teaching</b:Corporate>
      </b:Author>
    </b:Author>
    <b:Title>Professional practice and learning requirements</b:Title>
    <b:Year>2025</b:Year>
    <b:URL>https://www.vit.vic.edu.au/maintain/requirements</b:URL>
  </b:Source>
  <b:Source>
    <b:Tag>Walker2024</b:Tag>
    <b:SourceType>Report</b:SourceType>
    <b:Guid>{3EC1DBFE-73E4-4416-9D71-8B5BAC8EB84C}</b:Guid>
    <b:Author>
      <b:Author>
        <b:NameList>
          <b:Person>
            <b:Last>Walker</b:Last>
            <b:First>M.</b:First>
          </b:Person>
          <b:Person>
            <b:Last>Worth</b:Last>
            <b:First>J.</b:First>
          </b:Person>
          <b:Person>
            <b:Last>Liht</b:Last>
            <b:First>J.</b:First>
          </b:Person>
          <b:Person>
            <b:Last>Classick</b:Last>
            <b:First>R.</b:First>
          </b:Person>
          <b:Person>
            <b:Last>Tang</b:Last>
            <b:First>S.</b:First>
          </b:Person>
          <b:Person>
            <b:Last>Rutt</b:Last>
            <b:First>S.</b:First>
          </b:Person>
          <b:Person>
            <b:Last>Straw</b:Last>
            <b:First>S.</b:First>
          </b:Person>
        </b:NameList>
      </b:Author>
    </b:Author>
    <b:Title>Evaluation of the early roll-out of the Early Career Framework: Evaluation report</b:Title>
    <b:Year>2024</b:Year>
    <b:Publisher>National Foundation for Educational Research for the Education Endowment Foundation</b:Publisher>
    <b:URL>https://d2tic4wvo1iusb.cloudfront.net/production/documents/projects/ECF_early_year_rollout_evaluation_report.pdf</b:URL>
  </b:Source>
</b:Sources>
</file>

<file path=customXml/itemProps1.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8007</TotalTime>
  <Pages>18</Pages>
  <Words>6624</Words>
  <Characters>40606</Characters>
  <Application>Microsoft Office Word</Application>
  <DocSecurity>0</DocSecurity>
  <Lines>580</Lines>
  <Paragraphs>224</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47006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DURÁN ROA José Elías, EDU/IMEP</cp:lastModifiedBy>
  <cp:revision>577</cp:revision>
  <dcterms:created xsi:type="dcterms:W3CDTF">2026-09-03T10:11:00Z</dcterms:created>
  <dcterms:modified xsi:type="dcterms:W3CDTF">2026-09-16T10:14:00Z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lassificationContentMarkingFooterShapeIds">
    <vt:lpwstr>544d0dc3,40f37252,b77f03c</vt:lpwstr>
  </property>
  <property fmtid="{D5CDD505-2E9C-101B-9397-08002B2CF9AE}" pid="5" name="ClassificationContentMarkingFooterFontProps">
    <vt:lpwstr>#0000ff,10,Aptos</vt:lpwstr>
  </property>
  <property fmtid="{D5CDD505-2E9C-101B-9397-08002B2CF9AE}" pid="6" name="ClassificationContentMarkingFooterText">
    <vt:lpwstr>Restricted Use - À usage restreint</vt:lpwstr>
  </property>
  <property fmtid="{D5CDD505-2E9C-101B-9397-08002B2CF9AE}" pid="7" name="MSIP_Label_0e5510b0-e729-4ef0-a3dd-4ba0dfe56c99_Enabled">
    <vt:lpwstr>true</vt:lpwstr>
  </property>
  <property fmtid="{D5CDD505-2E9C-101B-9397-08002B2CF9AE}" pid="8" name="MSIP_Label_0e5510b0-e729-4ef0-a3dd-4ba0dfe56c99_SetDate">
    <vt:lpwstr>2026-09-02T15:08:03Z</vt:lpwstr>
  </property>
  <property fmtid="{D5CDD505-2E9C-101B-9397-08002B2CF9AE}" pid="9" name="MSIP_Label_0e5510b0-e729-4ef0-a3dd-4ba0dfe56c99_Method">
    <vt:lpwstr>Standard</vt:lpwstr>
  </property>
  <property fmtid="{D5CDD505-2E9C-101B-9397-08002B2CF9AE}" pid="10" name="MSIP_Label_0e5510b0-e729-4ef0-a3dd-4ba0dfe56c99_Name">
    <vt:lpwstr>Restricted Use</vt:lpwstr>
  </property>
  <property fmtid="{D5CDD505-2E9C-101B-9397-08002B2CF9AE}" pid="11" name="MSIP_Label_0e5510b0-e729-4ef0-a3dd-4ba0dfe56c99_SiteId">
    <vt:lpwstr>ac41c7d4-1f61-460d-b0f4-fc925a2b471c</vt:lpwstr>
  </property>
  <property fmtid="{D5CDD505-2E9C-101B-9397-08002B2CF9AE}" pid="12" name="MSIP_Label_0e5510b0-e729-4ef0-a3dd-4ba0dfe56c99_ActionId">
    <vt:lpwstr>e4f8c9d1-b49b-472a-b570-538763dd8544</vt:lpwstr>
  </property>
  <property fmtid="{D5CDD505-2E9C-101B-9397-08002B2CF9AE}" pid="13" name="MSIP_Label_0e5510b0-e729-4ef0-a3dd-4ba0dfe56c99_ContentBits">
    <vt:lpwstr>2</vt:lpwstr>
  </property>
  <property fmtid="{D5CDD505-2E9C-101B-9397-08002B2CF9AE}" pid="14" name="MSIP_Label_0e5510b0-e729-4ef0-a3dd-4ba0dfe56c99_Tag">
    <vt:lpwstr>10, 3, 0, 1</vt:lpwstr>
  </property>
</Properties>
</file>