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trHeight w:val="520" w:hRule="exact"/>
        </w:trPr>
        <w:tc>
          <w:tcPr>
            <w:tcW w:type="dxa" w:w="9072"/>
            <w:tcBorders>
              <w:top w:val="none" w:color="04629A" w:sz="0"/>
              <w:left w:val="none" w:color="04629A" w:sz="0"/>
              <w:bottom w:val="none" w:color="04629A" w:sz="0"/>
              <w:right w:val="none" w:color="04629A" w:sz="0"/>
            </w:tcBorders>
            <w:shd w:fill="04629A" w:val="clear"/>
          </w:tcPr>
          <w:p>
            <w:r>
              <w:t xml:space="preserve"/>
            </w:r>
          </w:p>
        </w:tc>
      </w:tr>
    </w:tbl>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trHeight w:val="160" w:hRule="exact"/>
        </w:trPr>
        <w:tc>
          <w:tcPr>
            <w:tcW w:type="dxa" w:w="9072"/>
            <w:tcBorders>
              <w:top w:val="none" w:color="8CC841" w:sz="0"/>
              <w:left w:val="none" w:color="8CC841" w:sz="0"/>
              <w:bottom w:val="none" w:color="8CC841" w:sz="0"/>
              <w:right w:val="none" w:color="8CC841" w:sz="0"/>
            </w:tcBorders>
            <w:shd w:fill="8CC841" w:val="clear"/>
          </w:tcPr>
          <w:p>
            <w:r>
              <w:t xml:space="preserve"/>
            </w:r>
          </w:p>
        </w:tc>
      </w:tr>
    </w:tbl>
    <w:p>
      <w:pPr>
        <w:spacing w:before="2200"/>
      </w:pPr>
      <w:r>
        <w:rPr>
          <w:caps/>
          <w:color w:val="595959"/>
          <w:spacing w:val="40"/>
          <w:sz w:val="24"/>
          <w:szCs w:val="24"/>
        </w:rPr>
        <w:t xml:space="preserve">WORKING PAPER</w:t>
      </w:r>
    </w:p>
    <w:p>
      <w:pPr>
        <w:spacing w:before="300"/>
      </w:pPr>
      <w:r>
        <w:rPr>
          <w:b/>
          <w:bCs/>
          <w:color w:val="04629A"/>
          <w:sz w:val="52"/>
          <w:szCs w:val="52"/>
        </w:rPr>
        <w:t xml:space="preserve">Former Teachers: Barriers, Incentives and Policy Lessons for Re-entry</w:t>
      </w:r>
    </w:p>
    <w:p>
      <w:pPr>
        <w:spacing w:before="400"/>
      </w:pPr>
      <w:r>
        <w:rPr>
          <w:sz w:val="28"/>
          <w:szCs w:val="28"/>
        </w:rPr>
        <w:t xml:space="preserve">[Author names]</w:t>
      </w:r>
    </w:p>
    <w:p>
      <w:pPr>
        <w:spacing w:before="120"/>
      </w:pPr>
      <w:r>
        <w:rPr>
          <w:color w:val="595959"/>
          <w:sz w:val="24"/>
          <w:szCs w:val="24"/>
        </w:rPr>
        <w:t xml:space="preserve">Universidad de Alicante</w:t>
      </w:r>
    </w:p>
    <w:p>
      <w:pPr>
        <w:spacing w:before="120"/>
      </w:pPr>
      <w:r>
        <w:rPr>
          <w:color w:val="595959"/>
          <w:sz w:val="24"/>
          <w:szCs w:val="24"/>
        </w:rPr>
        <w:t xml:space="preserve">August 2026</w:t>
      </w:r>
    </w:p>
    <w:p>
      <w:pPr>
        <w:spacing w:before="2600"/>
      </w:pPr>
      <w:r>
        <w:rPr>
          <w:i/>
          <w:iCs/>
          <w:color w:val="595959"/>
          <w:sz w:val="20"/>
          <w:szCs w:val="20"/>
        </w:rPr>
        <w:t xml:space="preserve">Draft for discussion and comment.</w:t>
      </w:r>
    </w:p>
    <w:p>
      <w:pPr>
        <w:pageBreakBefore/>
        <w:spacing w:after="300"/>
      </w:pPr>
      <w:r>
        <w:rPr>
          <w:b/>
          <w:bCs/>
          <w:color w:val="4E81BD"/>
          <w:sz w:val="24"/>
          <w:szCs w:val="24"/>
        </w:rPr>
        <w:t xml:space="preserve">WORKING PAPER SERIES</w:t>
      </w:r>
    </w:p>
    <w:p>
      <w:pPr>
        <w:spacing w:after="160" w:line="264" w:lineRule="auto"/>
        <w:jc w:val="both"/>
      </w:pPr>
      <w:r>
        <w:t xml:space="preserve">This working paper presents preliminary research and analysis for discussion and comment. The opinions expressed and the arguments employed herein are those of the author(s) alone and do not necessarily reflect the official views of any institution with which they are affiliated.</w:t>
      </w:r>
    </w:p>
    <w:p>
      <w:pPr>
        <w:spacing w:after="160" w:line="264" w:lineRule="auto"/>
        <w:jc w:val="both"/>
      </w:pPr>
      <w:r>
        <w:t xml:space="preserve">The paper follows the structure, citation conventions and presentational style of the OECD Education Working Papers series for ease of comparison with that literature. It is not an OECD publication, has not been reviewed or endorsed by the OECD, and should not be reported as representing the views of the OECD or of its member countries.</w:t>
      </w:r>
    </w:p>
    <w:p>
      <w:pPr>
        <w:spacing w:after="160" w:line="264" w:lineRule="auto"/>
        <w:jc w:val="both"/>
      </w:pPr>
      <w:r>
        <w:t xml:space="preserve">Comments on this draft are welcome and may be sent to the authors.</w:t>
      </w:r>
    </w:p>
    <w:p>
      <w:pPr>
        <w:sectPr>
          <w:pgSz w:w="11906" w:h="16838" w:orient="portrait"/>
          <w:pgMar w:top="1417" w:right="1417" w:bottom="1417" w:left="1417" w:header="708" w:footer="708" w:gutter="0"/>
          <w:pgNumType/>
          <w:docGrid w:linePitch="360"/>
        </w:sectPr>
      </w:pPr>
    </w:p>
    <w:p>
      <w:pPr>
        <w:pStyle w:val="Heading1"/>
      </w:pPr>
      <w:r>
        <w:t xml:space="preserve">Acknowledgements</w:t>
      </w:r>
    </w:p>
    <w:p>
      <w:pPr>
        <w:spacing w:after="160" w:line="264" w:lineRule="auto"/>
        <w:jc w:val="both"/>
      </w:pPr>
      <w:r>
        <w:rPr>
          <w:i/>
          <w:iCs/>
          <w:color w:val="595959"/>
        </w:rPr>
        <w:t xml:space="preserve">[This working paper was prepared by the authors for the Former Teachers project. Acknowledgements to colleagues, reviewers and data providers to be added before circulation.]</w:t>
      </w:r>
    </w:p>
    <w:p>
      <w:pPr>
        <w:pStyle w:val="Heading1"/>
        <w:pageBreakBefore/>
      </w:pPr>
      <w:r>
        <w:t xml:space="preserve">Abstract</w:t>
      </w:r>
    </w:p>
    <w:p>
      <w:pPr>
        <w:spacing w:after="160" w:line="264" w:lineRule="auto"/>
        <w:jc w:val="both"/>
      </w:pPr>
      <w:r>
        <w:t xml:space="preserve">Teacher shortages across OECD countries are driven more by attrition than by a lack of new entrants, yet policy has concentrated on recruiting and retaining teachers while a third channel, the return of former teachers, remains thinly exploited. This working paper provides an international perspective on re-entry policy. Drawing on national registers, audited take-up counts, an independent programme evaluation and randomised trials of retired teachers in instructional roles, it documents that wherever the reserve of qualified former teachers can be counted, it is several times larger than the measured shortage; that outside the United States, leavers cite working conditions rather than pay and would return for redesigned jobs; and that for retirees, pension re-employment rules largely determine whether return happens at all. Programme experience is sobering. No re-entry programme with a published target has met it, and converting interest into appointments, rather than generating interest, is the binding constraint. The paper concludes with nine design lessons for policymakers, from building returner data infrastructure and removing pension penalties to recruiting from employers' own records and legislating uptake reporting alongside every new measure.</w:t>
      </w:r>
    </w:p>
    <w:p>
      <w:pPr>
        <w:pStyle w:val="Heading1"/>
        <w:spacing w:before="300"/>
      </w:pPr>
      <w:r>
        <w:t xml:space="preserve">Résumé</w:t>
      </w:r>
    </w:p>
    <w:p>
      <w:pPr>
        <w:spacing w:after="160" w:line="264" w:lineRule="auto"/>
        <w:jc w:val="both"/>
      </w:pPr>
      <w:r>
        <w:t xml:space="preserve">Les pénuries d'enseignants dans les pays de l'OCDE tiennent davantage aux départs de la profession qu'au manque de nouveaux entrants. Les politiques se sont pourtant concentrées sur le recrutement et la rétention, laissant largement inexploité un troisième levier, le retour des anciens enseignants. Ce document de travail offre une perspective internationale sur les politiques de réintégration. À partir de registres nationaux, de données de participation auditées, d'une évaluation indépendante de programme et d'essais randomisés portant sur des enseignants retraités dans des rôles d'appui pédagogique, il montre que, partout où elle peut être mesurée, la réserve d'enseignants qualifiés hors de la classe est plusieurs fois supérieure à la pénurie constatée ; qu'en dehors des États-Unis, les partants invoquent les conditions de travail plutôt que la rémunération et reviendraient pour des postes repensés ; et que, pour les retraités, les règles de cumul emploi-retraite déterminent largement la possibilité même du retour. L'expérience des programmes incite à la prudence. Aucun programme de réintégration doté d'un objectif publié ne l'a atteint, et c'est la conversion de l'intérêt en recrutements, non l'intérêt lui-même, qui constitue la contrainte. Le document conclut par neuf enseignements pour l'action publique, de la construction d'une infrastructure de données sur les personnes susceptibles de revenir à l'obligation de rendre compte de la participation à chaque nouvelle mesure.</w:t>
      </w:r>
    </w:p>
    <w:p>
      <w:pPr>
        <w:pageBreakBefore/>
        <w:spacing w:after="240"/>
      </w:pPr>
      <w:r>
        <w:rPr>
          <w:b/>
          <w:bCs/>
          <w:color w:val="4E81BD"/>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20" w:before="360"/>
      </w:pPr>
      <w:r>
        <w:rPr>
          <w:b/>
          <w:bCs/>
          <w:color w:val="4E81BD"/>
          <w:sz w:val="21"/>
          <w:szCs w:val="21"/>
        </w:rPr>
        <w:t xml:space="preserve">TABLES</w:t>
      </w:r>
    </w:p>
    <w:p>
      <w:pPr>
        <w:spacing w:after="60"/>
      </w:pPr>
      <w:r>
        <w:rPr>
          <w:sz w:val="20"/>
          <w:szCs w:val="20"/>
        </w:rPr>
        <w:t xml:space="preserve">Table 1.1. Headline indicators of teacher shortage</w:t>
      </w:r>
    </w:p>
    <w:p>
      <w:pPr>
        <w:spacing w:after="60"/>
      </w:pPr>
      <w:r>
        <w:rPr>
          <w:sz w:val="20"/>
          <w:szCs w:val="20"/>
        </w:rPr>
        <w:t xml:space="preserve">Table 2.1. The measured reserve of qualified teachers outside the classroom, selected systems</w:t>
      </w:r>
    </w:p>
    <w:p>
      <w:pPr>
        <w:spacing w:after="60"/>
      </w:pPr>
      <w:r>
        <w:rPr>
          <w:sz w:val="20"/>
          <w:szCs w:val="20"/>
        </w:rPr>
        <w:t xml:space="preserve">Table 3.1. Two margins of return: what the evidence says moves each group</w:t>
      </w:r>
    </w:p>
    <w:p>
      <w:pPr>
        <w:spacing w:after="60"/>
      </w:pPr>
      <w:r>
        <w:rPr>
          <w:sz w:val="20"/>
          <w:szCs w:val="20"/>
        </w:rPr>
        <w:t xml:space="preserve">Table 4.1. Published recruitment funnels of re-entry programmes, latest available data</w:t>
      </w:r>
    </w:p>
    <w:p>
      <w:pPr>
        <w:spacing w:after="60"/>
      </w:pPr>
      <w:r>
        <w:rPr>
          <w:sz w:val="20"/>
          <w:szCs w:val="20"/>
        </w:rPr>
        <w:t xml:space="preserve">Table 4.2. Pension re-employment rules for retired teachers in selected systems</w:t>
      </w:r>
    </w:p>
    <w:p>
      <w:pPr>
        <w:spacing w:after="60"/>
      </w:pPr>
      <w:r>
        <w:rPr>
          <w:sz w:val="20"/>
          <w:szCs w:val="20"/>
        </w:rPr>
        <w:t xml:space="preserve">Table 5.1. Announced but not accounted for: re-entry measures without published uptake or outcome data</w:t>
      </w:r>
    </w:p>
    <w:p>
      <w:pPr>
        <w:spacing w:after="120" w:before="240"/>
      </w:pPr>
      <w:r>
        <w:rPr>
          <w:b/>
          <w:bCs/>
          <w:color w:val="4E81BD"/>
          <w:sz w:val="21"/>
          <w:szCs w:val="21"/>
        </w:rPr>
        <w:t xml:space="preserve">BOXES</w:t>
      </w:r>
    </w:p>
    <w:p>
      <w:pPr>
        <w:spacing w:after="60"/>
      </w:pPr>
      <w:r>
        <w:rPr>
          <w:sz w:val="20"/>
          <w:szCs w:val="20"/>
        </w:rPr>
        <w:t xml:space="preserve">Box 2.1. Counting former teachers: Michigan's certification registry (United States)</w:t>
      </w:r>
    </w:p>
    <w:p>
      <w:pPr>
        <w:spacing w:after="60"/>
      </w:pPr>
      <w:r>
        <w:rPr>
          <w:sz w:val="20"/>
          <w:szCs w:val="20"/>
        </w:rPr>
        <w:t xml:space="preserve">Box 3.1. Pension neutrality at scale: North Carolina's return-to-work window (United States)</w:t>
      </w:r>
    </w:p>
    <w:p>
      <w:pPr>
        <w:spacing w:after="60"/>
      </w:pPr>
      <w:r>
        <w:rPr>
          <w:sz w:val="20"/>
          <w:szCs w:val="20"/>
        </w:rPr>
        <w:t xml:space="preserve">Box 4.1. Interest without conversion: England's Return to Teaching pilot (2015-16)</w:t>
      </w:r>
    </w:p>
    <w:p>
      <w:pPr>
        <w:spacing w:after="60"/>
      </w:pPr>
      <w:r>
        <w:rPr>
          <w:sz w:val="20"/>
          <w:szCs w:val="20"/>
        </w:rPr>
        <w:t xml:space="preserve">Box 4.2. A subsidy the budget outlived: the Netherlands' herintreders scheme and its regional successors</w:t>
      </w:r>
    </w:p>
    <w:p>
      <w:pPr>
        <w:spacing w:after="60"/>
      </w:pPr>
      <w:r>
        <w:rPr>
          <w:sz w:val="20"/>
          <w:szCs w:val="20"/>
        </w:rPr>
        <w:t xml:space="preserve">Box 4.3. Reactivating retirees without a programme: Austria's regional outreach</w:t>
      </w:r>
    </w:p>
    <w:p>
      <w:pPr>
        <w:spacing w:after="60"/>
      </w:pPr>
      <w:r>
        <w:rPr>
          <w:sz w:val="20"/>
          <w:szCs w:val="20"/>
        </w:rPr>
        <w:t xml:space="preserve">Box 4.4. Recruiting retirees at scale: China's National Silver Age Teachers Action Plan</w:t>
      </w:r>
    </w:p>
    <w:p>
      <w:pPr>
        <w:spacing w:after="60"/>
      </w:pPr>
      <w:r>
        <w:rPr>
          <w:sz w:val="20"/>
          <w:szCs w:val="20"/>
        </w:rPr>
        <w:t xml:space="preserve">Box 4.5. Ontario: a re-employment cap moved in both directions</w:t>
      </w:r>
    </w:p>
    <w:p>
      <w:pPr>
        <w:pageBreakBefore/>
        <w:spacing w:after="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4E81BD" w:sz="8"/>
              <w:left w:val="single" w:color="4E81BD" w:sz="8"/>
              <w:bottom w:val="single" w:color="4E81BD" w:sz="8"/>
              <w:right w:val="single" w:color="4E81BD" w:sz="8"/>
            </w:tcBorders>
            <w:shd w:fill="EEECE1" w:val="clear"/>
            <w:tcMar>
              <w:top w:type="dxa" w:w="200"/>
              <w:left w:type="dxa" w:w="220"/>
              <w:bottom w:type="dxa" w:w="160"/>
              <w:right w:type="dxa" w:w="220"/>
            </w:tcMar>
          </w:tcPr>
          <w:p>
            <w:pPr>
              <w:spacing w:after="200"/>
            </w:pPr>
            <w:r>
              <w:rPr>
                <w:b/>
                <w:bCs/>
                <w:color w:val="4E81BD"/>
                <w:sz w:val="28"/>
                <w:szCs w:val="28"/>
              </w:rPr>
              <w:t xml:space="preserve">Key Take-Aways</w:t>
            </w:r>
          </w:p>
          <w:p>
            <w:pPr>
              <w:pStyle w:val="ListParagraph"/>
              <w:numPr>
                <w:ilvl w:val="0"/>
                <w:numId w:val="2"/>
              </w:numPr>
              <w:spacing w:after="120" w:line="252" w:lineRule="auto"/>
              <w:jc w:val="both"/>
            </w:pPr>
            <w:r>
              <w:rPr>
                <w:b/>
                <w:bCs/>
                <w:sz w:val="20"/>
                <w:szCs w:val="20"/>
              </w:rPr>
              <w:t xml:space="preserve">The reserve is real and large.</w:t>
            </w:r>
            <w:r>
              <w:rPr>
                <w:sz w:val="20"/>
                <w:szCs w:val="20"/>
              </w:rPr>
              <w:t xml:space="preserve"> Wherever registers permit a count, qualified former teachers outnumber measured shortages several times over, with some 62 000 in the Netherlands against a shortage of 13 600 full-time equivalents (Somers, Groot and van Merode, 2024b), 260 000 out of service in England (Worth, 2023) and 43% of Michigan's certified stock (Lindsay, Gnedko-Berry and Wan, 2021).</w:t>
            </w:r>
          </w:p>
          <w:p>
            <w:pPr>
              <w:pStyle w:val="ListParagraph"/>
              <w:numPr>
                <w:ilvl w:val="0"/>
                <w:numId w:val="2"/>
              </w:numPr>
              <w:spacing w:after="120" w:line="252" w:lineRule="auto"/>
              <w:jc w:val="both"/>
            </w:pPr>
            <w:r>
              <w:rPr>
                <w:b/>
                <w:bCs/>
                <w:sz w:val="20"/>
                <w:szCs w:val="20"/>
              </w:rPr>
              <w:t xml:space="preserve">Attrition, not expansion, drives shortages.</w:t>
            </w:r>
            <w:r>
              <w:rPr>
                <w:sz w:val="20"/>
                <w:szCs w:val="20"/>
              </w:rPr>
              <w:t xml:space="preserve"> More than half of the 44 million additional teachers the world needs by 2030 are replacements for leavers (UNESCO and International Task Force on Teachers for Education 2030, 2024); across 19 OECD systems, 6.5% of fully qualified teachers left the profession in 2022/23, and on average 51% of them resigned rather than retired (OECD, 2025a).</w:t>
            </w:r>
          </w:p>
          <w:p>
            <w:pPr>
              <w:pStyle w:val="ListParagraph"/>
              <w:numPr>
                <w:ilvl w:val="0"/>
                <w:numId w:val="2"/>
              </w:numPr>
              <w:spacing w:after="120" w:line="252" w:lineRule="auto"/>
              <w:jc w:val="both"/>
            </w:pPr>
            <w:r>
              <w:rPr>
                <w:b/>
                <w:bCs/>
                <w:sz w:val="20"/>
                <w:szCs w:val="20"/>
              </w:rPr>
              <w:t xml:space="preserve">Outside the United States, conditions outweigh pay.</w:t>
            </w:r>
            <w:r>
              <w:rPr>
                <w:sz w:val="20"/>
                <w:szCs w:val="20"/>
              </w:rPr>
              <w:t xml:space="preserve"> Leavers cite leadership, workload and work-life balance rather than salary, and Australian leavers report higher job satisfaction on lower wages after exit (Cuervo and Vera-Toscano, 2025). The United States is the documented exception, where salary leads the stated reasons for not returning (Lindsay, Gnedko-Berry and Wan, 2021).</w:t>
            </w:r>
          </w:p>
          <w:p>
            <w:pPr>
              <w:pStyle w:val="ListParagraph"/>
              <w:numPr>
                <w:ilvl w:val="0"/>
                <w:numId w:val="2"/>
              </w:numPr>
              <w:spacing w:after="120" w:line="252" w:lineRule="auto"/>
              <w:jc w:val="both"/>
            </w:pPr>
            <w:r>
              <w:rPr>
                <w:b/>
                <w:bCs/>
                <w:sz w:val="20"/>
                <w:szCs w:val="20"/>
              </w:rPr>
              <w:t xml:space="preserve">Returners want a different job, not the old one back.</w:t>
            </w:r>
            <w:r>
              <w:rPr>
                <w:sz w:val="20"/>
                <w:szCs w:val="20"/>
              </w:rPr>
              <w:t xml:space="preserve"> The stated price of return is part-time posts, control over working hours and a lighter administrative load; England's "career breakers" returned at twice the rate of other leaver types and sought part-time posts schools rarely advertised (Buchanan et al., 2018; Worth and Sharp, 2018).</w:t>
            </w:r>
          </w:p>
          <w:p>
            <w:pPr>
              <w:pStyle w:val="ListParagraph"/>
              <w:numPr>
                <w:ilvl w:val="0"/>
                <w:numId w:val="2"/>
              </w:numPr>
              <w:spacing w:after="120" w:line="252" w:lineRule="auto"/>
              <w:jc w:val="both"/>
            </w:pPr>
            <w:r>
              <w:rPr>
                <w:b/>
                <w:bCs/>
                <w:sz w:val="20"/>
                <w:szCs w:val="20"/>
              </w:rPr>
              <w:t xml:space="preserve">For retirees, the pension re-employment rules are most of the policy.</w:t>
            </w:r>
            <w:r>
              <w:rPr>
                <w:sz w:val="20"/>
                <w:szCs w:val="20"/>
              </w:rPr>
              <w:t xml:space="preserve"> North Carolina's pension-neutral window (1999-2009) brought back around 3 500 retirees, disproportionately into high-need schools (Jarrold-Grapes and Mahler, 2024); Georgia's stacked eligibility conditions produced 635 full-time rehires over three years (Georgia Department of Audits and Accounts, 2025).</w:t>
            </w:r>
          </w:p>
          <w:p>
            <w:pPr>
              <w:pStyle w:val="ListParagraph"/>
              <w:numPr>
                <w:ilvl w:val="0"/>
                <w:numId w:val="2"/>
              </w:numPr>
              <w:spacing w:after="120" w:line="252" w:lineRule="auto"/>
              <w:jc w:val="both"/>
            </w:pPr>
            <w:r>
              <w:rPr>
                <w:b/>
                <w:bCs/>
                <w:sz w:val="20"/>
                <w:szCs w:val="20"/>
              </w:rPr>
              <w:t xml:space="preserve">Preventing an exit is far easier than reversing one.</w:t>
            </w:r>
            <w:r>
              <w:rPr>
                <w:sz w:val="20"/>
                <w:szCs w:val="20"/>
              </w:rPr>
              <w:t xml:space="preserve"> Portugal ran both margins side by side in 2024-26, when 63 retirees returned against a target of 200 while some 2 200 teachers took a EUR 750 monthly supplement to postpone retirement (Diário de Notícias, 2024; RTP, 2026).</w:t>
            </w:r>
          </w:p>
          <w:p>
            <w:pPr>
              <w:pStyle w:val="ListParagraph"/>
              <w:numPr>
                <w:ilvl w:val="0"/>
                <w:numId w:val="2"/>
              </w:numPr>
              <w:spacing w:after="120" w:line="252" w:lineRule="auto"/>
              <w:jc w:val="both"/>
            </w:pPr>
            <w:r>
              <w:rPr>
                <w:b/>
                <w:bCs/>
                <w:sz w:val="20"/>
                <w:szCs w:val="20"/>
              </w:rPr>
              <w:t xml:space="preserve">Interest is cheap; conversion is the constraint.</w:t>
            </w:r>
            <w:r>
              <w:rPr>
                <w:sz w:val="20"/>
                <w:szCs w:val="20"/>
              </w:rPr>
              <w:t xml:space="preserve"> England's Return to Teaching pilot drew 5 729 registrations of interest and produced 27 permanent appointments in target subjects, at an estimated GBP 37 400 per additional returner (Buchanan et al., 2018). Support must sit inside the hiring calendar and be tied to actual vacancies.</w:t>
            </w:r>
          </w:p>
          <w:p>
            <w:pPr>
              <w:pStyle w:val="ListParagraph"/>
              <w:numPr>
                <w:ilvl w:val="0"/>
                <w:numId w:val="2"/>
              </w:numPr>
              <w:spacing w:after="120" w:line="252" w:lineRule="auto"/>
              <w:jc w:val="both"/>
            </w:pPr>
            <w:r>
              <w:rPr>
                <w:b/>
                <w:bCs/>
                <w:sz w:val="20"/>
                <w:szCs w:val="20"/>
              </w:rPr>
              <w:t xml:space="preserve">The best returner database is the employer's own records.</w:t>
            </w:r>
            <w:r>
              <w:rPr>
                <w:sz w:val="20"/>
                <w:szCs w:val="20"/>
              </w:rPr>
              <w:t xml:space="preserve"> New South Wales wrote to more than 1 500 recent leavers, bundled re-accreditation into one supported process and placed 145 returners in casual and temporary roles covering more than 600 schools (NSW Government, 2024).</w:t>
            </w:r>
          </w:p>
          <w:p>
            <w:pPr>
              <w:pStyle w:val="ListParagraph"/>
              <w:numPr>
                <w:ilvl w:val="0"/>
                <w:numId w:val="2"/>
              </w:numPr>
              <w:spacing w:after="120" w:line="252" w:lineRule="auto"/>
              <w:jc w:val="both"/>
            </w:pPr>
            <w:r>
              <w:rPr>
                <w:b/>
                <w:bCs/>
                <w:sz w:val="20"/>
                <w:szCs w:val="20"/>
              </w:rPr>
              <w:t xml:space="preserve">In support roles, retiree tutoring works; retiree mentoring is unproven.</w:t>
            </w:r>
            <w:r>
              <w:rPr>
                <w:sz w:val="20"/>
                <w:szCs w:val="20"/>
              </w:rPr>
              <w:t xml:space="preserve"> Retired and substitute tutors reproduced strong numeracy effects at scale (effect size 0.34; Gersten et al., 2015), while the one randomised trial of retirees as new-teacher mentors found no significant effects under What Works Clearinghouse standards (DeCesare, McClelland and Randel, 2017; What Works Clearinghouse, 2019).</w:t>
            </w:r>
          </w:p>
          <w:p>
            <w:pPr>
              <w:pStyle w:val="ListParagraph"/>
              <w:numPr>
                <w:ilvl w:val="0"/>
                <w:numId w:val="2"/>
              </w:numPr>
              <w:spacing w:after="120" w:line="252" w:lineRule="auto"/>
              <w:jc w:val="both"/>
            </w:pPr>
            <w:r>
              <w:rPr>
                <w:b/>
                <w:bCs/>
                <w:sz w:val="20"/>
                <w:szCs w:val="20"/>
              </w:rPr>
              <w:t xml:space="preserve">No study yet prices a re-entry incentive causally, and most measures go uncounted.</w:t>
            </w:r>
            <w:r>
              <w:rPr>
                <w:sz w:val="20"/>
                <w:szCs w:val="20"/>
              </w:rPr>
              <w:t xml:space="preserve"> The modal re-entry measure publishes a launch announcement and nothing afterwards; every new instrument should carry a sunset date, a mandated uptake count and an arms-length review from birth.</w:t>
            </w:r>
          </w:p>
        </w:tc>
      </w:tr>
    </w:tbl>
    <w:p>
      <w:pPr>
        <w:pStyle w:val="Heading1"/>
        <w:pageBreakBefore/>
      </w:pPr>
      <w:r>
        <w:t xml:space="preserve">1. Introduction</w:t>
      </w:r>
    </w:p>
    <w:p>
      <w:pPr>
        <w:spacing w:after="160" w:line="264" w:lineRule="auto"/>
        <w:jc w:val="both"/>
      </w:pPr>
      <w:r>
        <w:t xml:space="preserve">Education systems are running short of teachers, and the shortfall is no longer anecdotal. UNESCO estimates that the world needs 44 million additional primary and secondary teachers by 2030, about seven in ten of them at secondary level, and that more than half of the total is required simply to replace teachers who leave the profession (UNESCO and International Task Force on Teachers for Education 2030, 2024). Attrition, not expansion, drives most of the global gap. This working paper examines a neglected way of narrowing it, namely bringing former teachers back into service.</w:t>
      </w:r>
    </w:p>
    <w:p>
      <w:pPr>
        <w:pStyle w:val="Heading2"/>
      </w:pPr>
      <w:r>
        <w:t xml:space="preserve">1.1. Shortages are large, measurable and driven by attrition</w:t>
      </w:r>
    </w:p>
    <w:p>
      <w:pPr>
        <w:spacing w:after="160" w:line="264" w:lineRule="auto"/>
        <w:jc w:val="both"/>
      </w:pPr>
      <w:r>
        <w:t xml:space="preserve">The global figures bear the attrition diagnosis out. The share of primary teachers leaving the profession worldwide nearly doubled between 2015 and 2022, from 4.62% to 9.06%, with departures concentrated in the first five years of service (UNESCO and International Task Force on Teachers for Education 2030, 2024). Sub-Saharan Africa alone accounts for 15 million of the 44 million teachers needed. High-income systems are not spared. Across OECD countries, the share of students in schools whose principals reported that instruction is hindered by a lack of teaching staff rose from 26% in PISA 2018 to 47% in PISA 2022, an increase of 21 percentage points (OECD, 2023b; OECD, 2025a). Among OECD countries the rise exceeded 30 percentage points in Australia, Belgium, Chile, France, Latvia, the Netherlands, Poland and Portugal; among partner economies, Cambodia and Guatemala crossed the same threshold (OECD, 2023b). The OECD itself cautions that this is a perception measure reported by principals rather than an objective vacancy count.</w:t>
      </w:r>
    </w:p>
    <w:p>
      <w:pPr>
        <w:spacing w:after="160" w:line="264" w:lineRule="auto"/>
        <w:jc w:val="both"/>
      </w:pPr>
      <w:r>
        <w:t xml:space="preserve">The administrative margins are narrower but point the same way. At the start of the 2022/23 school year, unfilled teaching posts numbered 4 778 in Austria (4.6% of positions) and 6 704 in Sweden (5.0%), while 12 of the 14 OECD systems able to report kept vacancies below 3% of the workforce (OECD, 2025a). Attrition data cover 19 OECD systems. On average, 6.5% of fully qualified teachers left the profession in 2022/23, ranging from below 3% in France, Greece, Ireland and Israel to above 10% in Denmark, Estonia and Lithuania (OECD, 2025a). Perceived shortage, unfilled posts and attrition are different margins, and systems stressed on one can look unremarkable on another; Table 1.1 presents them as complements rather than a single ranking.</w:t>
      </w:r>
    </w:p>
    <w:p>
      <w:pPr>
        <w:spacing w:after="160" w:line="264" w:lineRule="auto"/>
        <w:jc w:val="both"/>
      </w:pPr>
      <w:r>
        <w:t xml:space="preserve">Teacher-reported evidence suggests the pressure will persist. In TALIS 2024, 23% of teachers worked in schools where a shortage of qualified teachers was reported to limit the school's capacity to provide quality instruction, a share reaching around half in Bahrain, Latvia and the Netherlands and staying below 10% in eight education systems (OECD, 2025b). Looking ahead, 17% of teachers who are not close to retirement intend to leave the profession within five years, and among teachers under 30 the share is two in ten (OECD, 2025b).</w:t>
      </w:r>
    </w:p>
    <w:p>
      <w:pPr>
        <w:keepNext/>
        <w:spacing w:after="120" w:before="200"/>
      </w:pPr>
      <w:r>
        <w:rPr>
          <w:b/>
          <w:bCs/>
          <w:color w:val="4E81BD"/>
          <w:sz w:val="21"/>
          <w:szCs w:val="21"/>
        </w:rPr>
        <w:t xml:space="preserve">Table 1.1. Headline indicators of teacher shortage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84"/>
        <w:gridCol w:w="2994"/>
        <w:gridCol w:w="2994"/>
      </w:tblGrid>
      <w:tr>
        <w:trPr>
          <w:tblHeader/>
        </w:trPr>
        <w:tc>
          <w:tcPr>
            <w:tcW w:type="dxa" w:w="3084"/>
            <w:tcBorders>
              <w:top w:val="single" w:color="000000" w:sz="6"/>
              <w:left w:val="none" w:color="FFFFFF" w:sz="0"/>
              <w:bottom w:val="single" w:color="000000" w:sz="6"/>
              <w:right w:val="none" w:color="FFFFFF" w:sz="0"/>
            </w:tcBorders>
            <w:shd w:fill="D2D2D2" w:val="clear"/>
            <w:tcMar>
              <w:top w:type="dxa" w:w="40"/>
              <w:left w:type="dxa" w:w="80"/>
              <w:bottom w:type="dxa" w:w="40"/>
              <w:right w:type="dxa" w:w="80"/>
            </w:tcMar>
            <w:vAlign w:val="center"/>
          </w:tcPr>
          <w:p>
            <w:pPr>
              <w:spacing w:after="0"/>
              <w:jc w:val="left"/>
            </w:pPr>
            <w:r>
              <w:rPr>
                <w:b/>
                <w:bCs/>
                <w:sz w:val="19"/>
                <w:szCs w:val="19"/>
              </w:rPr>
              <w:t xml:space="preserve">Indicator</w:t>
            </w:r>
          </w:p>
        </w:tc>
        <w:tc>
          <w:tcPr>
            <w:tcW w:type="dxa" w:w="2994"/>
            <w:tcBorders>
              <w:top w:val="single" w:color="000000" w:sz="6"/>
              <w:left w:val="none" w:color="FFFFFF" w:sz="0"/>
              <w:bottom w:val="single" w:color="000000" w:sz="6"/>
              <w:right w:val="none" w:color="FFFFFF" w:sz="0"/>
            </w:tcBorders>
            <w:shd w:fill="D2D2D2" w:val="clear"/>
            <w:tcMar>
              <w:top w:type="dxa" w:w="40"/>
              <w:left w:type="dxa" w:w="80"/>
              <w:bottom w:type="dxa" w:w="40"/>
              <w:right w:type="dxa" w:w="80"/>
            </w:tcMar>
            <w:vAlign w:val="center"/>
          </w:tcPr>
          <w:p>
            <w:pPr>
              <w:spacing w:after="0"/>
              <w:jc w:val="left"/>
            </w:pPr>
            <w:r>
              <w:rPr>
                <w:b/>
                <w:bCs/>
                <w:sz w:val="19"/>
                <w:szCs w:val="19"/>
              </w:rPr>
              <w:t xml:space="preserve">Average or global figure</w:t>
            </w:r>
          </w:p>
        </w:tc>
        <w:tc>
          <w:tcPr>
            <w:tcW w:type="dxa" w:w="2994"/>
            <w:tcBorders>
              <w:top w:val="single" w:color="000000" w:sz="6"/>
              <w:left w:val="none" w:color="FFFFFF" w:sz="0"/>
              <w:bottom w:val="single" w:color="000000" w:sz="6"/>
              <w:right w:val="none" w:color="FFFFFF" w:sz="0"/>
            </w:tcBorders>
            <w:shd w:fill="D2D2D2" w:val="clear"/>
            <w:tcMar>
              <w:top w:type="dxa" w:w="40"/>
              <w:left w:type="dxa" w:w="80"/>
              <w:bottom w:type="dxa" w:w="40"/>
              <w:right w:type="dxa" w:w="80"/>
            </w:tcMar>
            <w:vAlign w:val="center"/>
          </w:tcPr>
          <w:p>
            <w:pPr>
              <w:spacing w:after="0"/>
              <w:jc w:val="left"/>
            </w:pPr>
            <w:r>
              <w:rPr>
                <w:b/>
                <w:bCs/>
                <w:sz w:val="19"/>
                <w:szCs w:val="19"/>
              </w:rPr>
              <w:t xml:space="preserve">Range across systems</w:t>
            </w:r>
          </w:p>
        </w:tc>
      </w:tr>
      <w:tr>
        <w:trPr>
          <w:tblHeader w:val="false"/>
        </w:trPr>
        <w:tc>
          <w:tcPr>
            <w:tcW w:type="dxa" w:w="308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Additional teachers needed worldwide by 2030</w:t>
            </w:r>
          </w:p>
        </w:tc>
        <w:tc>
          <w:tcPr>
            <w:tcW w:type="dxa" w:w="29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44 million</w:t>
            </w:r>
          </w:p>
        </w:tc>
        <w:tc>
          <w:tcPr>
            <w:tcW w:type="dxa" w:w="29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15 million in sub-Saharan Africa alone</w:t>
            </w:r>
          </w:p>
        </w:tc>
      </w:tr>
      <w:tr>
        <w:trPr>
          <w:tblHeader w:val="false"/>
        </w:trPr>
        <w:tc>
          <w:tcPr>
            <w:tcW w:type="dxa" w:w="308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Students in schools whose principal reports instruction hindered by lack of teaching staff (PISA)</w:t>
            </w:r>
          </w:p>
        </w:tc>
        <w:tc>
          <w:tcPr>
            <w:tcW w:type="dxa" w:w="29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47% in 2022, up from 26% in 2018 (OECD average)</w:t>
            </w:r>
          </w:p>
        </w:tc>
        <w:tc>
          <w:tcPr>
            <w:tcW w:type="dxa" w:w="29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Increase above 30 percentage points in eight OECD countries</w:t>
            </w:r>
          </w:p>
        </w:tc>
      </w:tr>
      <w:tr>
        <w:trPr>
          <w:tblHeader w:val="false"/>
        </w:trPr>
        <w:tc>
          <w:tcPr>
            <w:tcW w:type="dxa" w:w="308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Fully qualified teachers who left the profession in 2022/23 (19 OECD systems)</w:t>
            </w:r>
          </w:p>
        </w:tc>
        <w:tc>
          <w:tcPr>
            <w:tcW w:type="dxa" w:w="29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6.5%</w:t>
            </w:r>
          </w:p>
        </w:tc>
        <w:tc>
          <w:tcPr>
            <w:tcW w:type="dxa" w:w="29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Below 3% in France, Greece, Ireland and Israel; above 10% in Denmark, Estonia and Lithuania</w:t>
            </w:r>
          </w:p>
        </w:tc>
      </w:tr>
      <w:tr>
        <w:trPr>
          <w:tblHeader w:val="false"/>
        </w:trPr>
        <w:tc>
          <w:tcPr>
            <w:tcW w:type="dxa" w:w="308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Teaching posts unfilled at the start of the school year (14 OECD systems)</w:t>
            </w:r>
          </w:p>
        </w:tc>
        <w:tc>
          <w:tcPr>
            <w:tcW w:type="dxa" w:w="29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1.6% of positions</w:t>
            </w:r>
          </w:p>
        </w:tc>
        <w:tc>
          <w:tcPr>
            <w:tcW w:type="dxa" w:w="29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Below 3% in 12 of 14 systems; Austria 4.6%, Sweden 5.0%</w:t>
            </w:r>
          </w:p>
        </w:tc>
      </w:tr>
      <w:tr>
        <w:trPr>
          <w:tblHeader w:val="false"/>
        </w:trPr>
        <w:tc>
          <w:tcPr>
            <w:tcW w:type="dxa" w:w="3084"/>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jc w:val="left"/>
            </w:pPr>
            <w:r>
              <w:rPr>
                <w:sz w:val="19"/>
                <w:szCs w:val="19"/>
              </w:rPr>
              <w:t xml:space="preserve">Teachers in schools where a shortage of qualified teachers limits quality instruction (TALIS 2024)</w:t>
            </w:r>
          </w:p>
        </w:tc>
        <w:tc>
          <w:tcPr>
            <w:tcW w:type="dxa" w:w="2994"/>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jc w:val="left"/>
            </w:pPr>
            <w:r>
              <w:rPr>
                <w:sz w:val="19"/>
                <w:szCs w:val="19"/>
              </w:rPr>
              <w:t xml:space="preserve">23%</w:t>
            </w:r>
          </w:p>
        </w:tc>
        <w:tc>
          <w:tcPr>
            <w:tcW w:type="dxa" w:w="2994"/>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jc w:val="left"/>
            </w:pPr>
            <w:r>
              <w:rPr>
                <w:sz w:val="19"/>
                <w:szCs w:val="19"/>
              </w:rPr>
              <w:t xml:space="preserve">Around 50% in Bahrain, Latvia and the Netherlands; below 10% in eight systems</w:t>
            </w:r>
          </w:p>
        </w:tc>
      </w:tr>
    </w:tbl>
    <w:p>
      <w:pPr>
        <w:spacing w:after="120"/>
      </w:pPr>
    </w:p>
    <w:p>
      <w:pPr>
        <w:spacing w:after="60"/>
        <w:jc w:val="left"/>
      </w:pPr>
      <w:r>
        <w:rPr>
          <w:sz w:val="17"/>
          <w:szCs w:val="17"/>
        </w:rPr>
        <w:t xml:space="preserve">Note: The PISA and TALIS measures reflect principals' perceptions, not vacancy counts. Vacancy and attrition figures cover only the OECD systems able to report them, and national definitions of vacancies and attrition differ.</w:t>
      </w:r>
    </w:p>
    <w:p>
      <w:pPr>
        <w:spacing w:after="60"/>
        <w:jc w:val="left"/>
      </w:pPr>
      <w:r>
        <w:rPr>
          <w:sz w:val="17"/>
          <w:szCs w:val="17"/>
        </w:rPr>
        <w:t xml:space="preserve">Source: UNESCO and International Task Force on Teachers for Education 2030 (2024); OECD (2023b), </w:t>
      </w:r>
      <w:r>
        <w:rPr>
          <w:i/>
          <w:iCs/>
          <w:sz w:val="17"/>
          <w:szCs w:val="17"/>
        </w:rPr>
        <w:t xml:space="preserve">PISA 2022 Results (Volume II)</w:t>
      </w:r>
      <w:r>
        <w:rPr>
          <w:sz w:val="17"/>
          <w:szCs w:val="17"/>
        </w:rPr>
        <w:t xml:space="preserve">, Figure II.5.3; OECD (2025a), </w:t>
      </w:r>
      <w:r>
        <w:rPr>
          <w:i/>
          <w:iCs/>
          <w:sz w:val="17"/>
          <w:szCs w:val="17"/>
        </w:rPr>
        <w:t xml:space="preserve">Education at a Glance 2025</w:t>
      </w:r>
      <w:r>
        <w:rPr>
          <w:sz w:val="17"/>
          <w:szCs w:val="17"/>
        </w:rPr>
        <w:t xml:space="preserve">, Tables D8.3 and D8.4; OECD (2025b), </w:t>
      </w:r>
      <w:r>
        <w:rPr>
          <w:i/>
          <w:iCs/>
          <w:sz w:val="17"/>
          <w:szCs w:val="17"/>
        </w:rPr>
        <w:t xml:space="preserve">Results from TALIS 2024</w:t>
      </w:r>
      <w:r>
        <w:rPr>
          <w:sz w:val="17"/>
          <w:szCs w:val="17"/>
        </w:rPr>
        <w:t xml:space="preserve">, Tables 1.17 and 1.19.</w:t>
      </w:r>
    </w:p>
    <w:p>
      <w:pPr>
        <w:pStyle w:val="Heading2"/>
      </w:pPr>
      <w:r>
        <w:t xml:space="preserve">1.2. Classrooms are diversifying faster than teacher preparation</w:t>
      </w:r>
    </w:p>
    <w:p>
      <w:pPr>
        <w:spacing w:after="160" w:line="264" w:lineRule="auto"/>
        <w:jc w:val="both"/>
      </w:pPr>
      <w:r>
        <w:t xml:space="preserve">The workforce squeeze coincides with a compositional change in classrooms. In PISA 2022, 13% of 15-year-old students across the OECD had an immigrant background, a share that had risen in 20 countries and economies since 2012; in Germany it doubled, from 13% to 26% (OECD, 2023a). In TALIS 2018, 27% of teachers across the OECD taught in classes where at least one student in ten had formally identified special educational needs, and 18% taught classes where at least one student in ten had a first language different from the language of instruction (OECD, 2019).</w:t>
      </w:r>
    </w:p>
    <w:p>
      <w:pPr>
        <w:spacing w:after="160" w:line="264" w:lineRule="auto"/>
        <w:jc w:val="both"/>
      </w:pPr>
      <w:r>
        <w:t xml:space="preserve">Preparation has not kept pace. Teaching in multicultural or multilingual settings was part of initial teacher education for only 35% of teachers across OECD countries in TALIS 2018, one of the least covered elements of formal training (OECD, 2019). Six years later the picture was essentially unchanged. In TALIS 2024, just 33% of recent graduates felt prepared to teach in multicultural or multilingual settings, the area in which they felt least prepared (OECD, 2025b). Teaching students with special educational needs remains the second most common area of high professional development need, reported by one in four teachers and exceeded only by the use of artificial intelligence (29%), while 33% of teachers work in schools where a shortage of teachers competent in teaching such students is reported to hinder quality instruction (OECD, 2025b). The shortage is therefore qualitative as well as numerical. Even where posts are filled, the preparation of those in them lags behind the classrooms they face.</w:t>
      </w:r>
    </w:p>
    <w:p>
      <w:pPr>
        <w:pStyle w:val="Heading2"/>
      </w:pPr>
      <w:r>
        <w:t xml:space="preserve">1.3. An under-used response: re-attracting former teachers</w:t>
      </w:r>
    </w:p>
    <w:p>
      <w:pPr>
        <w:spacing w:after="160" w:line="264" w:lineRule="auto"/>
        <w:jc w:val="both"/>
      </w:pPr>
      <w:r>
        <w:t xml:space="preserve">Policy responses have concentrated on recruiting new candidates into initial teacher education and on retaining serving teachers. A third channel has sat in the OECD teacher-policy canon for two decades and remains thinly exploited. </w:t>
      </w:r>
      <w:r>
        <w:rPr>
          <w:i/>
          <w:iCs/>
        </w:rPr>
        <w:t xml:space="preserve">Teachers Matter</w:t>
      </w:r>
      <w:r>
        <w:t xml:space="preserve"> identified former teachers as "a potentially important source of recruits", observing that returners already made up about a quarter of the full-time inflow into the United Kingdom's maintained school sector in 2000/01 (OECD, 2005). </w:t>
      </w:r>
      <w:r>
        <w:rPr>
          <w:i/>
          <w:iCs/>
        </w:rPr>
        <w:t xml:space="preserve">Education Policy Outlook 2024</w:t>
      </w:r>
      <w:r>
        <w:t xml:space="preserve"> lists supporting the re-entry of teachers who left the profession as one of four levers for expanding supply, while noting that many systems lack even basic data on the number, characteristics and motivations of potential returnees (OECD, 2024). </w:t>
      </w:r>
      <w:r>
        <w:rPr>
          <w:i/>
          <w:iCs/>
        </w:rPr>
        <w:t xml:space="preserve">Education at a Glance 2025</w:t>
      </w:r>
      <w:r>
        <w:t xml:space="preserve"> records that pathways back into the profession exist in most countries (OECD, 2025a).</w:t>
      </w:r>
    </w:p>
    <w:p>
      <w:pPr>
        <w:spacing w:after="160" w:line="264" w:lineRule="auto"/>
        <w:jc w:val="both"/>
      </w:pPr>
      <w:r>
        <w:t xml:space="preserve">Wherever registers permit a count, the pool is substantial. In the Netherlands, just over 62 000 people who qualified after 2000 hold a teaching qualification but work outside education, against a combined shortage of 13 600 full-time equivalent posts at the end of 2023; on the authors' arithmetic, a full-time return by 22% of this reserve would close the shortage entirely (Somers, Groot and van Merode, 2024b). England, Michigan and Australia count reserves of comparable relative size, examined in Chapter 2, and over half of Australia's non-teaching registered teachers say they would consider returning under the right circumstances (AITSL, 2025). The pool is also largely of working age, since across 19 OECD systems about half (51%) of the fully qualified teachers who left in 2022/23 resigned rather than retired (OECD, 2025a).</w:t>
      </w:r>
    </w:p>
    <w:p>
      <w:pPr>
        <w:spacing w:after="160" w:line="264" w:lineRule="auto"/>
        <w:jc w:val="both"/>
      </w:pPr>
      <w:r>
        <w:t xml:space="preserve">Former teachers are nonetheless two distinct populations, working-age leavers and retirees, and the classroom is not the only place the second group can serve. Retired teachers carry accumulated craft in classroom management and curriculum design that systems otherwise lose at retirement, and mentoring and tutoring roles offer a way of passing it on without a return to a full timetable; Australia, for instance, is examining returns into alternative roles beyond classroom teaching, such as mentoring (OECD, 2024). Chapter 4 reviews the evidence on such roles alongside conventional re-entry schemes.</w:t>
      </w:r>
    </w:p>
    <w:p>
      <w:pPr>
        <w:spacing w:after="160" w:line="264" w:lineRule="auto"/>
        <w:jc w:val="both"/>
      </w:pPr>
      <w:r>
        <w:t xml:space="preserve">This working paper provides a first cross-country synthesis of re-entry policy for former teachers in which reported programme take-up has been verified against official, audited or administrative sources, rather than against launch announcements. It is written for policymakers who must decide whether, and how, to invest in this channel. The remainder of the paper proceeds as follows. Chapter 2 examines why teachers leave, where they go, and the reserve of qualified former teachers that exit creates, drawing on register and certification data. Chapter 3 asks what would bring them back, distinguishing working-age leavers from retirees and reviewing what the causal literature on incentives can and cannot support. Chapter 4 reviews re-entry programmes across countries, together with the pension, licensure and re-employment rules within which they operate and the evidence on retired teachers as tutors and mentors, with attention throughout to verified uptake. Chapter 5 draws together the design lessons for policy.</w:t>
      </w:r>
    </w:p>
    <w:p>
      <w:pPr>
        <w:pStyle w:val="Heading1"/>
        <w:pageBreakBefore/>
      </w:pPr>
      <w:r>
        <w:t xml:space="preserve">2. Why teachers leave and where they go</w:t>
      </w:r>
    </w:p>
    <w:p>
      <w:pPr>
        <w:spacing w:after="160" w:line="264" w:lineRule="auto"/>
        <w:jc w:val="both"/>
      </w:pPr>
      <w:r>
        <w:t xml:space="preserve">Every teacher who leaves the profession is a potential returner, which makes the pattern of exits the natural starting point for a paper on re-entry. The evidence assembled here supports three generalisations. First, attrition in most OECD systems is unremarkable by the standards of comparable professions, but heavily concentrated in particular schools, subjects and career stages, and compounded by unusually early retirement. Second, outside the United States, teachers who leave overwhelmingly cite working conditions rather than pay. Third, most leavers remain in work, often close to education, and rarely for higher earnings. Together these patterns produce the stock this paper is concerned with, since every system that can count its qualified non-teachers finds a pool that dwarfs its measured shortage.</w:t>
      </w:r>
    </w:p>
    <w:p>
      <w:pPr>
        <w:pStyle w:val="Heading2"/>
      </w:pPr>
      <w:r>
        <w:t xml:space="preserve">2.1. The scale of attrition and how it compares with other professions</w:t>
      </w:r>
    </w:p>
    <w:p>
      <w:pPr>
        <w:spacing w:after="160" w:line="264" w:lineRule="auto"/>
        <w:jc w:val="both"/>
      </w:pPr>
      <w:r>
        <w:t xml:space="preserve">Teachers do not abandon their occupation at exceptional rates. Pooling United States Current Population Survey data for 1992-2001, Harris and Adams (2007) estimate an annual probability of leaving teaching of 7.7%, against 6.1% for nurses, 8.0% for accountants and 14.9% for social workers, with the remaining gaps narrowing when only public school teachers are compared. Aldeman and Yi (2025) reproduce the pattern with 2015-2024 data from the same survey, finding that 7.6% of US teachers left the occupation annually, a rate they describe as broadly stable across four decades; the pandemic spike, from 6.5% in 2019 to 9.8% in 2020, had unwound to 7.7% by 2023-24. The official federal survey shows 8% of public school teachers leaving between 2020-21 and 2021-22, not statistically different from 2012-13 (NCES, 2023).</w:t>
      </w:r>
    </w:p>
    <w:p>
      <w:pPr>
        <w:spacing w:after="160" w:line="264" w:lineRule="auto"/>
        <w:jc w:val="both"/>
      </w:pPr>
      <w:r>
        <w:t xml:space="preserve">Averages of this kind conceal where the problem sits. Total US turnover, counting teachers who changed schools as well as those who left teaching, was 15.1% in 2021-22 (8.0% movers, 7.1% leavers), and about 74% of departures were voluntary and unrelated to retirement (Tan et al., 2026). Turnover was 35-37% higher in schools serving the largest concentrations of low-income students and students of colour, ran at 20.1% among uncertified teachers against 14.7% among the certified, and reached 17.7-17.8% in city and charter schools (Tan et al., 2026). In the United States, attrition is less a level problem than a distribution problem.</w:t>
      </w:r>
    </w:p>
    <w:p>
      <w:pPr>
        <w:spacing w:after="160" w:line="264" w:lineRule="auto"/>
        <w:jc w:val="both"/>
      </w:pPr>
      <w:r>
        <w:t xml:space="preserve">Across countries, the level itself varies by a factor of more than three. According to </w:t>
      </w:r>
      <w:r>
        <w:rPr>
          <w:i/>
          <w:iCs/>
        </w:rPr>
        <w:t xml:space="preserve">Education at a Glance 2025</w:t>
      </w:r>
      <w:r>
        <w:t xml:space="preserve">, an average of 6.5% of fully qualified teachers across 19 OECD countries and economies with data left the profession in 2022/23, from below 3% in France, Greece, Ireland and Israel to over 10% in Denmark, Estonia and Lithuania (OECD, 2025a). On average 51% of those who left resigned rather than retired; resignations exceeded 80% of departures in Denmark, England (United Kingdom) and Estonia, whereas retirements predominated in France, the French Community of Belgium, Greece, Ireland and Israel (OECD, 2025a). Among the seven OECD countries with seniority data, one in three resigning teachers had less than five years of experience (OECD, 2025a). National series fit within this span. Australia's annual leaving rate stood at 11.6% in 2022, down from a peak of 16.3% in 2012 (Cuervo and Vera-Toscano, 2025). In England, around 10% of teachers leave the state-funded sector each year (Worth, Bamford and Durbin, 2015); 40 800 full-time-equivalent teachers, or 9.0%, left in 2023/24 (Department for Education, 2025a). Beyond the OECD the trend is less benign, with global primary-teacher attrition nearly doubling from 4.62% in 2015 to 9.06% in 2022 (UNESCO and International Task Force on Teachers for Education 2030, 2024).</w:t>
      </w:r>
    </w:p>
    <w:p>
      <w:pPr>
        <w:spacing w:after="160" w:line="264" w:lineRule="auto"/>
        <w:jc w:val="both"/>
      </w:pPr>
      <w:r>
        <w:t xml:space="preserve">What does distinguish teaching from comparable professions is when its members retire. Harris and Adams (2007) find teacher turnover relatively high among older teachers because they retire considerably earlier than other professionals, and Costrell and Podgursky (2009) trace the mechanism to pension design; in the six US state systems they examine, pension wealth accrues in a highly non-linear way, spiking in the mid-to-late fifties and then flattening or turning negative. That segment matters for what follows, because pension-incentivised early retirees are precisely the pool that re-entry and mentoring programmes target.</w:t>
      </w:r>
    </w:p>
    <w:p>
      <w:pPr>
        <w:pStyle w:val="Heading2"/>
      </w:pPr>
      <w:r>
        <w:t xml:space="preserve">2.2. Why teachers leave</w:t>
      </w:r>
    </w:p>
    <w:p>
      <w:pPr>
        <w:spacing w:after="160" w:line="264" w:lineRule="auto"/>
        <w:jc w:val="both"/>
      </w:pPr>
      <w:r>
        <w:t xml:space="preserve">In every system with credible leaver evidence except the United States, working conditions outweigh pay as the reason teachers give for leaving. The correlates of attrition identified in the US literature cluster into personal characteristics, school factors such as leadership and working conditions, and external policy factors (Nguyen et al., 2020); what differs across systems is the relative weight of these clusters at the point of exit.</w:t>
      </w:r>
    </w:p>
    <w:p>
      <w:pPr>
        <w:spacing w:after="160" w:line="264" w:lineRule="auto"/>
        <w:jc w:val="both"/>
      </w:pPr>
      <w:r>
        <w:t xml:space="preserve">The Australian evidence is the most detailed. In a national survey of 256 former teachers who left between 2016 and 2022, the most frequently cited reasons were school leadership issues (17.7%) and workload (16.6%), followed by workplace environment (9.7%) and student behaviour (7.4%); pay barely features, and leaving was typically protracted and multi-causal rather than a single rupture (Brandenburg et al., 2024). Twenty years of HILDA panel data point the same way. Exits are closely associated with high stress, heavy workloads and inadequate work-life balance, and leavers' job satisfaction declines steadily in the years before departure, which suggests exit can be anticipated well before it happens (Cuervo and Vera-Toscano, 2025).</w:t>
      </w:r>
    </w:p>
    <w:p>
      <w:pPr>
        <w:spacing w:after="160" w:line="264" w:lineRule="auto"/>
        <w:jc w:val="both"/>
      </w:pPr>
      <w:r>
        <w:t xml:space="preserve">Stress operates OECD-wide. In TALIS 2018, 18% of lower secondary teachers reported experiencing a lot of stress at work, and those teachers were about twice as likely to report an intention to stop teaching within five years (OECD, 2020). In TALIS 2024, 19% of teachers reported high stress, and stress arising from student discipline and intimidation was more closely associated with the intention to leave than stress from workload, accountability or reform pressures (OECD, 2025b). The same survey finds that 17% of non-retiring teachers intend to leave the profession within five years, from under 6% in Korea, Portugal and Viet Nam to over 30% in Estonia, Latvia and Lithuania (OECD, 2025b). Intentions should be read as a gauge of dissatisfaction rather than a forecast, since stated intentions exceed realised attrition several-fold and the two should not be equated (Nguyen et al., 2025). Workload pressure is nonetheless measurable in hours. England's Working Lives of Teachers and Leaders survey recorded an average working week of 48.1 hours in 2024, down from 49.4 in 2023, with 43% of teachers and leaders judging their workload unacceptable, down from 57% in 2022 (Department for Education, 2025b).</w:t>
      </w:r>
    </w:p>
    <w:p>
      <w:pPr>
        <w:spacing w:after="160" w:line="264" w:lineRule="auto"/>
        <w:jc w:val="both"/>
      </w:pPr>
      <w:r>
        <w:t xml:space="preserve">The United States is the documented exception on pay. Each additional USD 1 000 of cost-of-living-adjusted salary is associated with a 0.34 percentage-point reduction in turnover, and predicted turnover falls by roughly 40% between a USD 50 000 and a USD 70 000 salary; perceived leadership effectiveness and job satisfaction show even steeper gradients, with turnover falling from 18.7% to 9.0% and from 22.0% to 8.0% respectively between the lowest and highest categories (Tan et al., 2026). These estimates come from a linear probability model without an identification strategy and are correlational. Survey evidence points the same way. Among Michigan's certified non-teachers, a salary increase was the most frequently selected incentive to return (Lindsay, Gnedko-Berry and Wan, 2021; see Box 2.1). The contrast with Europe is direct, as inactive qualified teachers in the Netherlands say that lower work pressure, more control over working hours and greater autonomy would bring them back, more than salary would (Somers et al., 2024a).</w:t>
      </w:r>
    </w:p>
    <w:p>
      <w:pPr>
        <w:spacing w:after="160" w:line="264" w:lineRule="auto"/>
        <w:jc w:val="both"/>
      </w:pPr>
      <w:r>
        <w:t xml:space="preserve">Life-course events form a third stream, historically dominant for women. In the classic hazard analysis of a 1972 US cohort of certified female teachers, a newborn child was the single strongest exit factor, ahead of marriage or pay (Stinebrickner, 2002); the cohort predates modern parental leave, so the finding is best read as a reminder that some exits have little to do with the job at all.</w:t>
      </w:r>
    </w:p>
    <w:p>
      <w:pPr>
        <w:spacing w:after="160" w:line="264" w:lineRule="auto"/>
        <w:jc w:val="both"/>
      </w:pPr>
      <w:r>
        <w:t xml:space="preserve">Entry motives, by contrast, differ little across countries. Around 90% of teachers across 48 TALIS systems cite influencing children's development and contributing to society as a major motivation for joining (OECD, 2019), and a four-country comparison found motivations "more similar than different", with social utility and intrinsic value ranked highest everywhere while perceptions of salary, status and demand tracked national circumstances (Watt et al., 2012). What varies is the margin on which people leave, and the variation is quantifiable, with a salary gradient of 0.34 percentage points per USD 1 000 in the United States set against an Australian leaver survey in which leadership (17.7%) and workload (16.6%) dominate and pay scarcely registers. Re-entry incentives designed for one margin should not be expected to work unmodified on the other, a point Chapter 4 returns to.</w:t>
      </w:r>
    </w:p>
    <w:p>
      <w:pPr>
        <w:pStyle w:val="Heading2"/>
      </w:pPr>
      <w:r>
        <w:t xml:space="preserve">2.3. Where leavers go</w:t>
      </w:r>
    </w:p>
    <w:p>
      <w:pPr>
        <w:spacing w:after="160" w:line="264" w:lineRule="auto"/>
        <w:jc w:val="both"/>
      </w:pPr>
      <w:r>
        <w:t xml:space="preserve">Most former teachers neither disappear from the labour market nor trade up financially. The Australian panel evidence is the most direct on this point. One year after exit, 22.1% of leavers hold non-teaching jobs within the school-education sector and a further 21.8% work in other education, health care and social assistance; only around 11% are in unrelated sectors, with most of the remainder retired or out of the labour force (Cuervo and Vera-Toscano, 2025). Their job satisfaction is 0.13 standard deviations higher than that of comparable stayers one year after leaving and 0.19 standard deviations higher after three years, with sustained gains in leisure-time satisfaction, although overall life satisfaction does not change significantly (Cuervo and Vera-Toscano, 2025). The financial side moves the other way. Weekly wages are 6.2% lower one year after exit and 9.4% lower at three years, and hourly wages remain below pre-exit levels throughout the following decade; only continuously full-time leavers see weekly earnings rise, and they achieve it by working more hours (Cuervo and Vera-Toscano, 2025). The authors conclude that financial considerations alone are unlikely to be the driving force behind exit, which is consistent with the exit motives reported above.</w:t>
      </w:r>
    </w:p>
    <w:p>
      <w:pPr>
        <w:spacing w:after="160" w:line="264" w:lineRule="auto"/>
        <w:jc w:val="both"/>
      </w:pPr>
      <w:r>
        <w:t xml:space="preserve">The Australian survey evidence matches. Among the 256 leavers studied by Brandenburg et al. (2024), 51.8% work in education-related fields such as coaching, counselling and social work, one in five moved into higher education, and 62% report using their teaching skills "a lot". England shows the same trade. More than half of non-retiring leavers take jobs in the education sector, accepting a wage roughly 10% below that of comparable stayers in exchange for shorter hours and higher job satisfaction (Worth, Bamford and Durbin, 2015).</w:t>
      </w:r>
    </w:p>
    <w:p>
      <w:pPr>
        <w:spacing w:after="160" w:line="264" w:lineRule="auto"/>
        <w:jc w:val="both"/>
      </w:pPr>
      <w:r>
        <w:t xml:space="preserve">The United States record spans two eras. In the 1972 cohort, about 67% of exiting female teachers left the labour force entirely rather than switching occupations (Stinebrickner, 2002). Georgia administrative data later showed that very few leavers take jobs paying more than their teaching salary (Scafidi, Sjoquist and Stinebrickner, 2006), and the most recent linked employer-tax records, covering 2003/04 to 2014/15, find that more than half of leavers remain in education broadly defined, about a fifth exit the labour force, fewer than a quarter take jobs outside education, and mean earnings remain slightly below pre-exit levels even eight years later (Brummet et al., 2024). The modern former teacher is therefore typically employed, working near education, and not better paid. For re-entry policy this is the most useful fact in the destinations literature, because it means the reserve is reachable and has not been priced out of returning.</w:t>
      </w:r>
    </w:p>
    <w:p>
      <w:pPr>
        <w:pStyle w:val="Heading2"/>
      </w:pPr>
      <w:r>
        <w:t xml:space="preserve">2.4. The reserve that exit creates</w:t>
      </w:r>
    </w:p>
    <w:p>
      <w:pPr>
        <w:spacing w:after="160" w:line="264" w:lineRule="auto"/>
        <w:jc w:val="both"/>
      </w:pPr>
      <w:r>
        <w:t xml:space="preserve">Wherever a register permits counting, the stock of qualified people outside the classroom is several times larger than any measured shortage. The Netherlands is the benchmark case. Register data covering everyone who qualified between 2000 and 2021 identify just over 62 000 people holding a teaching qualification while working in another sector, unemployed or in further study, against a combined shortage of 13 600 full-time-equivalent posts at the end of 2023; if 22% of this hidden reserve returned to full-time teaching, the shortage would be closed entirely, and the count is a lower bound because pre-2000 qualifiers are excluded (Somers, Groot and van Merode, 2024b). The education executive agency's stricter series, which requires at least two years out of the sector and excludes retirees, still counted 34 000 qualified people outside primary education and 64 000 outside secondary and vocational education on 1 October 2024, equal to 22% and 43% of the respective qualified stocks, although the pool shrank by 17-18% between 2015 and 2024 and the agency warns that it does not, by itself, solve the teacher shortage (DUO, 2026).</w:t>
      </w:r>
    </w:p>
    <w:p>
      <w:pPr>
        <w:spacing w:after="160" w:line="264" w:lineRule="auto"/>
        <w:jc w:val="both"/>
      </w:pPr>
      <w:r>
        <w:t xml:space="preserve">England's stock is larger still. In 2018 there were 260 000 qualified teachers of working age who had left service and a further 106 000 who held qualified teacher status but had never taught, against a qualified state-school workforce of roughly 450 000 full-time equivalents (Worth, 2023). Return is already a routine supply channel there. In 2024/25, 41 700 full-time-equivalent teachers entered the state-funded sector, of whom 17 000 were newly qualified, and the Department for Education notes that returners increased while other entrant categories fell (Department for Education, 2025a). The United States shows the same duality of large stocks and routine flows. Re-entrants have made up 37-49% of new hires in recent years (Sutcher, Darling-Hammond and Carver-Thomas, 2016), yet the share of individual leavers who ever return is modest and appears to be falling, from between one quarter and one half in earlier cohorts (Grissom and Reininger, 2012) to about one fifth of those who exited between 2000 and 2019 (Moyer, 2022). Michigan's registry, examined in Box 2.1, illustrates both the scale of such stocks and the discounts that must be applied to them. Australia measures the pool through registration. Of about 553 300 registered teachers in 2023, roughly 19% were not working in schools; over half of non-teaching registrants said they would consider returning under the right circumstances, and 5% were actively looking to do so (AITSL, 2025).</w:t>
      </w:r>
    </w:p>
    <w:p>
      <w:pPr>
        <w:spacing w:after="160" w:line="264" w:lineRule="auto"/>
        <w:jc w:val="both"/>
      </w:pPr>
      <w:r>
        <w:t xml:space="preserve">Where no register exists, the reserve is invisible and the policy debate narrows to the only pool that can be seen. Germany publishes no count of qualified teachers working outside schools; what is documented is a stock of 457 000 retired teachers in 2021, active recruitment of retirees by 13 of the 16 Länder, and just over 5 000 pensioners actually teaching in 2022/23, under 1% of a workforce of roughly 800 000 (Deutsches Schulportal, 2023). Austria likewise lacks a register-based estimate, and its reserve debate has centred on retired returners. The pattern across these six systems is summarised in Table 2.1.</w:t>
      </w:r>
    </w:p>
    <w:p>
      <w:pPr>
        <w:keepNext/>
        <w:spacing w:after="120" w:before="200"/>
      </w:pPr>
      <w:r>
        <w:rPr>
          <w:b/>
          <w:bCs/>
          <w:color w:val="4E81BD"/>
          <w:sz w:val="21"/>
          <w:szCs w:val="21"/>
        </w:rPr>
        <w:t xml:space="preserve">Table 2.1. The measured reserve of qualified teachers outside the classroom, selected systems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84"/>
        <w:gridCol w:w="1996"/>
        <w:gridCol w:w="1996"/>
        <w:gridCol w:w="1996"/>
      </w:tblGrid>
      <w:tr>
        <w:trPr>
          <w:tblHeader/>
        </w:trPr>
        <w:tc>
          <w:tcPr>
            <w:tcW w:type="dxa" w:w="3084"/>
            <w:tcBorders>
              <w:top w:val="single" w:color="000000" w:sz="6"/>
              <w:left w:val="none" w:color="FFFFFF" w:sz="0"/>
              <w:bottom w:val="single" w:color="000000" w:sz="6"/>
              <w:right w:val="none" w:color="FFFFFF" w:sz="0"/>
            </w:tcBorders>
            <w:shd w:fill="D2D2D2" w:val="clear"/>
            <w:tcMar>
              <w:top w:type="dxa" w:w="40"/>
              <w:left w:type="dxa" w:w="80"/>
              <w:bottom w:type="dxa" w:w="40"/>
              <w:right w:type="dxa" w:w="80"/>
            </w:tcMar>
            <w:vAlign w:val="center"/>
          </w:tcPr>
          <w:p>
            <w:pPr>
              <w:spacing w:after="0"/>
              <w:jc w:val="left"/>
            </w:pPr>
            <w:r>
              <w:rPr>
                <w:b/>
                <w:bCs/>
                <w:sz w:val="19"/>
                <w:szCs w:val="19"/>
              </w:rPr>
              <w:t xml:space="preserve">System</w:t>
            </w:r>
          </w:p>
        </w:tc>
        <w:tc>
          <w:tcPr>
            <w:tcW w:type="dxa" w:w="1996"/>
            <w:tcBorders>
              <w:top w:val="single" w:color="000000" w:sz="6"/>
              <w:left w:val="none" w:color="FFFFFF" w:sz="0"/>
              <w:bottom w:val="single" w:color="000000" w:sz="6"/>
              <w:right w:val="none" w:color="FFFFFF" w:sz="0"/>
            </w:tcBorders>
            <w:shd w:fill="D2D2D2" w:val="clear"/>
            <w:tcMar>
              <w:top w:type="dxa" w:w="40"/>
              <w:left w:type="dxa" w:w="80"/>
              <w:bottom w:type="dxa" w:w="40"/>
              <w:right w:type="dxa" w:w="80"/>
            </w:tcMar>
            <w:vAlign w:val="center"/>
          </w:tcPr>
          <w:p>
            <w:pPr>
              <w:spacing w:after="0"/>
              <w:jc w:val="left"/>
            </w:pPr>
            <w:r>
              <w:rPr>
                <w:b/>
                <w:bCs/>
                <w:sz w:val="19"/>
                <w:szCs w:val="19"/>
              </w:rPr>
              <w:t xml:space="preserve">How the pool is measured</w:t>
            </w:r>
          </w:p>
        </w:tc>
        <w:tc>
          <w:tcPr>
            <w:tcW w:type="dxa" w:w="1996"/>
            <w:tcBorders>
              <w:top w:val="single" w:color="000000" w:sz="6"/>
              <w:left w:val="none" w:color="FFFFFF" w:sz="0"/>
              <w:bottom w:val="single" w:color="000000" w:sz="6"/>
              <w:right w:val="none" w:color="FFFFFF" w:sz="0"/>
            </w:tcBorders>
            <w:shd w:fill="D2D2D2" w:val="clear"/>
            <w:tcMar>
              <w:top w:type="dxa" w:w="40"/>
              <w:left w:type="dxa" w:w="80"/>
              <w:bottom w:type="dxa" w:w="40"/>
              <w:right w:type="dxa" w:w="80"/>
            </w:tcMar>
            <w:vAlign w:val="center"/>
          </w:tcPr>
          <w:p>
            <w:pPr>
              <w:spacing w:after="0"/>
              <w:jc w:val="left"/>
            </w:pPr>
            <w:r>
              <w:rPr>
                <w:b/>
                <w:bCs/>
                <w:sz w:val="19"/>
                <w:szCs w:val="19"/>
              </w:rPr>
              <w:t xml:space="preserve">Latest measured pool</w:t>
            </w:r>
          </w:p>
        </w:tc>
        <w:tc>
          <w:tcPr>
            <w:tcW w:type="dxa" w:w="1996"/>
            <w:tcBorders>
              <w:top w:val="single" w:color="000000" w:sz="6"/>
              <w:left w:val="none" w:color="FFFFFF" w:sz="0"/>
              <w:bottom w:val="single" w:color="000000" w:sz="6"/>
              <w:right w:val="none" w:color="FFFFFF" w:sz="0"/>
            </w:tcBorders>
            <w:shd w:fill="D2D2D2" w:val="clear"/>
            <w:tcMar>
              <w:top w:type="dxa" w:w="40"/>
              <w:left w:type="dxa" w:w="80"/>
              <w:bottom w:type="dxa" w:w="40"/>
              <w:right w:type="dxa" w:w="80"/>
            </w:tcMar>
            <w:vAlign w:val="center"/>
          </w:tcPr>
          <w:p>
            <w:pPr>
              <w:spacing w:after="0"/>
              <w:jc w:val="left"/>
            </w:pPr>
            <w:r>
              <w:rPr>
                <w:b/>
                <w:bCs/>
                <w:sz w:val="19"/>
                <w:szCs w:val="19"/>
              </w:rPr>
              <w:t xml:space="preserve">Benchmark</w:t>
            </w:r>
          </w:p>
        </w:tc>
      </w:tr>
      <w:tr>
        <w:trPr>
          <w:tblHeader w:val="false"/>
        </w:trPr>
        <w:tc>
          <w:tcPr>
            <w:tcW w:type="dxa" w:w="308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Netherlands</w:t>
            </w:r>
          </w:p>
        </w:tc>
        <w:tc>
          <w:tcPr>
            <w:tcW w:type="dxa" w:w="199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Population registers, qualifiers 2000-21</w:t>
            </w:r>
          </w:p>
        </w:tc>
        <w:tc>
          <w:tcPr>
            <w:tcW w:type="dxa" w:w="199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~62 000 qualified working outside education (2024)</w:t>
            </w:r>
          </w:p>
        </w:tc>
        <w:tc>
          <w:tcPr>
            <w:tcW w:type="dxa" w:w="199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~4.5 times the 13 600 FTE shortage (end-2023)</w:t>
            </w:r>
          </w:p>
        </w:tc>
      </w:tr>
      <w:tr>
        <w:trPr>
          <w:tblHeader w:val="false"/>
        </w:trPr>
        <w:tc>
          <w:tcPr>
            <w:tcW w:type="dxa" w:w="308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Netherlands (stricter definition)</w:t>
            </w:r>
          </w:p>
        </w:tc>
        <w:tc>
          <w:tcPr>
            <w:tcW w:type="dxa" w:w="199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DUO registers; at least two years out, retirees excluded</w:t>
            </w:r>
          </w:p>
        </w:tc>
        <w:tc>
          <w:tcPr>
            <w:tcW w:type="dxa" w:w="199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34 000 (primary) and 64 000 (secondary/vocational) on 1 October 2024</w:t>
            </w:r>
          </w:p>
        </w:tc>
        <w:tc>
          <w:tcPr>
            <w:tcW w:type="dxa" w:w="199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22% and 43% of the qualified stocks; pool down 17-18% since 2015</w:t>
            </w:r>
          </w:p>
        </w:tc>
      </w:tr>
      <w:tr>
        <w:trPr>
          <w:tblHeader w:val="false"/>
        </w:trPr>
        <w:tc>
          <w:tcPr>
            <w:tcW w:type="dxa" w:w="308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England (United Kingdom)</w:t>
            </w:r>
          </w:p>
        </w:tc>
        <w:tc>
          <w:tcPr>
            <w:tcW w:type="dxa" w:w="199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Qualification and pension databases</w:t>
            </w:r>
          </w:p>
        </w:tc>
        <w:tc>
          <w:tcPr>
            <w:tcW w:type="dxa" w:w="199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260 000 out of service plus 106 000 never in service (2018)</w:t>
            </w:r>
          </w:p>
        </w:tc>
        <w:tc>
          <w:tcPr>
            <w:tcW w:type="dxa" w:w="199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Qualified workforce of ~450 000 FTE</w:t>
            </w:r>
          </w:p>
        </w:tc>
      </w:tr>
      <w:tr>
        <w:trPr>
          <w:tblHeader w:val="false"/>
        </w:trPr>
        <w:tc>
          <w:tcPr>
            <w:tcW w:type="dxa" w:w="308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Michigan (United States)</w:t>
            </w:r>
          </w:p>
        </w:tc>
        <w:tc>
          <w:tcPr>
            <w:tcW w:type="dxa" w:w="199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Certification files linked to employment records</w:t>
            </w:r>
          </w:p>
        </w:tc>
        <w:tc>
          <w:tcPr>
            <w:tcW w:type="dxa" w:w="199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~61 000 certified teachers not in public schools (2017/18)</w:t>
            </w:r>
          </w:p>
        </w:tc>
        <w:tc>
          <w:tcPr>
            <w:tcW w:type="dxa" w:w="199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43% of the certified stock; 44-49% hold expired certificates</w:t>
            </w:r>
          </w:p>
        </w:tc>
      </w:tr>
      <w:tr>
        <w:trPr>
          <w:tblHeader w:val="false"/>
        </w:trPr>
        <w:tc>
          <w:tcPr>
            <w:tcW w:type="dxa" w:w="308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Australia</w:t>
            </w:r>
          </w:p>
        </w:tc>
        <w:tc>
          <w:tcPr>
            <w:tcW w:type="dxa" w:w="199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Teacher registration data</w:t>
            </w:r>
          </w:p>
        </w:tc>
        <w:tc>
          <w:tcPr>
            <w:tcW w:type="dxa" w:w="199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~19% of 553 300 registered teachers not in schools (2023)</w:t>
            </w:r>
          </w:p>
        </w:tc>
        <w:tc>
          <w:tcPr>
            <w:tcW w:type="dxa" w:w="199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Over half of non-teaching registrants would consider returning</w:t>
            </w:r>
          </w:p>
        </w:tc>
      </w:tr>
      <w:tr>
        <w:trPr>
          <w:tblHeader w:val="false"/>
        </w:trPr>
        <w:tc>
          <w:tcPr>
            <w:tcW w:type="dxa" w:w="3084"/>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jc w:val="left"/>
            </w:pPr>
            <w:r>
              <w:rPr>
                <w:sz w:val="19"/>
                <w:szCs w:val="19"/>
              </w:rPr>
              <w:t xml:space="preserve">Germany</w:t>
            </w:r>
          </w:p>
        </w:tc>
        <w:tc>
          <w:tcPr>
            <w:tcW w:type="dxa" w:w="1996"/>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jc w:val="left"/>
            </w:pPr>
            <w:r>
              <w:rPr>
                <w:sz w:val="19"/>
                <w:szCs w:val="19"/>
              </w:rPr>
              <w:t xml:space="preserve">No register of qualified non-teachers; retiree stock only</w:t>
            </w:r>
          </w:p>
        </w:tc>
        <w:tc>
          <w:tcPr>
            <w:tcW w:type="dxa" w:w="1996"/>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jc w:val="left"/>
            </w:pPr>
            <w:r>
              <w:rPr>
                <w:sz w:val="19"/>
                <w:szCs w:val="19"/>
              </w:rPr>
              <w:t xml:space="preserve">457 000 retired teachers (2021); just over 5 000 teaching (2022/23)</w:t>
            </w:r>
          </w:p>
        </w:tc>
        <w:tc>
          <w:tcPr>
            <w:tcW w:type="dxa" w:w="1996"/>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jc w:val="left"/>
            </w:pPr>
            <w:r>
              <w:rPr>
                <w:sz w:val="19"/>
                <w:szCs w:val="19"/>
              </w:rPr>
              <w:t xml:space="preserve">Under 1% of a workforce of roughly 800 000</w:t>
            </w:r>
          </w:p>
        </w:tc>
      </w:tr>
    </w:tbl>
    <w:p>
      <w:pPr>
        <w:spacing w:after="120"/>
      </w:pPr>
    </w:p>
    <w:p>
      <w:pPr>
        <w:spacing w:after="60"/>
        <w:jc w:val="left"/>
      </w:pPr>
      <w:r>
        <w:rPr>
          <w:sz w:val="17"/>
          <w:szCs w:val="17"/>
        </w:rPr>
        <w:t xml:space="preserve">Note: Definitions are not comparable across rows. The pools variously exclude pre-2000 qualifiers (Netherlands), include people decades away from the classroom (England) or holders of expired certificates (Michigan), and cover retirees only (Germany). None of the stocks measures available supply.</w:t>
      </w:r>
    </w:p>
    <w:p>
      <w:pPr>
        <w:spacing w:after="60"/>
        <w:jc w:val="left"/>
      </w:pPr>
      <w:r>
        <w:rPr>
          <w:sz w:val="17"/>
          <w:szCs w:val="17"/>
        </w:rPr>
        <w:t xml:space="preserve">Source: Somers, Groot and van Merode (2024b); DUO (2026); Worth (2023); Lindsay, Gnedko-Berry and Wan (2021); AITSL (2025); Deutsches Schulportal (2023).</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4E81BD" w:sz="6"/>
              <w:left w:val="single" w:color="4E81BD" w:sz="6"/>
              <w:bottom w:val="single" w:color="4E81BD" w:sz="6"/>
              <w:right w:val="single" w:color="4E81BD" w:sz="6"/>
            </w:tcBorders>
            <w:shd w:fill="EEECE1" w:val="clear"/>
            <w:tcMar>
              <w:top w:type="dxa" w:w="160"/>
              <w:left w:type="dxa" w:w="200"/>
              <w:bottom w:type="dxa" w:w="120"/>
              <w:right w:type="dxa" w:w="200"/>
            </w:tcMar>
          </w:tcPr>
          <w:p>
            <w:pPr>
              <w:spacing w:after="140"/>
            </w:pPr>
            <w:r>
              <w:rPr>
                <w:b/>
                <w:bCs/>
                <w:color w:val="4E81BD"/>
                <w:sz w:val="21"/>
                <w:szCs w:val="21"/>
              </w:rPr>
              <w:t xml:space="preserve">Box 2.1. Counting former teachers: Michigan's certification registry (United States)</w:t>
            </w:r>
          </w:p>
          <w:p>
            <w:pPr>
              <w:spacing w:after="120" w:line="252" w:lineRule="auto"/>
              <w:jc w:val="both"/>
            </w:pPr>
            <w:r>
              <w:rPr>
                <w:sz w:val="20"/>
                <w:szCs w:val="20"/>
              </w:rPr>
              <w:t xml:space="preserve">Michigan links teacher certification files to public school employment records, which permits an unusually complete count of the reserve. Of 141 810 certified teachers in the analysis sample, 61 252 (43%) were not teaching in a Michigan public school in 2017/18; 93% of them were younger than 60, and 70% had not taught in a public school at any point in the previous five years.</w:t>
            </w:r>
          </w:p>
          <w:p>
            <w:pPr>
              <w:spacing w:after="120" w:line="252" w:lineRule="auto"/>
              <w:jc w:val="both"/>
            </w:pPr>
            <w:r>
              <w:rPr>
                <w:sz w:val="20"/>
                <w:szCs w:val="20"/>
              </w:rPr>
              <w:t xml:space="preserve">The gross stock overstates the usable reserve. Between 44% and 49% of the non-teaching held expired certificates, against 6% of active teachers, and around one in six may live more than 20 miles outside the state. A companion survey administered between December 2019 and January 2020 achieved a 30% response rate (17 551 of 59 433) and is explicitly not representative of the certified non-teaching population; among respondents, 33% placed higher salary among their three most important reasons for not teaching, 22% had moved into administrative or instructional-leadership roles, and a salary increase was the most frequently selected incentive to return, with retiree pension rules and loan forgiveness also ranking highly.</w:t>
            </w:r>
          </w:p>
          <w:p>
            <w:pPr>
              <w:spacing w:after="40"/>
            </w:pPr>
            <w:r>
              <w:rPr>
                <w:sz w:val="17"/>
                <w:szCs w:val="17"/>
              </w:rPr>
              <w:t xml:space="preserve">Source: Lindsay, Gnedko-Berry and Wan (2021), </w:t>
            </w:r>
            <w:r>
              <w:rPr>
                <w:i/>
                <w:iCs/>
                <w:sz w:val="17"/>
                <w:szCs w:val="17"/>
              </w:rPr>
              <w:t xml:space="preserve">Michigan Teachers Who Are Not Teaching: Who Are They, and What Would Motivate Them to Teach?</w:t>
            </w:r>
            <w:r>
              <w:rPr>
                <w:sz w:val="17"/>
                <w:szCs w:val="17"/>
              </w:rPr>
              <w:t xml:space="preserve"> (REL 2021-076).</w:t>
            </w:r>
          </w:p>
        </w:tc>
      </w:tr>
    </w:tbl>
    <w:p>
      <w:pPr>
        <w:spacing w:after="160"/>
      </w:pPr>
    </w:p>
    <w:p>
      <w:pPr>
        <w:spacing w:after="160" w:line="264" w:lineRule="auto"/>
        <w:jc w:val="both"/>
      </w:pPr>
      <w:r>
        <w:t xml:space="preserve">The reserve, then, is real, large and measurable where systems choose to measure it, but it is not a shelf of ready supply. English survey evidence concludes there is "not such a ready supply" of former teachers waiting to fill gaps left by under-recruitment (Worth, 2023), and the Dutch agency's caveat points the same way (DUO, 2026). What the stocks establish is narrower and still consequential. In every system that can count them, former teachers outnumber measured shortages by multiples, most are employed nearby in work that pays no better than teaching did, and a documented share say they would consider coming back. Whether systems can convert that willingness, and at what cost, is the subject of the following chapters.</w:t>
      </w:r>
    </w:p>
    <w:p>
      <w:pPr>
        <w:pStyle w:val="Heading1"/>
        <w:pageBreakBefore/>
      </w:pPr>
      <w:r>
        <w:t xml:space="preserve">3. What would bring them back</w:t>
      </w:r>
    </w:p>
    <w:p>
      <w:pPr>
        <w:spacing w:after="160" w:line="264" w:lineRule="auto"/>
        <w:jc w:val="both"/>
      </w:pPr>
      <w:r>
        <w:t xml:space="preserve">Asked what would bring them back, former teachers give a consistent answer, and it is rarely money. Across the systems where the inactive reserve has been surveyed, the conditions that drove the exit, above all workload, control over working hours and autonomy, dominate the stated price of return; pay leads the list only in the United States. Retired teachers respond to a different set of levers again, namely reduced and purposeful roles and pension rules that do not tax re-employment, and they matter in their own right because retirements account for the majority of departures in France, the French Community of Belgium, Greece, Ireland and Israel (OECD, 2025a). The causal literature on financial incentives, reviewed below, is well identified but sits almost entirely on the retention and entry margins; no study anywhere yet identifies the causal effect of a re-entry incentive, and this chapter treats that gap as a finding rather than a footnote.</w:t>
      </w:r>
    </w:p>
    <w:p>
      <w:pPr>
        <w:pStyle w:val="Heading2"/>
      </w:pPr>
      <w:r>
        <w:t xml:space="preserve">3.1. Working-age leavers would return for a different job, not a better-paid one</w:t>
      </w:r>
    </w:p>
    <w:p>
      <w:pPr>
        <w:spacing w:after="160" w:line="264" w:lineRule="auto"/>
        <w:jc w:val="both"/>
      </w:pPr>
      <w:r>
        <w:t xml:space="preserve">Willingness to return is broad. Over half of Australia's non-teaching registered teachers say they would consider returning "under the right circumstances", and 5% were actively looking to do so (AITSL, 2025); in the last United States national follow-up survey to ask, about half of those who had left teaching said they would consider returning (NCES, 2013, as cited in Lindsay, Gnedko-Berry and Wan, 2021). The operative question is what the right circumstances are, and the systems with the best data answer it in similar terms.</w:t>
      </w:r>
    </w:p>
    <w:p>
      <w:pPr>
        <w:spacing w:after="160" w:line="264" w:lineRule="auto"/>
        <w:jc w:val="both"/>
      </w:pPr>
      <w:r>
        <w:t xml:space="preserve">Inactive Dutch teachers rate several working conditions in their current jobs more favourably than active teachers rate theirs, and the levers they say would bring them back are lower work pressure, more control over working hours and greater autonomy, with salary one lever among several rather than the dominant one (Somers et al., 2024a). The Australian panel record set out in Chapter 2 explains why money sits so low. Leavers report higher job satisfaction than comparable stayers despite weekly wages 6.2% below their teaching pay one year after exit (Cuervo and Vera-Toscano, 2025). A decision that left people more satisfied on less money was not about money, and money alone is unlikely to reverse it. England adds the operational detail. The returner segment most committed to coming back, those on career breaks, returned at about twice the rate of other leaver types and is particularly attracted by part-time work, which schools rarely advertise; fewer than a third of the returners supported by England's pilot had taught in the previous decade, making recent classroom experience a second hard limit (Worth and Sharp, 2018). The pilot evaluation lists limited part-time availability and recruitment mistimed against the hiring cycle among the main barriers to placement (Buchanan et al., 2018).</w:t>
      </w:r>
    </w:p>
    <w:p>
      <w:pPr>
        <w:spacing w:after="160" w:line="264" w:lineRule="auto"/>
        <w:jc w:val="both"/>
      </w:pPr>
      <w:r>
        <w:t xml:space="preserve">The United States is the documented exception, and the split should be stated in numbers rather than smoothed over. Among Michigan's certified non-teachers, 33% placed a higher salary among their three most important reasons for not teaching, a salary increase was the incentive to return selected most often, and financial items, including allowing retirees to keep retirement benefits and student-loan forgiveness, dominate the rest of the incentive list (Lindsay, Gnedko-Berry and Wan, 2021). The survey had a 30% response rate and its authors caution that the sample is not representative, but the ordering is the reverse of the Dutch one and matches the salary gradient in United States turnover discussed in Chapter 2.</w:t>
      </w:r>
    </w:p>
    <w:p>
      <w:pPr>
        <w:spacing w:after="160" w:line="264" w:lineRule="auto"/>
        <w:jc w:val="both"/>
      </w:pPr>
      <w:r>
        <w:t xml:space="preserve">For most systems, then, the offer that matches stated preferences is a reconstructed job, with advertised part-time posts, credible control over working hours, a lighter administrative load and a refresher route back to the classroom, rather than a premium on the job the returner already rejected once. Chapter 4 examines how far existing programmes deliver that offer.</w:t>
      </w:r>
    </w:p>
    <w:p>
      <w:pPr>
        <w:pStyle w:val="Heading2"/>
      </w:pPr>
      <w:r>
        <w:t xml:space="preserve">3.2. What financial incentives can and cannot be expected to do</w:t>
      </w:r>
    </w:p>
    <w:p>
      <w:pPr>
        <w:spacing w:after="160" w:line="264" w:lineRule="auto"/>
        <w:jc w:val="both"/>
      </w:pPr>
      <w:r>
        <w:t xml:space="preserve">The most systematic reading of what teachers and potential teachers value comes from Sims, Lowes-Belk and Routledge (2026), who build a single interdisciplinary model of the decision to enter or leave teaching and test it against a systematic review of survey experiments on job preferences, restricting the evaluation evidence to causal or quasi-experimental designs. The synthesis quantifies the relative weight attached to pay, workload, flexibility, pension arrangements and development opportunities in entry and exit choices. Across quasi-experimental evaluations it finds financial incentives consistently effective for retention, with supportive school leadership the most important non-pay factor; professional development, by contrast, has been tested as a recruitment or retention lever in only one quasi-experimental study.</w:t>
      </w:r>
    </w:p>
    <w:p>
      <w:pPr>
        <w:spacing w:after="160" w:line="264" w:lineRule="auto"/>
        <w:jc w:val="both"/>
      </w:pPr>
      <w:r>
        <w:t xml:space="preserve">Fleck et al. (2025) reach a compatible conclusion from a wider base, reviewing causal and quasi-experimental evaluations of interventions to raise employment in education and healthcare. Financial incentives dominate the evaluated literature and broadly work. A wage premium of about 10% in Norwegian shortage regions raised entry rates by 5.7 percentage points, one-time bonuses targeted at effective teachers produced positive effects in six of nine studies, and pension enhancements rewarding delayed retirement reduced retirements by 4-10 percentage points (Fleck et al., 2025). Causal evidence on working conditions is far thinner, though directionally consistent with the survey evidence, as a curriculum reform that raised workload increased turnover by around 4.3% (Fleck et al., 2025). The review's geography is itself a caveat, with 72 of its roughly 86 included studies coming from the United States.</w:t>
      </w:r>
    </w:p>
    <w:p>
      <w:pPr>
        <w:spacing w:after="160" w:line="264" w:lineRule="auto"/>
        <w:jc w:val="both"/>
      </w:pPr>
      <w:r>
        <w:t xml:space="preserve">The individual estimates behind these conclusions are sizeable. In England, retention payments of GBP 2 000 a year after tax, about 8% of gross salary, made eligible early-career mathematics and physics teachers 23% less likely to leave state-funded teaching in eligible years (Sims and Benhenda, 2022). In North Carolina, an annual USD 1 800 bonus for certified mathematics, science and special-education teachers in high-poverty or low-performing secondary schools reduced target-group turnover by about 17%, with the strongest response among experienced teachers, although implementation suffered from many teachers not knowing they qualified (Clotfelter et al., 2008). In Florida, loan forgiveness cut the attrition of middle and high-school mathematics and science teachers by 10.4% and 8.9% respectively, and a one-time bonus reduced exit by up to about 32% in the short run (Feng and Sass, 2018).</w:t>
      </w:r>
    </w:p>
    <w:p>
      <w:pPr>
        <w:spacing w:after="160" w:line="264" w:lineRule="auto"/>
        <w:jc w:val="both"/>
      </w:pPr>
      <w:r>
        <w:t xml:space="preserve">The gap in this literature matters as much as its content. Not one of the studies above, nor any study identified in either synthesis, estimates the causal effect of an incentive on the return of former teachers. The elasticities are estimated on serving teachers deciding whether to stay, or on graduates deciding whether to start. Former teachers have already revealed a preference against the job at its current price and conditions, and the Australian evidence shows them more satisfied on lower wages after acting on that preference (Cuervo and Vera-Toscano, 2025). Borrowing retention elasticities for re-entry policy therefore assumes a symmetry of response that the stated-preference evidence contradicts. This paper records the absence of direct causal evidence on re-entry incentives as a finding in its own right. Until such evidence exists, retention and entry elasticities are best read as an upper bound on what an equivalent re-entry payment could achieve, and any new re-entry incentive should have an evaluation designed into it from the start.</w:t>
      </w:r>
    </w:p>
    <w:p>
      <w:pPr>
        <w:pStyle w:val="Heading2"/>
      </w:pPr>
      <w:r>
        <w:t xml:space="preserve">3.3. Retirees respond to reduced hours, purpose and pension neutrality</w:t>
      </w:r>
    </w:p>
    <w:p>
      <w:pPr>
        <w:spacing w:after="160" w:line="264" w:lineRule="auto"/>
        <w:jc w:val="both"/>
      </w:pPr>
      <w:r>
        <w:t xml:space="preserve">Interest among retirees is not the constraint. In the United States, more than half of retiring baby-boomer teachers expressed interest in further employment, and about 70% of those were interested in new roles in education (Foster, 2010, as cited in DeCesare, McClelland and Randel, 2017). What converts interest into return is more selective. Nine episodic interviews with retired Austrian teachers, six returners and three non-returners within a broader 14-interview study including experts, find that the decision to return after retirement is a biographically rooted process shaped by individual, family, school-related and system-level factors rather than primarily by pay, with continuing contact with the former school reported as a key facilitator (Resch, 2025a; Resch, 2025b). The effective pool, in other words, is largely those who never fully disengaged.</w:t>
      </w:r>
    </w:p>
    <w:p>
      <w:pPr>
        <w:spacing w:after="160" w:line="264" w:lineRule="auto"/>
        <w:jc w:val="both"/>
      </w:pPr>
      <w:r>
        <w:t xml:space="preserve">Pension rules then decide whether returning pays at all, and behaviour tracks the rules closely. North Carolina's 1999-2009 return-to-work window, which let retirees draw a full salary on top of a full pension, produced the strongest revealed-preference evidence available that pension neutrality re-activates retirees at scale (see Box 3.1). Georgia sits at the restrictive end of the design spectrum, requiring 30 years of service, a one-year wait and limits by subject and region, and the state's own auditors count roughly 350 full-time rehired retirees a year against some 6 000 vacant or not fully certified posts (Georgia Department of Audits and Accounts, 2025). Austria shows a subtler friction. Returning retirees keep their full pension, but those who retired as civil servants, the large majority of the retiring cohort, are excluded by law from prior-service crediting for any period already generating a pension and are therefore re-employed at the teacher starting salary, whereas former contract-scheme teachers have their service credited and broadly recover their pre-retirement pay (BMBWF, 2023). Take-up has been modest but not trivial. The Austrian Court of Audit counted 1 062 retired teachers returning nationwide over the school years 2018/19 to 2023/24, peaking in 2021/22 and 2022/23 and declining since, against a teaching workforce of roughly 123 000 (Rechnungshof, 2025). Michigan's survey respondents make the same point in stated form, ranking the ability to keep retirement benefits among the leading incentives to return (Lindsay, Gnedko-Berry and Wan, 2021). A related warning concerns the form of the money. Teachers appear to value deferred pension wealth at about 20 cents per dollar of present value, preferring current wages roughly five to one (Fitzpatrick, 2015), so offers built on extra pension accrual, or bonuses layered over unresolved pension penalties, misprice the retiree market.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4E81BD" w:sz="6"/>
              <w:left w:val="single" w:color="4E81BD" w:sz="6"/>
              <w:bottom w:val="single" w:color="4E81BD" w:sz="6"/>
              <w:right w:val="single" w:color="4E81BD" w:sz="6"/>
            </w:tcBorders>
            <w:shd w:fill="EEECE1" w:val="clear"/>
            <w:tcMar>
              <w:top w:type="dxa" w:w="160"/>
              <w:left w:type="dxa" w:w="200"/>
              <w:bottom w:type="dxa" w:w="120"/>
              <w:right w:type="dxa" w:w="200"/>
            </w:tcMar>
          </w:tcPr>
          <w:p>
            <w:pPr>
              <w:spacing w:after="140"/>
            </w:pPr>
            <w:r>
              <w:rPr>
                <w:b/>
                <w:bCs/>
                <w:color w:val="4E81BD"/>
                <w:sz w:val="21"/>
                <w:szCs w:val="21"/>
              </w:rPr>
              <w:t xml:space="preserve">Box 3.1. Pension neutrality at scale: North Carolina's return-to-work window (United States)</w:t>
            </w:r>
          </w:p>
          <w:p>
            <w:pPr>
              <w:spacing w:after="120" w:line="252" w:lineRule="auto"/>
              <w:jc w:val="both"/>
            </w:pPr>
            <w:r>
              <w:rPr>
                <w:b/>
                <w:bCs/>
                <w:sz w:val="20"/>
                <w:szCs w:val="20"/>
              </w:rPr>
              <w:t xml:space="preserve">Design and incentives:</w:t>
            </w:r>
            <w:r>
              <w:rPr>
                <w:sz w:val="20"/>
                <w:szCs w:val="20"/>
              </w:rPr>
              <w:t xml:space="preserve"> Between 1999 and 2009, North Carolina allowed retired teachers to return to full-time classroom work on a full salary while continuing to draw their full pension, a combination worth up to about 50% more income than a typical full-time teacher earned. Before and after the window, returning retirees were limited to part-time work at half salary.</w:t>
            </w:r>
          </w:p>
          <w:p>
            <w:pPr>
              <w:spacing w:after="120" w:line="252" w:lineRule="auto"/>
              <w:jc w:val="both"/>
            </w:pPr>
            <w:r>
              <w:rPr>
                <w:b/>
                <w:bCs/>
                <w:sz w:val="20"/>
                <w:szCs w:val="20"/>
              </w:rPr>
              <w:t xml:space="preserve">Take-up and results:</w:t>
            </w:r>
            <w:r>
              <w:rPr>
                <w:sz w:val="20"/>
                <w:szCs w:val="20"/>
              </w:rPr>
              <w:t xml:space="preserve"> Take-up rose throughout the window until, by 2009, just over 35% of previously retirement-eligible teachers had returned to full-time work. The returners were experienced, with 31 years of service on average; 81% were women and they were disproportionately Black. High-need schools hired them disproportionately even though the policy contained no targeting provision. When the window closed in 2010, returns fell to zero.</w:t>
            </w:r>
          </w:p>
          <w:p>
            <w:pPr>
              <w:spacing w:after="120" w:line="252" w:lineRule="auto"/>
              <w:jc w:val="both"/>
            </w:pPr>
            <w:r>
              <w:rPr>
                <w:b/>
                <w:bCs/>
                <w:sz w:val="20"/>
                <w:szCs w:val="20"/>
              </w:rPr>
              <w:t xml:space="preserve">Lessons:</w:t>
            </w:r>
            <w:r>
              <w:rPr>
                <w:sz w:val="20"/>
                <w:szCs w:val="20"/>
              </w:rPr>
              <w:t xml:space="preserve"> The episode is the clearest revealed-preference evidence available that pension rules, rather than willingness, are the binding constraint on retiree re-entry, and that an untargeted offer can nonetheless flow towards the schools that need it most. It also shows how policy-contingent the flow is, since what a rule change created, its expiry removed entirely.</w:t>
            </w:r>
          </w:p>
          <w:p>
            <w:pPr>
              <w:spacing w:after="40"/>
            </w:pPr>
            <w:r>
              <w:rPr>
                <w:sz w:val="17"/>
                <w:szCs w:val="17"/>
              </w:rPr>
              <w:t xml:space="preserve">Source: Jarrold-Grapes and Mahler (2024), "Retirees return to work: How a North Carolina policy helped staff high-need schools", </w:t>
            </w:r>
            <w:r>
              <w:rPr>
                <w:i/>
                <w:iCs/>
                <w:sz w:val="17"/>
                <w:szCs w:val="17"/>
              </w:rPr>
              <w:t xml:space="preserve">Education Policy Analysis Archives</w:t>
            </w:r>
            <w:r>
              <w:rPr>
                <w:sz w:val="17"/>
                <w:szCs w:val="17"/>
              </w:rPr>
              <w:t xml:space="preserve">, Vol. 32, https://doi.org/10.14507/epaa.32.8241.</w:t>
            </w:r>
          </w:p>
        </w:tc>
      </w:tr>
    </w:tbl>
    <w:p>
      <w:pPr>
        <w:spacing w:after="160"/>
      </w:pPr>
    </w:p>
    <w:p>
      <w:pPr>
        <w:spacing w:after="160" w:line="264" w:lineRule="auto"/>
        <w:jc w:val="both"/>
      </w:pPr>
      <w:r>
        <w:t xml:space="preserve">Portugal ran the two margins side by side under Decree-Law 51/2024, and take-up diverged sharply: 63 retirees returned against a target of 200, while roughly 2 200 teachers took a EUR 750 monthly supplement to postpone retirement (Diário de Notícias, 2024; RTP, 2026). Chapter 4 examines the design; what matters here is the asymmetry, which is consistent with the causal finding that pension enhancements rewarding delayed retirement cut retirements by 4-10 percentage points (Fleck et al., 2025).</w:t>
      </w:r>
    </w:p>
    <w:p>
      <w:pPr>
        <w:spacing w:after="160" w:line="264" w:lineRule="auto"/>
        <w:jc w:val="both"/>
      </w:pPr>
      <w:r>
        <w:t xml:space="preserve">What retirees are asked to do matters as much as what they are paid. The programmes that recruit older educators most readily do not offer the old job back; they offer structured, part-time, purposeful roles. Experience Corps, which places trained volunteers aged 50 and over, some of them former educators, in high-poverty elementary schools as reading tutors (Morrow-Howell et al., 2009), works through fixed weekly sessions and, at some sites, modest stipends of historically up to about USD 278 per month (What Works Clearinghouse, 2010). Randomised evidence from the same programme documents benefits flowing to the volunteers themselves, including gains in physical activity, strength and cognitive activity (Fried et al., 2004) and, in the Baltimore trial, measured increases in hippocampal and cortical volumes among men (Carlson et al., 2015). Purpose is therefore not soft rhetoric but a compensable part of the offer, and one that allows re-entry policy to borrow a healthy-ageing rationale. The Portuguese and Austrian records suggest the converse also holds, in that a full classroom timetable on unchanged conditions is the least attractive offer that can be made to a retired teacher. Table 3.1 summarises how the two return margins differ.</w:t>
      </w:r>
    </w:p>
    <w:p>
      <w:pPr>
        <w:keepNext/>
        <w:spacing w:after="120" w:before="200"/>
      </w:pPr>
      <w:r>
        <w:rPr>
          <w:b/>
          <w:bCs/>
          <w:color w:val="4E81BD"/>
          <w:sz w:val="21"/>
          <w:szCs w:val="21"/>
        </w:rPr>
        <w:t xml:space="preserve">Table 3.1. Two margins of return: what the evidence says moves each group</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84"/>
        <w:gridCol w:w="2994"/>
        <w:gridCol w:w="2994"/>
      </w:tblGrid>
      <w:tr>
        <w:trPr>
          <w:tblHeader/>
        </w:trPr>
        <w:tc>
          <w:tcPr>
            <w:tcW w:type="dxa" w:w="3084"/>
            <w:tcBorders>
              <w:top w:val="single" w:color="000000" w:sz="6"/>
              <w:left w:val="none" w:color="FFFFFF" w:sz="0"/>
              <w:bottom w:val="single" w:color="000000" w:sz="6"/>
              <w:right w:val="none" w:color="FFFFFF" w:sz="0"/>
            </w:tcBorders>
            <w:shd w:fill="D2D2D2" w:val="clear"/>
            <w:tcMar>
              <w:top w:type="dxa" w:w="40"/>
              <w:left w:type="dxa" w:w="80"/>
              <w:bottom w:type="dxa" w:w="40"/>
              <w:right w:type="dxa" w:w="80"/>
            </w:tcMar>
            <w:vAlign w:val="center"/>
          </w:tcPr>
          <w:p>
            <w:pPr>
              <w:spacing w:after="0"/>
              <w:jc w:val="left"/>
            </w:pPr>
          </w:p>
        </w:tc>
        <w:tc>
          <w:tcPr>
            <w:tcW w:type="dxa" w:w="2994"/>
            <w:tcBorders>
              <w:top w:val="single" w:color="000000" w:sz="6"/>
              <w:left w:val="none" w:color="FFFFFF" w:sz="0"/>
              <w:bottom w:val="single" w:color="000000" w:sz="6"/>
              <w:right w:val="none" w:color="FFFFFF" w:sz="0"/>
            </w:tcBorders>
            <w:shd w:fill="D2D2D2" w:val="clear"/>
            <w:tcMar>
              <w:top w:type="dxa" w:w="40"/>
              <w:left w:type="dxa" w:w="80"/>
              <w:bottom w:type="dxa" w:w="40"/>
              <w:right w:type="dxa" w:w="80"/>
            </w:tcMar>
            <w:vAlign w:val="center"/>
          </w:tcPr>
          <w:p>
            <w:pPr>
              <w:spacing w:after="0"/>
              <w:jc w:val="left"/>
            </w:pPr>
            <w:r>
              <w:rPr>
                <w:b/>
                <w:bCs/>
                <w:sz w:val="19"/>
                <w:szCs w:val="19"/>
              </w:rPr>
              <w:t xml:space="preserve">Leavers of working age</w:t>
            </w:r>
          </w:p>
        </w:tc>
        <w:tc>
          <w:tcPr>
            <w:tcW w:type="dxa" w:w="2994"/>
            <w:tcBorders>
              <w:top w:val="single" w:color="000000" w:sz="6"/>
              <w:left w:val="none" w:color="FFFFFF" w:sz="0"/>
              <w:bottom w:val="single" w:color="000000" w:sz="6"/>
              <w:right w:val="none" w:color="FFFFFF" w:sz="0"/>
            </w:tcBorders>
            <w:shd w:fill="D2D2D2" w:val="clear"/>
            <w:tcMar>
              <w:top w:type="dxa" w:w="40"/>
              <w:left w:type="dxa" w:w="80"/>
              <w:bottom w:type="dxa" w:w="40"/>
              <w:right w:type="dxa" w:w="80"/>
            </w:tcMar>
            <w:vAlign w:val="center"/>
          </w:tcPr>
          <w:p>
            <w:pPr>
              <w:spacing w:after="0"/>
              <w:jc w:val="left"/>
            </w:pPr>
            <w:r>
              <w:rPr>
                <w:b/>
                <w:bCs/>
                <w:sz w:val="19"/>
                <w:szCs w:val="19"/>
              </w:rPr>
              <w:t xml:space="preserve">Retired teachers</w:t>
            </w:r>
          </w:p>
        </w:tc>
      </w:tr>
      <w:tr>
        <w:trPr>
          <w:tblHeader w:val="false"/>
        </w:trPr>
        <w:tc>
          <w:tcPr>
            <w:tcW w:type="dxa" w:w="308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Stated first-order levers</w:t>
            </w:r>
          </w:p>
        </w:tc>
        <w:tc>
          <w:tcPr>
            <w:tcW w:type="dxa" w:w="29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Lower work pressure, control over working hours, autonomy, part-time posts</w:t>
            </w:r>
          </w:p>
        </w:tc>
        <w:tc>
          <w:tcPr>
            <w:tcW w:type="dxa" w:w="29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Reduced, purposeful roles; continuing contact with the former school; keeping the full pension while earning</w:t>
            </w:r>
          </w:p>
        </w:tc>
      </w:tr>
      <w:tr>
        <w:trPr>
          <w:tblHeader w:val="false"/>
        </w:trPr>
        <w:tc>
          <w:tcPr>
            <w:tcW w:type="dxa" w:w="308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Role of pay</w:t>
            </w:r>
          </w:p>
        </w:tc>
        <w:tc>
          <w:tcPr>
            <w:tcW w:type="dxa" w:w="29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Secondary in most systems with evidence; leading in the United States (33% of Michigan respondents rank higher salary among top reasons for not teaching)</w:t>
            </w:r>
          </w:p>
        </w:tc>
        <w:tc>
          <w:tcPr>
            <w:tcW w:type="dxa" w:w="29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Current, simple cash matters; deferred pension wealth valued at about 20 cents per dollar</w:t>
            </w:r>
          </w:p>
        </w:tc>
      </w:tr>
      <w:tr>
        <w:trPr>
          <w:tblHeader w:val="false"/>
        </w:trPr>
        <w:tc>
          <w:tcPr>
            <w:tcW w:type="dxa" w:w="308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Strongest evidence type</w:t>
            </w:r>
          </w:p>
        </w:tc>
        <w:tc>
          <w:tcPr>
            <w:tcW w:type="dxa" w:w="29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Register-linked surveys and panel data (stated preference); no causal pricing of re-entry</w:t>
            </w:r>
          </w:p>
        </w:tc>
        <w:tc>
          <w:tcPr>
            <w:tcW w:type="dxa" w:w="29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Revealed preference under rule changes (North Carolina, Georgia, Austria, Portugal)</w:t>
            </w:r>
          </w:p>
        </w:tc>
      </w:tr>
      <w:tr>
        <w:trPr>
          <w:tblHeader w:val="false"/>
        </w:trPr>
        <w:tc>
          <w:tcPr>
            <w:tcW w:type="dxa" w:w="3084"/>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jc w:val="left"/>
            </w:pPr>
            <w:r>
              <w:rPr>
                <w:sz w:val="19"/>
                <w:szCs w:val="19"/>
              </w:rPr>
              <w:t xml:space="preserve">Documented barriers</w:t>
            </w:r>
          </w:p>
        </w:tc>
        <w:tc>
          <w:tcPr>
            <w:tcW w:type="dxa" w:w="2994"/>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jc w:val="left"/>
            </w:pPr>
            <w:r>
              <w:rPr>
                <w:sz w:val="19"/>
                <w:szCs w:val="19"/>
              </w:rPr>
              <w:t xml:space="preserve">Scarcity of advertised part-time posts; recruitment mistimed against the hiring cycle; confidence after a long absence</w:t>
            </w:r>
          </w:p>
        </w:tc>
        <w:tc>
          <w:tcPr>
            <w:tcW w:type="dxa" w:w="2994"/>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jc w:val="left"/>
            </w:pPr>
            <w:r>
              <w:rPr>
                <w:sz w:val="19"/>
                <w:szCs w:val="19"/>
              </w:rPr>
              <w:t xml:space="preserve">Pension penalties and earnings caps; re-employment at starting salary; stacked eligibility screens and waiting periods</w:t>
            </w:r>
          </w:p>
        </w:tc>
      </w:tr>
    </w:tbl>
    <w:p>
      <w:pPr>
        <w:spacing w:after="120"/>
      </w:pPr>
    </w:p>
    <w:p>
      <w:pPr>
        <w:spacing w:after="60"/>
        <w:jc w:val="left"/>
      </w:pPr>
      <w:r>
        <w:rPr>
          <w:sz w:val="17"/>
          <w:szCs w:val="17"/>
        </w:rPr>
        <w:t xml:space="preserve">Note: "Stated preference" refers to survey responses of inactive qualified teachers; "revealed preference" to observed take-up under changed re-employment rules. Neither constitutes causal evidence on re-entry incentives, which does not yet exist in any system.</w:t>
      </w:r>
    </w:p>
    <w:p>
      <w:pPr>
        <w:spacing w:after="60"/>
        <w:jc w:val="left"/>
      </w:pPr>
      <w:r>
        <w:rPr>
          <w:sz w:val="17"/>
          <w:szCs w:val="17"/>
        </w:rPr>
        <w:t xml:space="preserve">Source: Somers et al. (2024a); Worth and Sharp (2018); Buchanan et al. (2018); Cuervo and Vera-Toscano (2025); Lindsay, Gnedko-Berry and Wan (2021); Fitzpatrick (2015); Jarrold-Grapes and Mahler (2024); Georgia Department of Audits and Accounts (2025); BMBWF (2023); Rechnungshof (2025); Decreto-Lei n.º 51/2024; Resch (2025a).</w:t>
      </w:r>
    </w:p>
    <w:p>
      <w:pPr>
        <w:spacing w:after="160" w:line="264" w:lineRule="auto"/>
        <w:jc w:val="both"/>
      </w:pPr>
      <w:r>
        <w:t xml:space="preserve">Three implications carry forward. Offers to working-age leavers should trade on the redesigned job, with advertised part-time posts, control over hours and a credible refresher route, because that is the stated price of return in every surveyed system outside the United States. Offers to retirees should start from pension neutrality and reduced, purposeful roles, the only levers with revealed-preference support. And where a system chooses to spend money, the causal evidence indicates it buys more retention than re-entry. Chapter 4 examines how the programmes now in the field embody, or ignore, these regularities.</w:t>
      </w:r>
    </w:p>
    <w:p>
      <w:pPr>
        <w:pStyle w:val="Heading1"/>
        <w:pageBreakBefore/>
      </w:pPr>
      <w:r>
        <w:t xml:space="preserve">4. Re-entry policies in practice: international experience</w:t>
      </w:r>
    </w:p>
    <w:p>
      <w:pPr>
        <w:spacing w:after="160" w:line="264" w:lineRule="auto"/>
        <w:jc w:val="both"/>
      </w:pPr>
      <w:r>
        <w:t xml:space="preserve">Governments have begun to act on the reserve documented in Chapter 2, and their experience supports a first empirical generalisation. No re-entry programme with a published target has met it, and confirmed returns have fallen short of the interest generated at every documented stage. England registered 5 729 expressions of interest and converted 27 into permanent posts in its target subjects; New South Wales contacted more than 1 500 former teachers and placed 145; the Netherlands budgeted for 500 subsidised returners and had subsidised nearly 200 by late 2019, the last count it published; Portugal set a quota of 200 retired returners and accepted 63. Where the constraint can be located, it sits on the school side of the market, in timing, placement capacity and the shape of the posts offered, rather than in the willingness of former teachers to enquire. A second regularity emerges from Portugal, which ran a return offer and a retention offer side by side. Sixty-three retirees came back while some 2 200 stayed on, which suggests that preventing an exit is far easier than reversing one.</w:t>
      </w:r>
    </w:p>
    <w:p>
      <w:pPr>
        <w:spacing w:after="160" w:line="264" w:lineRule="auto"/>
        <w:jc w:val="both"/>
      </w:pPr>
      <w:r>
        <w:t xml:space="preserve">The evidence base remains shallow. One programme has an independent evaluation (England), one country has an audited take-up count (Austria), and the only randomised evidence concerns retirees in tutoring and mentoring roles rather than re-entry incentives themselves. Most initiatives are announced and then disappear from the record. Section 4.1 reviews the programmes; Section 4.2 turns to the pension, licensure and re-employment rules within which they operate.</w:t>
      </w:r>
    </w:p>
    <w:p>
      <w:pPr>
        <w:pStyle w:val="Heading2"/>
      </w:pPr>
      <w:r>
        <w:t xml:space="preserve">4.1. Programmes</w:t>
      </w:r>
    </w:p>
    <w:p>
      <w:pPr>
        <w:spacing w:after="160" w:line="264" w:lineRule="auto"/>
        <w:jc w:val="both"/>
      </w:pPr>
      <w:r>
        <w:t xml:space="preserve">Re-entry is not a new idea in international teacher policy. </w:t>
      </w:r>
      <w:r>
        <w:rPr>
          <w:i/>
          <w:iCs/>
        </w:rPr>
        <w:t xml:space="preserve">Teachers Matter</w:t>
      </w:r>
      <w:r>
        <w:t xml:space="preserve"> recommended two decades ago that education systems maintain contact with former teachers, offer targeted retraining and open flexible re-entry pathways, and </w:t>
      </w:r>
      <w:r>
        <w:rPr>
          <w:i/>
          <w:iCs/>
        </w:rPr>
        <w:t xml:space="preserve">Education Policy Outlook 2024</w:t>
      </w:r>
      <w:r>
        <w:t xml:space="preserve"> again lists re-entry support among the levers for expanding supply (OECD, 2005; OECD, 2024; see Chapter 1). Actual programmes remain scarce, mostly recent and, with one exception, unevaluated. Those documented for this paper fall into four groups: outreach and return support aimed at working-age leavers; recruitment of retirees back into classroom service; deployment of retirees as tutors and mentors; and standing reserve arrangements. Table 4.1 assembles the fullest recruitment funnels published anywhere, from four programmes.</w:t>
      </w:r>
    </w:p>
    <w:p>
      <w:pPr>
        <w:keepNext/>
        <w:spacing w:after="120" w:before="200"/>
      </w:pPr>
      <w:r>
        <w:rPr>
          <w:b/>
          <w:bCs/>
          <w:color w:val="4E81BD"/>
          <w:sz w:val="21"/>
          <w:szCs w:val="21"/>
        </w:rPr>
        <w:t xml:space="preserve">Table 4.1. Published recruitment funnels of re-entry programmes, latest available data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84"/>
        <w:gridCol w:w="1996"/>
        <w:gridCol w:w="1996"/>
        <w:gridCol w:w="1996"/>
      </w:tblGrid>
      <w:tr>
        <w:trPr>
          <w:tblHeader/>
        </w:trPr>
        <w:tc>
          <w:tcPr>
            <w:tcW w:type="dxa" w:w="3084"/>
            <w:tcBorders>
              <w:top w:val="single" w:color="000000" w:sz="6"/>
              <w:left w:val="none" w:color="FFFFFF" w:sz="0"/>
              <w:bottom w:val="single" w:color="000000" w:sz="6"/>
              <w:right w:val="none" w:color="FFFFFF" w:sz="0"/>
            </w:tcBorders>
            <w:shd w:fill="D2D2D2" w:val="clear"/>
            <w:tcMar>
              <w:top w:type="dxa" w:w="40"/>
              <w:left w:type="dxa" w:w="80"/>
              <w:bottom w:type="dxa" w:w="40"/>
              <w:right w:type="dxa" w:w="80"/>
            </w:tcMar>
            <w:vAlign w:val="center"/>
          </w:tcPr>
          <w:p>
            <w:pPr>
              <w:spacing w:after="0"/>
              <w:jc w:val="left"/>
            </w:pPr>
            <w:r>
              <w:rPr>
                <w:b/>
                <w:bCs/>
                <w:sz w:val="19"/>
                <w:szCs w:val="19"/>
              </w:rPr>
              <w:t xml:space="preserve">Programme (period)</w:t>
            </w:r>
          </w:p>
        </w:tc>
        <w:tc>
          <w:tcPr>
            <w:tcW w:type="dxa" w:w="1996"/>
            <w:tcBorders>
              <w:top w:val="single" w:color="000000" w:sz="6"/>
              <w:left w:val="none" w:color="FFFFFF" w:sz="0"/>
              <w:bottom w:val="single" w:color="000000" w:sz="6"/>
              <w:right w:val="none" w:color="FFFFFF" w:sz="0"/>
            </w:tcBorders>
            <w:shd w:fill="D2D2D2" w:val="clear"/>
            <w:tcMar>
              <w:top w:type="dxa" w:w="40"/>
              <w:left w:type="dxa" w:w="80"/>
              <w:bottom w:type="dxa" w:w="40"/>
              <w:right w:type="dxa" w:w="80"/>
            </w:tcMar>
            <w:vAlign w:val="center"/>
          </w:tcPr>
          <w:p>
            <w:pPr>
              <w:spacing w:after="0"/>
              <w:jc w:val="left"/>
            </w:pPr>
            <w:r>
              <w:rPr>
                <w:b/>
                <w:bCs/>
                <w:sz w:val="19"/>
                <w:szCs w:val="19"/>
              </w:rPr>
              <w:t xml:space="preserve">Outreach, target or capacity</w:t>
            </w:r>
          </w:p>
        </w:tc>
        <w:tc>
          <w:tcPr>
            <w:tcW w:type="dxa" w:w="1996"/>
            <w:tcBorders>
              <w:top w:val="single" w:color="000000" w:sz="6"/>
              <w:left w:val="none" w:color="FFFFFF" w:sz="0"/>
              <w:bottom w:val="single" w:color="000000" w:sz="6"/>
              <w:right w:val="none" w:color="FFFFFF" w:sz="0"/>
            </w:tcBorders>
            <w:shd w:fill="D2D2D2" w:val="clear"/>
            <w:tcMar>
              <w:top w:type="dxa" w:w="40"/>
              <w:left w:type="dxa" w:w="80"/>
              <w:bottom w:type="dxa" w:w="40"/>
              <w:right w:type="dxa" w:w="80"/>
            </w:tcMar>
            <w:vAlign w:val="center"/>
          </w:tcPr>
          <w:p>
            <w:pPr>
              <w:spacing w:after="0"/>
              <w:jc w:val="left"/>
            </w:pPr>
            <w:r>
              <w:rPr>
                <w:b/>
                <w:bCs/>
                <w:sz w:val="19"/>
                <w:szCs w:val="19"/>
              </w:rPr>
              <w:t xml:space="preserve">Applications or expressed interest</w:t>
            </w:r>
          </w:p>
        </w:tc>
        <w:tc>
          <w:tcPr>
            <w:tcW w:type="dxa" w:w="1996"/>
            <w:tcBorders>
              <w:top w:val="single" w:color="000000" w:sz="6"/>
              <w:left w:val="none" w:color="FFFFFF" w:sz="0"/>
              <w:bottom w:val="single" w:color="000000" w:sz="6"/>
              <w:right w:val="none" w:color="FFFFFF" w:sz="0"/>
            </w:tcBorders>
            <w:shd w:fill="D2D2D2" w:val="clear"/>
            <w:tcMar>
              <w:top w:type="dxa" w:w="40"/>
              <w:left w:type="dxa" w:w="80"/>
              <w:bottom w:type="dxa" w:w="40"/>
              <w:right w:type="dxa" w:w="80"/>
            </w:tcMar>
            <w:vAlign w:val="center"/>
          </w:tcPr>
          <w:p>
            <w:pPr>
              <w:spacing w:after="0"/>
              <w:jc w:val="left"/>
            </w:pPr>
            <w:r>
              <w:rPr>
                <w:b/>
                <w:bCs/>
                <w:sz w:val="19"/>
                <w:szCs w:val="19"/>
              </w:rPr>
              <w:t xml:space="preserve">Confirmed returns</w:t>
            </w:r>
          </w:p>
        </w:tc>
      </w:tr>
      <w:tr>
        <w:trPr>
          <w:tblHeader w:val="false"/>
        </w:trPr>
        <w:tc>
          <w:tcPr>
            <w:tcW w:type="dxa" w:w="308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England: Return to Teaching pilot (2015-16)</w:t>
            </w:r>
          </w:p>
        </w:tc>
        <w:tc>
          <w:tcPr>
            <w:tcW w:type="dxa" w:w="199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Target of about 650 supported returners</w:t>
            </w:r>
          </w:p>
        </w:tc>
        <w:tc>
          <w:tcPr>
            <w:tcW w:type="dxa" w:w="199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5 729 registrations of interest</w:t>
            </w:r>
          </w:p>
        </w:tc>
        <w:tc>
          <w:tcPr>
            <w:tcW w:type="dxa" w:w="199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354 supported; 27 in permanent posts in target subjects by November 2016 (62 in any state-funded post)</w:t>
            </w:r>
          </w:p>
        </w:tc>
      </w:tr>
      <w:tr>
        <w:trPr>
          <w:tblHeader w:val="false"/>
        </w:trPr>
        <w:tc>
          <w:tcPr>
            <w:tcW w:type="dxa" w:w="308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Australia (New South Wales): Teachers Re-Engage (2023-24)</w:t>
            </w:r>
          </w:p>
        </w:tc>
        <w:tc>
          <w:tcPr>
            <w:tcW w:type="dxa" w:w="199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More than 1 500 recent leavers contacted from departmental records</w:t>
            </w:r>
          </w:p>
        </w:tc>
        <w:tc>
          <w:tcPr>
            <w:tcW w:type="dxa" w:w="199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More than 260 expressed interest</w:t>
            </w:r>
          </w:p>
        </w:tc>
        <w:tc>
          <w:tcPr>
            <w:tcW w:type="dxa" w:w="199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145 placed in casual and temporary roles across more than 600 schools</w:t>
            </w:r>
          </w:p>
        </w:tc>
      </w:tr>
      <w:tr>
        <w:trPr>
          <w:tblHeader w:val="false"/>
        </w:trPr>
        <w:tc>
          <w:tcPr>
            <w:tcW w:type="dxa" w:w="308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Netherlands: herintreders subsidy (2017-20)</w:t>
            </w:r>
          </w:p>
        </w:tc>
        <w:tc>
          <w:tcPr>
            <w:tcW w:type="dxa" w:w="199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Budget for 500 subsidised returners</w:t>
            </w:r>
          </w:p>
        </w:tc>
        <w:tc>
          <w:tcPr>
            <w:tcW w:type="dxa" w:w="199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Final application counts unpublished</w:t>
            </w:r>
          </w:p>
        </w:tc>
        <w:tc>
          <w:tcPr>
            <w:tcW w:type="dxa" w:w="1996"/>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Just over 100 returners subsidised in 2018; nearly 200 cumulatively by late 2019</w:t>
            </w:r>
          </w:p>
        </w:tc>
      </w:tr>
      <w:tr>
        <w:trPr>
          <w:tblHeader w:val="false"/>
        </w:trPr>
        <w:tc>
          <w:tcPr>
            <w:tcW w:type="dxa" w:w="3084"/>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jc w:val="left"/>
            </w:pPr>
            <w:r>
              <w:rPr>
                <w:sz w:val="19"/>
                <w:szCs w:val="19"/>
              </w:rPr>
              <w:t xml:space="preserve">Portugal: Decree-Law 51/2024, Article 5 (2024/25)</w:t>
            </w:r>
          </w:p>
        </w:tc>
        <w:tc>
          <w:tcPr>
            <w:tcW w:type="dxa" w:w="1996"/>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jc w:val="left"/>
            </w:pPr>
            <w:r>
              <w:rPr>
                <w:sz w:val="19"/>
                <w:szCs w:val="19"/>
              </w:rPr>
              <w:t xml:space="preserve">Quota of 200 places</w:t>
            </w:r>
          </w:p>
        </w:tc>
        <w:tc>
          <w:tcPr>
            <w:tcW w:type="dxa" w:w="1996"/>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jc w:val="left"/>
            </w:pPr>
            <w:r>
              <w:rPr>
                <w:sz w:val="19"/>
                <w:szCs w:val="19"/>
              </w:rPr>
              <w:t xml:space="preserve">79-80 applicants</w:t>
            </w:r>
          </w:p>
        </w:tc>
        <w:tc>
          <w:tcPr>
            <w:tcW w:type="dxa" w:w="1996"/>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jc w:val="left"/>
            </w:pPr>
            <w:r>
              <w:rPr>
                <w:sz w:val="19"/>
                <w:szCs w:val="19"/>
              </w:rPr>
              <w:t xml:space="preserve">63 accepted; 55 placed in the first wave (January 2025)</w:t>
            </w:r>
          </w:p>
        </w:tc>
      </w:tr>
    </w:tbl>
    <w:p>
      <w:pPr>
        <w:spacing w:after="120"/>
      </w:pPr>
    </w:p>
    <w:p>
      <w:pPr>
        <w:spacing w:after="60"/>
        <w:jc w:val="left"/>
      </w:pPr>
      <w:r>
        <w:rPr>
          <w:sz w:val="17"/>
          <w:szCs w:val="17"/>
        </w:rPr>
        <w:t xml:space="preserve">Note: Funnel stages are not defined identically across programmes. England's confirmed returns are measured in the School Workforce Census; the New South Wales figures come from a ministerial release and the department's annual report; the Dutch counts are subsidised appointments, not all returns; Portugal's figures cover the first recruitment year only.</w:t>
      </w:r>
    </w:p>
    <w:p>
      <w:pPr>
        <w:spacing w:after="60"/>
        <w:jc w:val="left"/>
      </w:pPr>
      <w:r>
        <w:rPr>
          <w:sz w:val="17"/>
          <w:szCs w:val="17"/>
        </w:rPr>
        <w:t xml:space="preserve">Source: Buchanan et al. (2018); NSW Government (2024); Ministerie van OCW (2019b); Tweede Kamer (2019); Diário de Notícias (2024); Renascença (2024).</w:t>
      </w:r>
    </w:p>
    <w:p>
      <w:pPr>
        <w:pStyle w:val="Heading3"/>
      </w:pPr>
      <w:r>
        <w:t xml:space="preserve">Outreach and return support for working-age leavers</w:t>
      </w:r>
    </w:p>
    <w:p>
      <w:pPr>
        <w:spacing w:after="160" w:line="264" w:lineRule="auto"/>
        <w:jc w:val="both"/>
      </w:pPr>
      <w:r>
        <w:t xml:space="preserve">England's Return to Teaching pilot remains the only independently evaluated re-entry programme located for this paper, and the evaluation is largely negative (Box 4.1). Of 5 729 registrations of interest, 354 former teachers received support and 27 held a permanent post in a target subject a year on; at an estimated GBP 37 400 per additional returner once deadweight is netted out, the evaluators judged the pilot "unlikely to represent good value for money" (Buchanan et al., 2018). The diagnosis has proved more useful than the verdict. Support arrived after the annual hiring cycle had closed, schools offered few of the part-time posts returners wanted, and the segment most likely to come back, teachers on career breaks, returned at double the rate of the other groups identified (Buchanan et al., 2018; Worth and Sharp, 2018). The successor programme required schools to tie funded places to actual vacancies (NCTL, 2017).</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4E81BD" w:sz="6"/>
              <w:left w:val="single" w:color="4E81BD" w:sz="6"/>
              <w:bottom w:val="single" w:color="4E81BD" w:sz="6"/>
              <w:right w:val="single" w:color="4E81BD" w:sz="6"/>
            </w:tcBorders>
            <w:shd w:fill="EEECE1" w:val="clear"/>
            <w:tcMar>
              <w:top w:type="dxa" w:w="160"/>
              <w:left w:type="dxa" w:w="200"/>
              <w:bottom w:type="dxa" w:w="120"/>
              <w:right w:type="dxa" w:w="200"/>
            </w:tcMar>
          </w:tcPr>
          <w:p>
            <w:pPr>
              <w:spacing w:after="140"/>
            </w:pPr>
            <w:r>
              <w:rPr>
                <w:b/>
                <w:bCs/>
                <w:color w:val="4E81BD"/>
                <w:sz w:val="21"/>
                <w:szCs w:val="21"/>
              </w:rPr>
              <w:t xml:space="preserve">Box 4.1. Interest without conversion: England's Return to Teaching pilot (2015-16)</w:t>
            </w:r>
          </w:p>
          <w:p>
            <w:pPr>
              <w:spacing w:after="120" w:line="252" w:lineRule="auto"/>
              <w:jc w:val="both"/>
            </w:pPr>
            <w:r>
              <w:rPr>
                <w:sz w:val="20"/>
                <w:szCs w:val="20"/>
              </w:rPr>
              <w:t xml:space="preserve">The National College for Teaching and Leadership established the pilot in 2015 to return qualified teachers to shortage secondary subjects. Grant-funded partnerships of schools offered subject-knowledge refreshers, classroom experience and mentoring; participants received no payments, and grants to schools totalled GBP 586 900 (Buchanan et al., 2018).</w:t>
            </w:r>
          </w:p>
          <w:p>
            <w:pPr>
              <w:spacing w:after="120" w:line="252" w:lineRule="auto"/>
              <w:jc w:val="both"/>
            </w:pPr>
            <w:r>
              <w:rPr>
                <w:sz w:val="20"/>
                <w:szCs w:val="20"/>
              </w:rPr>
              <w:t xml:space="preserve">Demand outran expectations while conversion collapsed at each stage. Against a forecast of about 3 000 registrations, 5 729 former teachers registered interest; 354 were supported between January and September 2016; 27 held a permanent post in a target subject in a state-funded secondary school by November 2016, with 62 in any state-funded teaching post. The average cost per supported returner in employment was GBP 17 800. Assuming half would have returned anyway, the cost per additional returner reached GBP 37 400, similar to or higher than the cost of training a new teacher. Returners also retain worse than new entrants; departmental analysis put the odds of a returner leaving after the first year back around 60% higher than average (Buchanan et al., 2018).</w:t>
            </w:r>
          </w:p>
          <w:p>
            <w:pPr>
              <w:spacing w:after="120" w:line="252" w:lineRule="auto"/>
              <w:jc w:val="both"/>
            </w:pPr>
            <w:r>
              <w:rPr>
                <w:sz w:val="20"/>
                <w:szCs w:val="20"/>
              </w:rPr>
              <w:t xml:space="preserve">The evaluators identified five returner types and found "career breakers", 11% of participants, returning at twice the rate of the others and best served by part-time posts that schools rarely advertised (Buchanan et al., 2018; Worth and Sharp, 2018). The successor Returners Engagement Programme confined support to mathematics, physics and modern foreign languages and required schools to tie funded places to actual vacancies (NCTL, 2017).</w:t>
            </w:r>
          </w:p>
          <w:p>
            <w:pPr>
              <w:spacing w:after="40"/>
            </w:pPr>
            <w:r>
              <w:rPr>
                <w:sz w:val="17"/>
                <w:szCs w:val="17"/>
              </w:rPr>
              <w:t xml:space="preserve">Source: Buchanan et al. (2018), </w:t>
            </w:r>
            <w:r>
              <w:rPr>
                <w:i/>
                <w:iCs/>
                <w:sz w:val="17"/>
                <w:szCs w:val="17"/>
              </w:rPr>
              <w:t xml:space="preserve">Evaluation of the Return to Teaching Pilot Programme</w:t>
            </w:r>
            <w:r>
              <w:rPr>
                <w:sz w:val="17"/>
                <w:szCs w:val="17"/>
              </w:rPr>
              <w:t xml:space="preserve">; Worth and Sharp (2018); NCTL (2017).</w:t>
            </w:r>
          </w:p>
        </w:tc>
      </w:tr>
    </w:tbl>
    <w:p>
      <w:pPr>
        <w:spacing w:after="160"/>
      </w:pPr>
    </w:p>
    <w:p>
      <w:pPr>
        <w:spacing w:after="160" w:line="264" w:lineRule="auto"/>
        <w:jc w:val="both"/>
      </w:pPr>
      <w:r>
        <w:t xml:space="preserve">England then shifted from grant-funded training to inexpensive standing advice. The Return to Teaching Adviser service gives qualified leavers free one-to-one support with applications, re-registration and vacancies. It cost about GBP 361 000 in 2019/20 and GBP 326 000 in 2020/21, years in which it recorded 128 returns in the three subjects it then covered, implying roughly GBP 5 400 per recorded return, although how many of those teachers would have returned anyway is unknown (UK Parliament, 2022). More than 600 former teachers received an adviser over those two years, of whom only 23 returned to teach physics (Walker, 2022). The service was extended to all secondary subjects in autumn 2022 and to primary teaching by 2023, in a system where around 17 000 teachers return to state schools each year, about one-third of all new entrants (Department for Education, 2023). No independent evaluation has been published. In July 2026 the government reported that more teachers were returning to state schools than at any point in the previous ten years, without announcing any returner-specific successor scheme (UK Parliament, 2026).</w:t>
      </w:r>
    </w:p>
    <w:p>
      <w:pPr>
        <w:spacing w:after="160" w:line="264" w:lineRule="auto"/>
        <w:jc w:val="both"/>
      </w:pPr>
      <w:r>
        <w:t xml:space="preserve">New South Wales (Australia) demonstrates what an employer's own records can do. From November 2023 the education department wrote directly to teachers who had resigned from the public system within the previous five years, bundling accreditation renewal, approval to teach and background checks into a single supported process; there was no return bonus, the pull factors being a system-wide pay settlement and workload measures (NSW Government, 2024). By May 2024, more than 1 500 former teachers had been contacted, more than 260 had expressed interest, and 145 were working in casual and temporary roles across more than 600 schools, with around 60% returning from retirement (NSW Government, 2024; NSW Department of Education, 2024). The initiative then faded from view. No figures have been published since May 2024, and the programme is absent from the department's 2024-25 annual report (NSW Department of Education, 2025).</w:t>
      </w:r>
    </w:p>
    <w:p>
      <w:pPr>
        <w:spacing w:after="160" w:line="264" w:lineRule="auto"/>
        <w:jc w:val="both"/>
      </w:pPr>
      <w:r>
        <w:t xml:space="preserve">New Zealand's approach is regulatory rather than programmatic, resting on relief-teaching allowances and waived re-certification requirements that are examined with the other licensure rules in Section 4.2. The one financial element is more recent. Since October 2025, experienced and returning teachers appointed to designated posts in hard-to-staff schools can receive bonding payments of up to NZD 40 000 over five years, an entitlement previously reserved for new teachers (New Zealand Government, 2025). No uptake figures for the return route have been published, so the package can so far be assessed only as design, not as outcomes.</w:t>
      </w:r>
    </w:p>
    <w:p>
      <w:pPr>
        <w:spacing w:after="160" w:line="264" w:lineRule="auto"/>
        <w:jc w:val="both"/>
      </w:pPr>
      <w:r>
        <w:t xml:space="preserve">The Netherlands, whose registers give it the best-measured reserve in this paper, attached to that reserve a small and undersubscribed instrument (Box 4.2). A one-off subsidy of EUR 2 500 per returner, paid to primary school boards for induction costs, reached nearly 200 returners by late 2019 against a budget for 500, with final grant counts never published, and the regional successor schemes realised tailored returner support less fully than almost any other funded activity, even as several regions reported more returner and side-entrant applications than schools could place (Ministerie van OCW, 2019b; Tweede Kamer, 2019; De Jong et al., 2022). The Dutch record points to absorption capacity in schools, rather than applicant interest, as what actually limits returns.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4E81BD" w:sz="6"/>
              <w:left w:val="single" w:color="4E81BD" w:sz="6"/>
              <w:bottom w:val="single" w:color="4E81BD" w:sz="6"/>
              <w:right w:val="single" w:color="4E81BD" w:sz="6"/>
            </w:tcBorders>
            <w:shd w:fill="EEECE1" w:val="clear"/>
            <w:tcMar>
              <w:top w:type="dxa" w:w="160"/>
              <w:left w:type="dxa" w:w="200"/>
              <w:bottom w:type="dxa" w:w="120"/>
              <w:right w:type="dxa" w:w="200"/>
            </w:tcMar>
          </w:tcPr>
          <w:p>
            <w:pPr>
              <w:spacing w:after="140"/>
            </w:pPr>
            <w:r>
              <w:rPr>
                <w:b/>
                <w:bCs/>
                <w:color w:val="4E81BD"/>
                <w:sz w:val="21"/>
                <w:szCs w:val="21"/>
              </w:rPr>
              <w:t xml:space="preserve">Box 4.2. A subsidy the budget outlived: the Netherlands' herintreders scheme and its regional successors</w:t>
            </w:r>
          </w:p>
          <w:p>
            <w:pPr>
              <w:spacing w:after="120" w:line="252" w:lineRule="auto"/>
              <w:jc w:val="both"/>
            </w:pPr>
            <w:r>
              <w:rPr>
                <w:sz w:val="20"/>
                <w:szCs w:val="20"/>
              </w:rPr>
              <w:t xml:space="preserve">Between November 2017 and October 2020 the Ministry of Education, Culture and Science paid primary school boards a one-off EUR 2 500 for each returning teacher appointed for at least six months, provided the person had not taught for at least twelve consecutive months. The subsidy financed the board's induction and guidance costs rather than the returner's pay, drawing on the experience of the "Terug voor de klas" project (1998-2002). The budget of EUR 1.25 million provided for 500 returners, against an estimated silent reserve of at least 31 000 qualified people in primary education alone (Ministerie van OCW, 2017).</w:t>
            </w:r>
          </w:p>
          <w:p>
            <w:pPr>
              <w:spacing w:after="120" w:line="252" w:lineRule="auto"/>
              <w:jc w:val="both"/>
            </w:pPr>
            <w:r>
              <w:rPr>
                <w:sz w:val="20"/>
                <w:szCs w:val="20"/>
              </w:rPr>
              <w:t xml:space="preserve">Just over 100 returners were subsidised in 2018 and nearly 200 cumulatively by late 2019. When the scheme was extended in 2019, its annual ceilings were lowered, to at most 120 grants in 2019 and 100 in 2020, explicitly because the budget had not been exhausted. Final grant counts were never published, and the regulation lapsed on 1 January 2022 without an evaluation (Ministerie van OCW, 2019a; Ministerie van OCW, 2019b; Tweede Kamer, 2019).</w:t>
            </w:r>
          </w:p>
          <w:p>
            <w:pPr>
              <w:spacing w:after="120" w:line="252" w:lineRule="auto"/>
              <w:jc w:val="both"/>
            </w:pPr>
            <w:r>
              <w:rPr>
                <w:sz w:val="20"/>
                <w:szCs w:val="20"/>
              </w:rPr>
              <w:t xml:space="preserve">Returner activation then moved into regional schemes, most recently the RAP subsidy (about EUR 30 million across 71 partnerships of school boards and teacher-training institutions in 2020-22), each partnership being required to run an information desk for prospective entrants and able to fund "activation of the silent reserve". The commissioned evaluation found tailored support for returners among the least-realised activities, while several regions received more applications from returners and side-entrants than they could place; no causal effect on shortages was estimated (De Jong et al., 2022).</w:t>
            </w:r>
          </w:p>
          <w:p>
            <w:pPr>
              <w:spacing w:after="40"/>
            </w:pPr>
            <w:r>
              <w:rPr>
                <w:sz w:val="17"/>
                <w:szCs w:val="17"/>
              </w:rPr>
              <w:t xml:space="preserve">Source: Ministerie van OCW (2017; 2019a; 2019b); Tweede Kamer (2019); De Jong et al. (2022).</w:t>
            </w:r>
          </w:p>
        </w:tc>
      </w:tr>
    </w:tbl>
    <w:p>
      <w:pPr>
        <w:spacing w:after="160"/>
      </w:pPr>
    </w:p>
    <w:p>
      <w:pPr>
        <w:pStyle w:val="Heading3"/>
      </w:pPr>
      <w:r>
        <w:t xml:space="preserve">Bringing retirees back into classrooms</w:t>
      </w:r>
    </w:p>
    <w:p>
      <w:pPr>
        <w:spacing w:after="160" w:line="264" w:lineRule="auto"/>
        <w:jc w:val="both"/>
      </w:pPr>
      <w:r>
        <w:t xml:space="preserve">Retirees are the pool every system can see, and since 2022 European systems have pursued them most actively; in one country the yields are now audited. Austria has no single national programme; its nine regional education directorates approached retirees ad hoc as the baby-boomer retirement wave crested, writing letters, briefing principals and creating small service points (Box 4.3). The audited national yield, noted in Chapter 3, was 1 062 retired teachers resuming service across the six school years 2018/19 to 2023/24, in a workforce of roughly 123 000 (Rechnungshof, 2025; APA/ORF, 2023).</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4E81BD" w:sz="6"/>
              <w:left w:val="single" w:color="4E81BD" w:sz="6"/>
              <w:bottom w:val="single" w:color="4E81BD" w:sz="6"/>
              <w:right w:val="single" w:color="4E81BD" w:sz="6"/>
            </w:tcBorders>
            <w:shd w:fill="EEECE1" w:val="clear"/>
            <w:tcMar>
              <w:top w:type="dxa" w:w="160"/>
              <w:left w:type="dxa" w:w="200"/>
              <w:bottom w:type="dxa" w:w="120"/>
              <w:right w:type="dxa" w:w="200"/>
            </w:tcMar>
          </w:tcPr>
          <w:p>
            <w:pPr>
              <w:spacing w:after="140"/>
            </w:pPr>
            <w:r>
              <w:rPr>
                <w:b/>
                <w:bCs/>
                <w:color w:val="4E81BD"/>
                <w:sz w:val="21"/>
                <w:szCs w:val="21"/>
              </w:rPr>
              <w:t xml:space="preserve">Box 4.3. Reactivating retirees without a programme: Austria's regional outreach</w:t>
            </w:r>
          </w:p>
          <w:p>
            <w:pPr>
              <w:spacing w:after="120" w:line="252" w:lineRule="auto"/>
              <w:jc w:val="both"/>
            </w:pPr>
            <w:r>
              <w:rPr>
                <w:sz w:val="20"/>
                <w:szCs w:val="20"/>
              </w:rPr>
              <w:t xml:space="preserve">Austria's retiree recruitment is a set of ad hoc measures by the nine regional education directorates rather than a national scheme. In December 2022 the Vienna directorate wrote to 300 retired teachers and instructed principals to speak with staff nearing retirement about staying on; Salzburg contacted all retired teachers up to age 67 and offered public-transport job tickets and higher premiums; Vorarlberg created a dedicated service point, "Arbeitsplatz Schule", which sends re-entry information out together with retirement paperwork; Styria encouraged school leaders to ask retirement-age teachers about continuing, including at reduced hours (APA/ORF, 2023).</w:t>
            </w:r>
          </w:p>
          <w:p>
            <w:pPr>
              <w:spacing w:after="120" w:line="252" w:lineRule="auto"/>
              <w:jc w:val="both"/>
            </w:pPr>
            <w:r>
              <w:rPr>
                <w:sz w:val="20"/>
                <w:szCs w:val="20"/>
              </w:rPr>
              <w:t xml:space="preserve">The Court of Audit counted 1 062 retired teachers resuming service between 2018/19 and 2023/24 (227 in Upper Austria, 49 in Tyrol), with intakes concentrated in 2021/22 and 2022/23 and falling thereafter; it stressed the temporary character of the measure (Rechnungshof, 2025).</w:t>
            </w:r>
          </w:p>
          <w:p>
            <w:pPr>
              <w:spacing w:after="120" w:line="252" w:lineRule="auto"/>
              <w:jc w:val="both"/>
            </w:pPr>
            <w:r>
              <w:rPr>
                <w:sz w:val="20"/>
                <w:szCs w:val="20"/>
              </w:rPr>
              <w:t xml:space="preserve">Pay rules split the returning cohort. Teachers who retired as civil servants are excluded by law from prior-service crediting for any period already generating a pension, so they are re-employed at the teacher starting salary alongside their full pension; former contract-scheme teachers have their teaching service credited and broadly recover their pre-retirement pay (BMBWF, 2023). Interview evidence suggests that return decisions are biographically rooted processes shaped by individual, family, school-related and system-level factors rather than primarily by pay (Resch, 2025a).</w:t>
            </w:r>
          </w:p>
          <w:p>
            <w:pPr>
              <w:spacing w:after="40"/>
            </w:pPr>
            <w:r>
              <w:rPr>
                <w:sz w:val="17"/>
                <w:szCs w:val="17"/>
              </w:rPr>
              <w:t xml:space="preserve">Source: APA/ORF (2023); Rechnungshof (2025); BMBWF (2023), Anfragebeantwortung 15155/AB; Resch (2025a).</w:t>
            </w:r>
          </w:p>
        </w:tc>
      </w:tr>
    </w:tbl>
    <w:p>
      <w:pPr>
        <w:spacing w:after="160"/>
      </w:pPr>
    </w:p>
    <w:p>
      <w:pPr>
        <w:spacing w:after="160" w:line="264" w:lineRule="auto"/>
        <w:jc w:val="both"/>
      </w:pPr>
      <w:r>
        <w:t xml:space="preserve">China operates the largest scheme of this kind anywhere (Box 4.4). The National Silver Age Teachers Action Plan of 2023 aims to build a corps of roughly 120 000 retired educators within about three years, spanning five education strands and counting full-time, part-time and volunteer service; its predecessor lecturing schemes had recruited more than 20 000 retired schoolteachers by mid-2023 (MOE et al., 2023; State Council, 2023). Participants keep their full pension and, in the rural strand, receive working funds of CNY 20 000 per year tied to service in designated disadvantaged counties (MOE and MOF, 2018).</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4E81BD" w:sz="6"/>
              <w:left w:val="single" w:color="4E81BD" w:sz="6"/>
              <w:bottom w:val="single" w:color="4E81BD" w:sz="6"/>
              <w:right w:val="single" w:color="4E81BD" w:sz="6"/>
            </w:tcBorders>
            <w:shd w:fill="EEECE1" w:val="clear"/>
            <w:tcMar>
              <w:top w:type="dxa" w:w="160"/>
              <w:left w:type="dxa" w:w="200"/>
              <w:bottom w:type="dxa" w:w="120"/>
              <w:right w:type="dxa" w:w="200"/>
            </w:tcMar>
          </w:tcPr>
          <w:p>
            <w:pPr>
              <w:spacing w:after="140"/>
            </w:pPr>
            <w:r>
              <w:rPr>
                <w:b/>
                <w:bCs/>
                <w:color w:val="4E81BD"/>
                <w:sz w:val="21"/>
                <w:szCs w:val="21"/>
              </w:rPr>
              <w:t xml:space="preserve">Box 4.4. Recruiting retirees at scale: China's National Silver Age Teachers Action Plan</w:t>
            </w:r>
          </w:p>
          <w:p>
            <w:pPr>
              <w:spacing w:after="120" w:line="252" w:lineRule="auto"/>
              <w:jc w:val="both"/>
            </w:pPr>
            <w:r>
              <w:rPr>
                <w:sz w:val="20"/>
                <w:szCs w:val="20"/>
              </w:rPr>
              <w:t xml:space="preserve">China's Silver Age Lecturing Plan of 2018 recruited retired principals, teaching-research staff and senior teachers into rural compulsory-education schools, with a target of 10 000 recruits over 2018-2020 (MOE and MOF, 2018). The National Silver Age Teachers Action Plan of 2023, issued jointly by ten government bodies, scaled the approach up to a target corps of roughly 120 000 within about three years, spanning higher, vocational, basic, lifelong and private education and including full-time, part-time and volunteer service (MOE et al., 2023). By mid-2023 the predecessor schemes had cumulatively recruited more than 20 000 retired primary and secondary teachers and nearly 1 000 retired professors; a further round in October 2025 sought 7 000 retired teachers for county schools (State Council, 2023; MOE, 2025).</w:t>
            </w:r>
          </w:p>
          <w:p>
            <w:pPr>
              <w:spacing w:after="120" w:line="252" w:lineRule="auto"/>
              <w:jc w:val="both"/>
            </w:pPr>
            <w:r>
              <w:rPr>
                <w:sz w:val="20"/>
                <w:szCs w:val="20"/>
              </w:rPr>
              <w:t xml:space="preserve">Participants are generally aged 65 or under in basic education (70 or under in the other strands), keep their full pension and, in the rural strand, receive working funds of CNY 20 000 per person per year, fully centrally funded in western provinces, alongside housing, once-per-semester travel and insurance cover. Service is directed to counties recently lifted out of poverty, underdeveloped ethnic-minority counties and border counties, and roles extend beyond teaching to demonstration lessons, serving as vice-principals and mentoring young local teachers (MOE et al., 2023).</w:t>
            </w:r>
          </w:p>
          <w:p>
            <w:pPr>
              <w:spacing w:after="120" w:line="252" w:lineRule="auto"/>
              <w:jc w:val="both"/>
            </w:pPr>
            <w:r>
              <w:rPr>
                <w:sz w:val="20"/>
                <w:szCs w:val="20"/>
              </w:rPr>
              <w:t xml:space="preserve">No independent impact evaluation has been located, and Chinese press commentary warns that some localities use silver-age recruits to delay hiring new full-time teachers (R.I.S.E. Magazine, 2025).</w:t>
            </w:r>
          </w:p>
          <w:p>
            <w:pPr>
              <w:spacing w:after="40"/>
            </w:pPr>
            <w:r>
              <w:rPr>
                <w:sz w:val="17"/>
                <w:szCs w:val="17"/>
              </w:rPr>
              <w:t xml:space="preserve">Source: MOE and MOF (2018); MOE et al. (2023); State Council (2023); MOE (2025).</w:t>
            </w:r>
          </w:p>
        </w:tc>
      </w:tr>
    </w:tbl>
    <w:p>
      <w:pPr>
        <w:spacing w:after="160"/>
      </w:pPr>
    </w:p>
    <w:p>
      <w:pPr>
        <w:spacing w:after="160" w:line="264" w:lineRule="auto"/>
        <w:jc w:val="both"/>
      </w:pPr>
      <w:r>
        <w:t xml:space="preserve">Portugal ran the return and retention margins simultaneously, as Chapter 3 noted, through Decree-Law 51/2024 of 28 August 2024, which created two distinct instruments that press coverage often conflated. Under Article 5, teachers retired for five years or less may return on fixed-term contracts in shortage subjects or understaffed schools, keeping their full pension and receiving additional compensation indexed to the first step of the career salary scale, pro-rated by teaching hours; under Article 6, teachers who have reached retirement conditions but stay in the classroom until the end of the school year receive a monthly supplement of EUR 750 (Decreto-Lei n.º 51/2024). Take-up diverged sharply. Against a target of 200 returnees under Article 5, 79-80 retirees applied and 63 were accepted in 2024/25, 55 of them placed in the first wave from January 2025 at an average age of about 68 (Diário de Notícias, 2024; Renascença, 2024). The Article 6 stay-on supplement, by contrast, was used by roughly 2 200 teachers in 2025/26, and in July 2026 the government confined it to shortage zones (eight pedagogical zones covering 235 school units in Greater Lisbon, the Setúbal Peninsula and the Algarve), the education minister conceding that the blanket measure had worked but had in many cases not been justified (RTP, 2026). Union leaders attributed the weak returner uptake to accumulated fatigue and an uninviting school environment rather than to the terms on offer, and the head of the largest teachers' union dismissed the expectation of returns from retirement as an illusion (SÁBADO, 2024). At comparable money, retention dominated re-entry by a factor of 35.</w:t>
      </w:r>
    </w:p>
    <w:p>
      <w:pPr>
        <w:spacing w:after="160" w:line="264" w:lineRule="auto"/>
        <w:jc w:val="both"/>
      </w:pPr>
      <w:r>
        <w:t xml:space="preserve">Japan illustrates retiree re-employment as routine staffing rather than a branded programme. The education ministry's first national shortage survey found 2 558 unfilled teaching positions, affecting 5.8% of public schools, at the start of the 2021 school year; the 2025 survey counted 3 827, up from 2 065 on the comparable start-of-year definition four years earlier (Nippon.com, 2022; Nippon.com, 2026). Boards of education conventionally re-employ teachers after mandatory retirement until pension age, and retirees dominate the substitute pool. In one prefecture studied in depth, teachers in their sixties and seventies accounted for about 60% of part-time adjunct hires, yet only about 35% of age-based retirees in elementary schools (55% in junior high schools) now seek full-time re-employment (Sakuma and Shimazaki, 2024). A reserve composed mainly of retirees depletes on its own schedule.</w:t>
      </w:r>
    </w:p>
    <w:p>
      <w:pPr>
        <w:spacing w:after="160" w:line="264" w:lineRule="auto"/>
        <w:jc w:val="both"/>
      </w:pPr>
      <w:r>
        <w:t xml:space="preserve">Germany's Länder behave much like Austria's directorates. Thirteen of the 16 Länder actively recruit pensioned teachers, using raised earnings limits, salary supplements of around 10% where pension caps bind, and flexible hours; Hesse alone wrote to some 7 000 retired teachers in 2022/23 (Deutsches Schulportal, 2023). Yields are small relative to the outreach. As Chapter 2 noted, just over 5 000 pensioners were teaching nationwide in 2022/23, under 1% of a workforce of roughly 800 000, and Hesse attributes around 550 filled posts to its short-term measures combined, of which rehiring pensioners is only one element alongside service extensions and part-time top-ups (Deutsches Schulportal, 2023; Hessisches Ministerium für Kultus, Bildung und Chancen, 2024).</w:t>
      </w:r>
    </w:p>
    <w:p>
      <w:pPr>
        <w:pStyle w:val="Heading3"/>
      </w:pPr>
      <w:r>
        <w:t xml:space="preserve">Retirees as tutors and mentors</w:t>
      </w:r>
    </w:p>
    <w:p>
      <w:pPr>
        <w:spacing w:after="160" w:line="264" w:lineRule="auto"/>
        <w:jc w:val="both"/>
      </w:pPr>
      <w:r>
        <w:t xml:space="preserve">For retirees, the strongest causal evidence concerns deployment in instructional support rather than re-employment as classroom teachers, and it divides cleanly by role. Tutoring pupils works in randomised trials, whereas mentoring new teachers has so far shown no measurable effect.</w:t>
      </w:r>
    </w:p>
    <w:p>
      <w:pPr>
        <w:spacing w:after="160" w:line="264" w:lineRule="auto"/>
        <w:jc w:val="both"/>
      </w:pPr>
      <w:r>
        <w:t xml:space="preserve">The one randomised trial of retirees as mentors is the Retired Mentors for New Teachers programme of Aurora Public Schools, Colorado. Recently retired master educators, paid USD 41 per hour, mentored probationary teachers in high-need elementary schools through weekly meetings over two years, on top of the district's usual support (DeCesare, McClelland and Randel, 2017). The trial, covering 77 teachers in 11 schools, was well executed, and the What Works Clearinghouse rated it as meeting its group design standards without reservations. The findings were nonetheless indeterminate in all three reviewed domains (reading achievement, mathematics achievement and teacher retention), with no statistically significant effects in either year (What Works Clearinghouse, 2019). The report's own headline result, a small positive first-year mathematics effect, does not survive its own multiple-comparison adjustment (DeCesare, McClelland and Randel, 2017). At about USD 171 per pupil per year the programme was inexpensive, but claims for retiree mentoring should remain correspondingly modest.</w:t>
      </w:r>
    </w:p>
    <w:p>
      <w:pPr>
        <w:spacing w:after="160" w:line="264" w:lineRule="auto"/>
        <w:jc w:val="both"/>
      </w:pPr>
      <w:r>
        <w:t xml:space="preserve">The tutoring evidence is stronger. In the Number Rockets replication trial, 86 tutors recruited from local pools of retired and substitute teachers delivered a scripted small-group numeracy programme to 994 at-risk first graders in 76 schools, in four urban districts each located in a different state of the REL Southwest region; tutored pupils outscored controls on a general mathematics test with an effect size of 0.34 (Gersten et al., 2015; Rolfhus et al., 2012). The result matters for workforce policy because the original efficacy trial had used the researchers' graduate students as tutors (Fuchs et al., 2005); the replication showed that a realistic workforce of retirees and substitutes could reproduce the effect at scale.</w:t>
      </w:r>
    </w:p>
    <w:p>
      <w:pPr>
        <w:spacing w:after="160" w:line="264" w:lineRule="auto"/>
        <w:jc w:val="both"/>
      </w:pPr>
      <w:r>
        <w:t xml:space="preserve">The AARP Foundation's Experience Corps, operating since the mid-1990s, places volunteers aged 50 and over (some, but by no means all, former teachers) as reading tutors for struggling pupils in grades 1 to 3. In a randomised trial enrolling 883 pupils in 23 schools, with an analytic sample of 881 (430 treated, 451 controls), tutored pupils gained the equivalent of 0.13 standard deviations in passage comprehension and 0.16 in teacher-assessed reading skills, and the What Works Clearinghouse's quick review of February 2010 found the trial consistent with its evidence standards (Morrow-Howell et al., 2009; What Works Clearinghouse, 2010). Separate randomised trials among the volunteers themselves documented increased physical activity and, in a neuroimaging subsample, gains in cortical and hippocampal volume in men against age-typical decline (Fried et al., 2004; Varma et al., 2016; Carlson et al., 2015). The programme fielded 1 284 volunteers tutoring 3 659 pupils in 18 United States communities in 2023/24 (AARP, 2025). It is a rare intervention with experimental evidence of benefit on both sides of the exchange, which allows re-entry policy to borrow a healthy-ageing rationale alongside an instructional one. Smaller variants exist elsewhere; in Spain, the University of Zaragoza's "10 mirrors" pilot paired ten retired teachers with 57 education-degree students for three orientation sessions, evaluated only through satisfaction questionnaires (Lizalde Gil and Cortés Pascual, 2019).</w:t>
      </w:r>
    </w:p>
    <w:p>
      <w:pPr>
        <w:pStyle w:val="Heading3"/>
      </w:pPr>
      <w:r>
        <w:t xml:space="preserve">Standing reserves</w:t>
      </w:r>
    </w:p>
    <w:p>
      <w:pPr>
        <w:spacing w:after="160" w:line="264" w:lineRule="auto"/>
        <w:jc w:val="both"/>
      </w:pPr>
      <w:r>
        <w:t xml:space="preserve">A final design institutionalises the returner pool instead of campaigning for it. In July 2026 The Bahamas announced a Teacher Reservist Program, a standing registered reserve of qualified Bahamians (recent graduates, retired educators and trained teachers who left for other professions) that schools can call on, built on the existing supply-teacher platform and supported by a multi-agency task force that fast-tracks vetting and credential assessment (ZNS Bahamas, 2026). The initiative responds to a national shortfall of about 300 teachers across 162 public schools (Cooper, 2026). As of mid-2026 the programme was weeks old, with no published enrolment breakdown or results, and is noted here as a design contrast, a reserve maintained continuously rather than assembled in an emergency. Whether any of these programmes can convert interest into classrooms depends heavily on the certification, pension and re-employment rules examined in the next section.</w:t>
      </w:r>
    </w:p>
    <w:p>
      <w:pPr>
        <w:pStyle w:val="Heading2"/>
      </w:pPr>
      <w:r>
        <w:t xml:space="preserve">4.2. Regulation: pension rules, licensure and re-entry rights</w:t>
      </w:r>
    </w:p>
    <w:p>
      <w:pPr>
        <w:spacing w:after="160" w:line="264" w:lineRule="auto"/>
        <w:jc w:val="both"/>
      </w:pPr>
      <w:r>
        <w:t xml:space="preserve">Most of the regulatory action on re-entry concerns retirees, and one instrument above all, the rules that determine whether a pension can be combined with a teaching salary. For teachers who resigned mid-career, the barriers to return are comparatively light – a lapsed licence, a re-accreditation requirement – and can be lowered by administrative means. For retired teachers, pension compatibility rules decide whether return is financially rational at all, and the evidence assembled below points one way. Where the rules are permissive, retirees return in the thousands; where they are restrictive, in the hundreds, whatever the size of the shortage. Regulation, in this domain, is not the fine print of re-entry policy. It largely is the policy.</w:t>
      </w:r>
    </w:p>
    <w:p>
      <w:pPr>
        <w:pStyle w:val="Heading3"/>
      </w:pPr>
      <w:r>
        <w:t xml:space="preserve">Pension compatibility rules</w:t>
      </w:r>
    </w:p>
    <w:p>
      <w:pPr>
        <w:spacing w:after="160" w:line="264" w:lineRule="auto"/>
        <w:jc w:val="both"/>
      </w:pPr>
      <w:r>
        <w:t xml:space="preserve">Every pension scheme examined for this paper draws a line between retirement income and teaching income, and re-entry policy consists mainly of moving that line. Four dimensions recur across systems: a waiting period between retirement and re-employment; a cap on earnings, hours or days worked while the pension is paid; eligibility restrictions by subject, school or service record; and the treatment of contributions during re-employment. The six United States examples discussed here are illustrative rather than exhaustive; Georgia's state audit records that eight other southern states passed comparable return-to-work laws, with Georgia's the most restrictive among them (Georgia Department of Audits and Accounts, 2025).</w:t>
      </w:r>
    </w:p>
    <w:p>
      <w:pPr>
        <w:spacing w:after="160" w:line="264" w:lineRule="auto"/>
        <w:jc w:val="both"/>
      </w:pPr>
      <w:r>
        <w:t xml:space="preserve">The fullest evidence on what happens when the line is removed altogether comes from North Carolina's 1999-2009 return-to-work window, introduced in Box 3.1. Using administrative data on roughly 169 000 teachers in 2 900 schools, Jarrold-Grapes and Mahler (2024) count about 3 500 returners over the decade, with more than half of all schools (52%) hiring at least one. The returners went disproportionately where they were needed. Their schools had 3.7 percentage points more economically disadvantaged students than average, they were more likely than other teachers to teach mathematics, and 54% returned to the school in which they had taught before retiring, which suggests that retiree re-employment runs through existing relationships between schools and their former staff rather than through open labour-market matching. The authors could not estimate effects on vacancies or student achievement, but argue that the marginal cost of a rehired retiree is modest, because the pension is paid whether or not the retiree returns.</w:t>
      </w:r>
    </w:p>
    <w:p>
      <w:pPr>
        <w:spacing w:after="160" w:line="264" w:lineRule="auto"/>
        <w:jc w:val="both"/>
      </w:pPr>
      <w:r>
        <w:t xml:space="preserve">Georgia and New Mexico, which liberalised within months of each other in 2022, mark the two ends of the current design spectrum. Georgia's House Bill 385 lets retired members of the Teachers Retirement System teach full-time on full pension, but only after at least one year in retirement, only with 30 years of creditable service, and only in one of the three highest-need subject areas of the region; employers must pay both employee and employer contributions (Georgia Department of Audits and Accounts, 2025). The state audit mandated by the law found that 635 retired teachers worked full-time under it for at least a school year between FY2023 and FY2025, roughly 350 in any given year, or under 1% of a workforce of about 125 000 facing some 6 000 vacant or not-fully-certified positions. The audit judged the law's effect on both the shortage and the pension fund "minimal", and 45% of surveyed school systems reported that the statutory conditions had blocked a hire they would otherwise have made (Georgia Department of Audits and Accounts, 2025). The programme was nonetheless extended in 2026 to 2030, keeping the 30-year requirement but letting school systems define their own high-need areas (Teachers Retirement System of Georgia, 2026).</w:t>
      </w:r>
    </w:p>
    <w:p>
      <w:pPr>
        <w:spacing w:after="160" w:line="264" w:lineRule="auto"/>
        <w:jc w:val="both"/>
      </w:pPr>
      <w:r>
        <w:t xml:space="preserve">New Mexico's House Bill 73, by contrast, imposed no limit on salary or hours. Retirees may return for up to 36 months after a 90-day layout period, provided there is no pre-arranged return agreement and the pension board approves (New Mexico Legislature, 2022). In FY2023, the first year, 154 retirees used the new provision, and 2 792 retirees of the Educational Retirement Board were working in some capacity across all return-to-work tiers, out of roughly 48 000 potentially eligible (New Mexico Educational Retirement Board, 2023). The state then liberalised further in 2025, extending the window to 60 months and raising the low-earnings threshold to USD 25 000 (New Mexico Educational Retirement Board, 2025). The comparison is directional rather than causal, since the two systems differ in size and context, but it is consistent with the audit's own evidence from Georgia. Restrictiveness maps onto uptake, and the binding restrictions are the ones legislatures write in to protect pension funds and ration access.</w:t>
      </w:r>
    </w:p>
    <w:p>
      <w:pPr>
        <w:spacing w:after="160" w:line="264" w:lineRule="auto"/>
        <w:jc w:val="both"/>
      </w:pPr>
      <w:r>
        <w:t xml:space="preserve">Other states have moved the same way, usually with sunset clauses. Louisiana extended its no-suspension critical-shortage route to all retirees of the teachers' retirement system in 2024, after a 12-month wait, and consolidated its rules in 2026, adding an unrestricted route for retirees aged 65 and over and raising the earnings cap for others from 25% of the annual benefit to 50% of final average compensation; no uptake figures have been published, and the only mandated review is an actuarial report due before 2034 (Teachers' Retirement System of Louisiana, 2024; 2026). Michigan replaced its patchwork of exceptions in 2022 with a simple rule, a bona fide termination plus nine months in retirement, after which a retiree may work without earnings limit, and in 2023 cut the wait to six months, with the loosening due to lapse in October 2028 unless renewed (Michigan Office of Retirement Services, 2022; 2023). Neither state publishes counts of returning retirees, a gap taken up in Chapter 5.</w:t>
      </w:r>
    </w:p>
    <w:p>
      <w:pPr>
        <w:spacing w:after="160" w:line="264" w:lineRule="auto"/>
        <w:jc w:val="both"/>
      </w:pPr>
      <w:r>
        <w:t xml:space="preserve">Ontario shows the same instrument operated deliberately in both directions, and is discussed in Box 4.5. Its 50-day annual re-employment cap has been raised in shortages and cut in surpluses over three decades, and the March 2024 refusal of the teachers' federation to accept a further increase illustrates a constraint that United States legislatures do not face. Where the pension plan is co-sponsored, the cap moves only with union consent (Ontario Teachers' Pension Plan, 2026; Alphonso, 2024).</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4E81BD" w:sz="6"/>
              <w:left w:val="single" w:color="4E81BD" w:sz="6"/>
              <w:bottom w:val="single" w:color="4E81BD" w:sz="6"/>
              <w:right w:val="single" w:color="4E81BD" w:sz="6"/>
            </w:tcBorders>
            <w:shd w:fill="EEECE1" w:val="clear"/>
            <w:tcMar>
              <w:top w:type="dxa" w:w="160"/>
              <w:left w:type="dxa" w:w="200"/>
              <w:bottom w:type="dxa" w:w="120"/>
              <w:right w:type="dxa" w:w="200"/>
            </w:tcMar>
          </w:tcPr>
          <w:p>
            <w:pPr>
              <w:spacing w:after="140"/>
            </w:pPr>
            <w:r>
              <w:rPr>
                <w:b/>
                <w:bCs/>
                <w:color w:val="4E81BD"/>
                <w:sz w:val="21"/>
                <w:szCs w:val="21"/>
              </w:rPr>
              <w:t xml:space="preserve">Box 4.5. Ontario: a re-employment cap moved in both directions</w:t>
            </w:r>
          </w:p>
          <w:p>
            <w:pPr>
              <w:spacing w:after="120" w:line="252" w:lineRule="auto"/>
              <w:jc w:val="both"/>
            </w:pPr>
            <w:r>
              <w:rPr>
                <w:sz w:val="20"/>
                <w:szCs w:val="20"/>
              </w:rPr>
              <w:t xml:space="preserve">Under Schedule 1 to Ontario's Teachers' Pension Act, 1990, a retired member of the Ontario Teachers' Pension Plan may work up to 50 days per school year for a participating employer without pension suspension; exceeding the limit stops the pension for every further month worked in that year (Ontario Teachers' Pension Plan, 2026). The ceiling has served as a two-way labour-market valve. In 1990, amid a severe shortage, it was raised from 20 to 95 days per year for the first three post-retirement years. In 2012 it was cut to a flat 50 days after a newspaper investigation found Ontario's ten largest boards spending CAD 108.3 million a year on retired supply teachers, paid nearly double the daily rate of new teachers (CAD 432.69 against CAD 227.36), while some 12 774 newly certified teachers competed for around 6 500 openings (Hammer and Alphonso, 2010; OSSTF, n.d.).</w:t>
            </w:r>
          </w:p>
          <w:p>
            <w:pPr>
              <w:spacing w:after="120" w:line="252" w:lineRule="auto"/>
              <w:jc w:val="both"/>
            </w:pPr>
            <w:r>
              <w:rPr>
                <w:sz w:val="20"/>
                <w:szCs w:val="20"/>
              </w:rPr>
              <w:t xml:space="preserve">During the pandemic the cap was temporarily restored to 95 days for the 2020/21 to 2022/23 school years, by agreement between the government and the Ontario Teachers' Federation (OTF), with boards required to report retiree hiring monthly as an OTF condition (Ontario Ministry of Education, 2022; OTF, 2023). The OTF cautioned that demand was thin; only about 60 of 142 000 retired members had expressed interest since September 2021, and the average age of retirees was 72 (Global News, 2022). In March 2024 the federation refused a fourth extension, arguing that "the Pension Plan is designed to provide an income to retired teachers; it is not a tool for addressing labour market challenges" (Alphonso, 2024; OCEOTA, 2024). Re-employment caps carry equity stakes on both sides, between unfilled classes and crowded-out new graduates, and in co-sponsored plans the dial cannot be turned by government alone.</w:t>
            </w:r>
          </w:p>
          <w:p>
            <w:pPr>
              <w:spacing w:after="40"/>
            </w:pPr>
            <w:r>
              <w:rPr>
                <w:sz w:val="17"/>
                <w:szCs w:val="17"/>
              </w:rPr>
              <w:t xml:space="preserve">Source: Ontario Teachers' Pension Plan (2026); Hammer and Alphonso (2010); Ontario Ministry of Education (2022); OTF (2023); Global News (2022); Alphonso (2024); OCEOTA (2024); OSSTF (n.d.).</w:t>
            </w:r>
          </w:p>
        </w:tc>
      </w:tr>
    </w:tbl>
    <w:p>
      <w:pPr>
        <w:spacing w:after="160"/>
      </w:pPr>
    </w:p>
    <w:p>
      <w:pPr>
        <w:spacing w:after="160" w:line="264" w:lineRule="auto"/>
        <w:jc w:val="both"/>
      </w:pPr>
      <w:r>
        <w:t xml:space="preserve">France offers the barrier case. The cumul emploi-retraite framework allows pensions and earnings to be combined, but a retired public agent returning to their last employer, which is what returning to the Éducation nationale entails for most teachers, must wait six months from the effective date of the pension, a rule dating from the 2003 pension reform (Assemblée nationale, 2023). No official figures on retired teachers returning under the framework have been published. A 2023 parliamentary question asking which regulatory obstacles should be lifted so that willing retired teachers could cover unfilled absences was never answered and lapsed at the end of the legislature, while a 2026 exchange turned on income caps that penalise teachers who retired with pre-2015 early pension rights (Assemblée nationale, 2024; 2026).</w:t>
      </w:r>
    </w:p>
    <w:p>
      <w:pPr>
        <w:spacing w:after="160" w:line="264" w:lineRule="auto"/>
        <w:jc w:val="both"/>
      </w:pPr>
      <w:r>
        <w:t xml:space="preserve">England's rules are milder than any of the above, and are softening by scheme succession rather than by decision. Under the Teachers' Pension Scheme, abatement applies only to final-salary Age or Premature retirement benefits. A retiree may earn, in any tax year, up to an index-linked "salary of reference" minus the annual pension before the pension is suspended for the remainder of the scheme year. Benefits drawn early with actuarial reduction are never abated, and pensions accrued in the career-average scheme that covers all service since 2015 are not abated at all, so the constraint is confined to a shrinking cohort of final-salary entitlements and will disappear as career-average membership matures; compliance runs through employers' monthly data returns or a certificate of re-employment (Teachers' Pensions, n.d.).</w:t>
      </w:r>
    </w:p>
    <w:p>
      <w:pPr>
        <w:spacing w:after="160" w:line="264" w:lineRule="auto"/>
        <w:jc w:val="both"/>
      </w:pPr>
      <w:r>
        <w:t xml:space="preserve">Table 4.2 summarises the rules across these systems. Two patterns stand out. First, the direction of travel since 2020 has been liberalisation, usually time-limited. Georgia's law sunsets in 2030, Michigan's six-month rule in 2028 and Virginia's provisions in 2028. Tying the loosening to the shortage that motivated it is defensible design, provided somebody is counting who returns, which in most of these systems nobody is. Second, uptake is documented in only three of the nine systems, and it is largest precisely where the penalty on return was removed most completely and for longest, in North Carolina.</w:t>
      </w:r>
    </w:p>
    <w:p>
      <w:pPr>
        <w:keepNext/>
        <w:spacing w:after="120" w:before="200"/>
      </w:pPr>
      <w:r>
        <w:rPr>
          <w:b/>
          <w:bCs/>
          <w:color w:val="4E81BD"/>
          <w:sz w:val="21"/>
          <w:szCs w:val="21"/>
        </w:rPr>
        <w:t xml:space="preserve">Table 4.2. Pension re-employment rules for retired teachers in selected systems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84"/>
        <w:gridCol w:w="1497"/>
        <w:gridCol w:w="1497"/>
        <w:gridCol w:w="1497"/>
        <w:gridCol w:w="1497"/>
      </w:tblGrid>
      <w:tr>
        <w:trPr>
          <w:tblHeader/>
        </w:trPr>
        <w:tc>
          <w:tcPr>
            <w:tcW w:type="dxa" w:w="3084"/>
            <w:tcBorders>
              <w:top w:val="single" w:color="000000" w:sz="6"/>
              <w:left w:val="none" w:color="FFFFFF" w:sz="0"/>
              <w:bottom w:val="single" w:color="000000" w:sz="6"/>
              <w:right w:val="none" w:color="FFFFFF" w:sz="0"/>
            </w:tcBorders>
            <w:shd w:fill="D2D2D2" w:val="clear"/>
            <w:tcMar>
              <w:top w:type="dxa" w:w="40"/>
              <w:left w:type="dxa" w:w="80"/>
              <w:bottom w:type="dxa" w:w="40"/>
              <w:right w:type="dxa" w:w="80"/>
            </w:tcMar>
            <w:vAlign w:val="center"/>
          </w:tcPr>
          <w:p>
            <w:pPr>
              <w:spacing w:after="0"/>
              <w:jc w:val="left"/>
            </w:pPr>
            <w:r>
              <w:rPr>
                <w:b/>
                <w:bCs/>
                <w:sz w:val="19"/>
                <w:szCs w:val="19"/>
              </w:rPr>
              <w:t xml:space="preserve">System</w:t>
            </w:r>
          </w:p>
        </w:tc>
        <w:tc>
          <w:tcPr>
            <w:tcW w:type="dxa" w:w="1497"/>
            <w:tcBorders>
              <w:top w:val="single" w:color="000000" w:sz="6"/>
              <w:left w:val="none" w:color="FFFFFF" w:sz="0"/>
              <w:bottom w:val="single" w:color="000000" w:sz="6"/>
              <w:right w:val="none" w:color="FFFFFF" w:sz="0"/>
            </w:tcBorders>
            <w:shd w:fill="D2D2D2" w:val="clear"/>
            <w:tcMar>
              <w:top w:type="dxa" w:w="40"/>
              <w:left w:type="dxa" w:w="80"/>
              <w:bottom w:type="dxa" w:w="40"/>
              <w:right w:type="dxa" w:w="80"/>
            </w:tcMar>
            <w:vAlign w:val="center"/>
          </w:tcPr>
          <w:p>
            <w:pPr>
              <w:spacing w:after="0"/>
              <w:jc w:val="left"/>
            </w:pPr>
            <w:r>
              <w:rPr>
                <w:b/>
                <w:bCs/>
                <w:sz w:val="19"/>
                <w:szCs w:val="19"/>
              </w:rPr>
              <w:t xml:space="preserve">Instrument (year)</w:t>
            </w:r>
          </w:p>
        </w:tc>
        <w:tc>
          <w:tcPr>
            <w:tcW w:type="dxa" w:w="1497"/>
            <w:tcBorders>
              <w:top w:val="single" w:color="000000" w:sz="6"/>
              <w:left w:val="none" w:color="FFFFFF" w:sz="0"/>
              <w:bottom w:val="single" w:color="000000" w:sz="6"/>
              <w:right w:val="none" w:color="FFFFFF" w:sz="0"/>
            </w:tcBorders>
            <w:shd w:fill="D2D2D2" w:val="clear"/>
            <w:tcMar>
              <w:top w:type="dxa" w:w="40"/>
              <w:left w:type="dxa" w:w="80"/>
              <w:bottom w:type="dxa" w:w="40"/>
              <w:right w:type="dxa" w:w="80"/>
            </w:tcMar>
            <w:vAlign w:val="center"/>
          </w:tcPr>
          <w:p>
            <w:pPr>
              <w:spacing w:after="0"/>
              <w:jc w:val="left"/>
            </w:pPr>
            <w:r>
              <w:rPr>
                <w:b/>
                <w:bCs/>
                <w:sz w:val="19"/>
                <w:szCs w:val="19"/>
              </w:rPr>
              <w:t xml:space="preserve">Waiting period</w:t>
            </w:r>
          </w:p>
        </w:tc>
        <w:tc>
          <w:tcPr>
            <w:tcW w:type="dxa" w:w="1497"/>
            <w:tcBorders>
              <w:top w:val="single" w:color="000000" w:sz="6"/>
              <w:left w:val="none" w:color="FFFFFF" w:sz="0"/>
              <w:bottom w:val="single" w:color="000000" w:sz="6"/>
              <w:right w:val="none" w:color="FFFFFF" w:sz="0"/>
            </w:tcBorders>
            <w:shd w:fill="D2D2D2" w:val="clear"/>
            <w:tcMar>
              <w:top w:type="dxa" w:w="40"/>
              <w:left w:type="dxa" w:w="80"/>
              <w:bottom w:type="dxa" w:w="40"/>
              <w:right w:type="dxa" w:w="80"/>
            </w:tcMar>
            <w:vAlign w:val="center"/>
          </w:tcPr>
          <w:p>
            <w:pPr>
              <w:spacing w:after="0"/>
              <w:jc w:val="left"/>
            </w:pPr>
            <w:r>
              <w:rPr>
                <w:b/>
                <w:bCs/>
                <w:sz w:val="19"/>
                <w:szCs w:val="19"/>
              </w:rPr>
              <w:t xml:space="preserve">Limits while drawing a pension</w:t>
            </w:r>
          </w:p>
        </w:tc>
        <w:tc>
          <w:tcPr>
            <w:tcW w:type="dxa" w:w="1497"/>
            <w:tcBorders>
              <w:top w:val="single" w:color="000000" w:sz="6"/>
              <w:left w:val="none" w:color="FFFFFF" w:sz="0"/>
              <w:bottom w:val="single" w:color="000000" w:sz="6"/>
              <w:right w:val="none" w:color="FFFFFF" w:sz="0"/>
            </w:tcBorders>
            <w:shd w:fill="D2D2D2" w:val="clear"/>
            <w:tcMar>
              <w:top w:type="dxa" w:w="40"/>
              <w:left w:type="dxa" w:w="80"/>
              <w:bottom w:type="dxa" w:w="40"/>
              <w:right w:type="dxa" w:w="80"/>
            </w:tcMar>
            <w:vAlign w:val="center"/>
          </w:tcPr>
          <w:p>
            <w:pPr>
              <w:spacing w:after="0"/>
              <w:jc w:val="left"/>
            </w:pPr>
            <w:r>
              <w:rPr>
                <w:b/>
                <w:bCs/>
                <w:sz w:val="19"/>
                <w:szCs w:val="19"/>
              </w:rPr>
              <w:t xml:space="preserve">Documented uptake</w:t>
            </w:r>
          </w:p>
        </w:tc>
      </w:tr>
      <w:tr>
        <w:trPr>
          <w:tblHeader w:val="false"/>
        </w:trPr>
        <w:tc>
          <w:tcPr>
            <w:tcW w:type="dxa" w:w="308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United States (North Carolina)</w:t>
            </w:r>
          </w:p>
        </w:tc>
        <w:tc>
          <w:tcPr>
            <w:tcW w:type="dxa" w:w="14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Return-to-work policy (1999-2009, expired)</w:t>
            </w:r>
          </w:p>
        </w:tc>
        <w:tc>
          <w:tcPr>
            <w:tcW w:type="dxa" w:w="14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None beyond retirement eligibility</w:t>
            </w:r>
          </w:p>
        </w:tc>
        <w:tc>
          <w:tcPr>
            <w:tcW w:type="dxa" w:w="14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None during the policy window; otherwise part-time earnings capped at half of previous salary</w:t>
            </w:r>
          </w:p>
        </w:tc>
        <w:tc>
          <w:tcPr>
            <w:tcW w:type="dxa" w:w="14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~3 500 returners, 1999-2009; 54% to their former school</w:t>
            </w:r>
          </w:p>
        </w:tc>
      </w:tr>
      <w:tr>
        <w:trPr>
          <w:tblHeader w:val="false"/>
        </w:trPr>
        <w:tc>
          <w:tcPr>
            <w:tcW w:type="dxa" w:w="308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United States (Georgia)</w:t>
            </w:r>
          </w:p>
        </w:tc>
        <w:tc>
          <w:tcPr>
            <w:tcW w:type="dxa" w:w="14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HB 385 (2022; extended to 2030)</w:t>
            </w:r>
          </w:p>
        </w:tc>
        <w:tc>
          <w:tcPr>
            <w:tcW w:type="dxa" w:w="14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1 year retired; 30 years' service</w:t>
            </w:r>
          </w:p>
        </w:tc>
        <w:tc>
          <w:tcPr>
            <w:tcW w:type="dxa" w:w="14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Full-time teaching in highest-need subject areas only; employer and employee contributions due</w:t>
            </w:r>
          </w:p>
        </w:tc>
        <w:tc>
          <w:tcPr>
            <w:tcW w:type="dxa" w:w="14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635 cumulative, FY2023-FY2025 (~350 per year)</w:t>
            </w:r>
          </w:p>
        </w:tc>
      </w:tr>
      <w:tr>
        <w:trPr>
          <w:tblHeader w:val="false"/>
        </w:trPr>
        <w:tc>
          <w:tcPr>
            <w:tcW w:type="dxa" w:w="308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United States (New Mexico)</w:t>
            </w:r>
          </w:p>
        </w:tc>
        <w:tc>
          <w:tcPr>
            <w:tcW w:type="dxa" w:w="14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HB 73 (2022; amended 2025)</w:t>
            </w:r>
          </w:p>
        </w:tc>
        <w:tc>
          <w:tcPr>
            <w:tcW w:type="dxa" w:w="14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90-day layout; board approval</w:t>
            </w:r>
          </w:p>
        </w:tc>
        <w:tc>
          <w:tcPr>
            <w:tcW w:type="dxa" w:w="14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None on salary or hours, up to 60 months</w:t>
            </w:r>
          </w:p>
        </w:tc>
        <w:tc>
          <w:tcPr>
            <w:tcW w:type="dxa" w:w="14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154 in FY2023 (new tier); 2 792 working retirees across all tiers</w:t>
            </w:r>
          </w:p>
        </w:tc>
      </w:tr>
      <w:tr>
        <w:trPr>
          <w:tblHeader w:val="false"/>
        </w:trPr>
        <w:tc>
          <w:tcPr>
            <w:tcW w:type="dxa" w:w="308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United States (Louisiana)</w:t>
            </w:r>
          </w:p>
        </w:tc>
        <w:tc>
          <w:tcPr>
            <w:tcW w:type="dxa" w:w="14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Acts 394 (2024) and 344 (2026)</w:t>
            </w:r>
          </w:p>
        </w:tc>
        <w:tc>
          <w:tcPr>
            <w:tcW w:type="dxa" w:w="14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12 months</w:t>
            </w:r>
          </w:p>
        </w:tc>
        <w:tc>
          <w:tcPr>
            <w:tcW w:type="dxa" w:w="14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Critical-shortage posts exempt; others capped at 50% of final average compensation; no cap from age 65</w:t>
            </w:r>
          </w:p>
        </w:tc>
        <w:tc>
          <w:tcPr>
            <w:tcW w:type="dxa" w:w="14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Not published</w:t>
            </w:r>
          </w:p>
        </w:tc>
      </w:tr>
      <w:tr>
        <w:trPr>
          <w:tblHeader w:val="false"/>
        </w:trPr>
        <w:tc>
          <w:tcPr>
            <w:tcW w:type="dxa" w:w="308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United States (Michigan)</w:t>
            </w:r>
          </w:p>
        </w:tc>
        <w:tc>
          <w:tcPr>
            <w:tcW w:type="dxa" w:w="14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PA 184 (2022); PA 147 (2023, sunset 2028)</w:t>
            </w:r>
          </w:p>
        </w:tc>
        <w:tc>
          <w:tcPr>
            <w:tcW w:type="dxa" w:w="14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6 months (9 from 2028 unless renewed)</w:t>
            </w:r>
          </w:p>
        </w:tc>
        <w:tc>
          <w:tcPr>
            <w:tcW w:type="dxa" w:w="14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None after the wait; USD 15 100 per calendar year during it</w:t>
            </w:r>
          </w:p>
        </w:tc>
        <w:tc>
          <w:tcPr>
            <w:tcW w:type="dxa" w:w="14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Not published</w:t>
            </w:r>
          </w:p>
        </w:tc>
      </w:tr>
      <w:tr>
        <w:trPr>
          <w:tblHeader w:val="false"/>
        </w:trPr>
        <w:tc>
          <w:tcPr>
            <w:tcW w:type="dxa" w:w="308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United States (Virginia)</w:t>
            </w:r>
          </w:p>
        </w:tc>
        <w:tc>
          <w:tcPr>
            <w:tcW w:type="dxa" w:w="14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Va. Code § 51.1-155 (2001; amended 2023, sunset 2028)</w:t>
            </w:r>
          </w:p>
        </w:tc>
        <w:tc>
          <w:tcPr>
            <w:tcW w:type="dxa" w:w="14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6 consecutive months, no pre-arrangement</w:t>
            </w:r>
          </w:p>
        </w:tc>
        <w:tc>
          <w:tcPr>
            <w:tcW w:type="dxa" w:w="14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Full pension retained in designated critical-shortage positions only</w:t>
            </w:r>
          </w:p>
        </w:tc>
        <w:tc>
          <w:tcPr>
            <w:tcW w:type="dxa" w:w="14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Not published</w:t>
            </w:r>
          </w:p>
        </w:tc>
      </w:tr>
      <w:tr>
        <w:trPr>
          <w:tblHeader w:val="false"/>
        </w:trPr>
        <w:tc>
          <w:tcPr>
            <w:tcW w:type="dxa" w:w="308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Canada (Ontario)</w:t>
            </w:r>
          </w:p>
        </w:tc>
        <w:tc>
          <w:tcPr>
            <w:tcW w:type="dxa" w:w="14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Teachers' Pension Act, Schedule 1 (1990)</w:t>
            </w:r>
          </w:p>
        </w:tc>
        <w:tc>
          <w:tcPr>
            <w:tcW w:type="dxa" w:w="14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None</w:t>
            </w:r>
          </w:p>
        </w:tc>
        <w:tc>
          <w:tcPr>
            <w:tcW w:type="dxa" w:w="14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50 days per school year (95 in 1990-2012 for the first three years; 95 in 2020/21-2022/23)</w:t>
            </w:r>
          </w:p>
        </w:tc>
        <w:tc>
          <w:tcPr>
            <w:tcW w:type="dxa" w:w="14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~60 of 142 000 retirees expressed interest, 2021/22</w:t>
            </w:r>
          </w:p>
        </w:tc>
      </w:tr>
      <w:tr>
        <w:trPr>
          <w:tblHeader w:val="false"/>
        </w:trPr>
        <w:tc>
          <w:tcPr>
            <w:tcW w:type="dxa" w:w="308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France</w:t>
            </w:r>
          </w:p>
        </w:tc>
        <w:tc>
          <w:tcPr>
            <w:tcW w:type="dxa" w:w="14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Cumul emploi-retraite (2003; liberalised 2023)</w:t>
            </w:r>
          </w:p>
        </w:tc>
        <w:tc>
          <w:tcPr>
            <w:tcW w:type="dxa" w:w="14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6 months for return to the last employer</w:t>
            </w:r>
          </w:p>
        </w:tc>
        <w:tc>
          <w:tcPr>
            <w:tcW w:type="dxa" w:w="14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Earnings capped unless full-rate conditions met</w:t>
            </w:r>
          </w:p>
        </w:tc>
        <w:tc>
          <w:tcPr>
            <w:tcW w:type="dxa" w:w="1497"/>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Not published</w:t>
            </w:r>
          </w:p>
        </w:tc>
      </w:tr>
      <w:tr>
        <w:trPr>
          <w:tblHeader w:val="false"/>
        </w:trPr>
        <w:tc>
          <w:tcPr>
            <w:tcW w:type="dxa" w:w="3084"/>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jc w:val="left"/>
            </w:pPr>
            <w:r>
              <w:rPr>
                <w:sz w:val="19"/>
                <w:szCs w:val="19"/>
              </w:rPr>
              <w:t xml:space="preserve">England</w:t>
            </w:r>
          </w:p>
        </w:tc>
        <w:tc>
          <w:tcPr>
            <w:tcW w:type="dxa" w:w="1497"/>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jc w:val="left"/>
            </w:pPr>
            <w:r>
              <w:rPr>
                <w:sz w:val="19"/>
                <w:szCs w:val="19"/>
              </w:rPr>
              <w:t xml:space="preserve">Teachers' Pension Scheme abatement rules</w:t>
            </w:r>
          </w:p>
        </w:tc>
        <w:tc>
          <w:tcPr>
            <w:tcW w:type="dxa" w:w="1497"/>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jc w:val="left"/>
            </w:pPr>
            <w:r>
              <w:rPr>
                <w:sz w:val="19"/>
                <w:szCs w:val="19"/>
              </w:rPr>
              <w:t xml:space="preserve">None</w:t>
            </w:r>
          </w:p>
        </w:tc>
        <w:tc>
          <w:tcPr>
            <w:tcW w:type="dxa" w:w="1497"/>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jc w:val="left"/>
            </w:pPr>
            <w:r>
              <w:rPr>
                <w:sz w:val="19"/>
                <w:szCs w:val="19"/>
              </w:rPr>
              <w:t xml:space="preserve">Final-salary benefits only: earnings above the salary of reference minus the pension suspend payment for the scheme year; career-average benefits unaffected</w:t>
            </w:r>
          </w:p>
        </w:tc>
        <w:tc>
          <w:tcPr>
            <w:tcW w:type="dxa" w:w="1497"/>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jc w:val="left"/>
            </w:pPr>
            <w:r>
              <w:rPr>
                <w:sz w:val="19"/>
                <w:szCs w:val="19"/>
              </w:rPr>
              <w:t xml:space="preserve">Not applicable</w:t>
            </w:r>
          </w:p>
        </w:tc>
      </w:tr>
    </w:tbl>
    <w:p>
      <w:pPr>
        <w:spacing w:after="120"/>
      </w:pPr>
    </w:p>
    <w:p>
      <w:pPr>
        <w:spacing w:after="60"/>
        <w:jc w:val="left"/>
      </w:pPr>
      <w:r>
        <w:rPr>
          <w:sz w:val="17"/>
          <w:szCs w:val="17"/>
        </w:rPr>
        <w:t xml:space="preserve">Note: The selection is illustrative, not exhaustive; the Georgia state audit records eight other southern states with comparable return-to-work laws, Georgia's being the most restrictive (Georgia Department of Audits and Accounts, 2025). Conditions shown are simplified; several systems operate additional part-time or low-earnings tiers.</w:t>
      </w:r>
    </w:p>
    <w:p>
      <w:pPr>
        <w:spacing w:after="60"/>
        <w:jc w:val="left"/>
      </w:pPr>
      <w:r>
        <w:rPr>
          <w:sz w:val="17"/>
          <w:szCs w:val="17"/>
        </w:rPr>
        <w:t xml:space="preserve">Source: Jarrold-Grapes and Mahler (2024); Georgia Department of Audits and Accounts (2025); Teachers Retirement System of Georgia (2026); New Mexico Legislature (2022); New Mexico Educational Retirement Board (2023; 2025); Teachers' Retirement System of Louisiana (2024; 2026); Michigan Office of Retirement Services (2022; 2023); Will (2022); Commonwealth of Virginia (2023); Virginia Retirement System (n.d.); Ontario Teachers' Pension Plan (2026); Global News (2022); Assemblée nationale (2023); Teachers' Pensions (n.d.).</w:t>
      </w:r>
    </w:p>
    <w:p>
      <w:pPr>
        <w:pStyle w:val="Heading3"/>
      </w:pPr>
      <w:r>
        <w:t xml:space="preserve">Licensure and re-accreditation</w:t>
      </w:r>
    </w:p>
    <w:p>
      <w:pPr>
        <w:spacing w:after="160" w:line="264" w:lineRule="auto"/>
        <w:jc w:val="both"/>
      </w:pPr>
      <w:r>
        <w:t xml:space="preserve">The second regulatory layer is the licence, and here the barriers are lower and the fixes cheaper. Virginia's Executive Directive Three of September 2022 instructed the Superintendent of Public Instruction to expedite renewal licences for retired and out-of-state teachers whose licences had lapsed, and to co-ordinate with the retirement system so that all vacant school positions were classified to allow retired teachers to fill them; the underlying pension mechanism, full pension plus salary in critical-shortage posts, has been statutory since 2001, and 2023 legislation halved the required break in service to six months (Will, 2022; Commonwealth of Virginia, 2023; Virginia Retirement System, n.d.). The directive created no new entitlement, and therein lies its significance. Much of what deters returners is process, and process can be changed by instruction rather than statute.</w:t>
      </w:r>
    </w:p>
    <w:p>
      <w:pPr>
        <w:spacing w:after="160" w:line="264" w:lineRule="auto"/>
        <w:jc w:val="both"/>
      </w:pPr>
      <w:r>
        <w:t xml:space="preserve">New South Wales made the same move administratively. Its Teachers Re-Engage outreach of November 2023 (Section 4.1) paired direct contact of recent leavers with departmental support for regaining accreditation with the state regulator, approval to teach and the Working with Children Check, and the standing "returning teachers" service now routes returners into accreditation reactivation, including a dedicated regulator contact for teachers who retired before October 2004 (NSW Government, 2024; NSW Department of Education, 2026). New Zealand has gone furthest in dismantling re-certification requirements. A registered teacher whose practising certificate has expired may relief teach up to 20 half-days per calendar year without one, under a standing statutory allowance (New Zealand Legislation, 2020). Returners with a relief-teaching job offer are exempt from the Teacher Education Refresh programme that formerly applied after five or more years out, an exemption introduced as a time-limited measure and effectively mainstreamed by 2026, and the government pays practising-certificate fees until mid-2028 (New Zealand Ministry of Education, 2026; Teaching Council of Aotearoa New Zealand, 2026). No uptake figures or evaluation have been published for any element of the package, so New Zealand stands as the clearest example of regulatory barrier removal as design, not yet as evidence.</w:t>
      </w:r>
    </w:p>
    <w:p>
      <w:pPr>
        <w:pStyle w:val="Heading3"/>
      </w:pPr>
      <w:r>
        <w:t xml:space="preserve">Career breaks and re-entry rights</w:t>
      </w:r>
    </w:p>
    <w:p>
      <w:pPr>
        <w:spacing w:after="160" w:line="264" w:lineRule="auto"/>
        <w:jc w:val="both"/>
      </w:pPr>
      <w:r>
        <w:t xml:space="preserve">A third, quieter instrument keeps leavers formally attached so that re-entry never becomes a regulatory event. Ireland's Career Break Scheme gives registered teachers unpaid leave of up to five years at a time, and ten over a career, with a right of return to teaching afterwards (Department of Education, 2019). Since at least 2021/22 the Department has annually suspended the scheme's bar on substitute work, most recently for 2025/26, so that teachers on career break can be employed as substitutes without restriction while retaining their return rights (Department of Education and Youth, 2025). This is retention-of-attachment rather than re-entry legislation, and no uptake figures or evaluation have been published, but it addresses the moment when most regulatory barriers are created, the moment of exit.</w:t>
      </w:r>
    </w:p>
    <w:p>
      <w:pPr>
        <w:spacing w:after="160" w:line="264" w:lineRule="auto"/>
        <w:jc w:val="both"/>
      </w:pPr>
      <w:r>
        <w:t xml:space="preserve">The pattern across the three layers is consistent with this section's opening claim. Pension rules are where the money is and where the movement has been; licensure fixes are cheap and administratively quick; re-entry rights prevent the barrier from arising. What no system yet demonstrates is that regulatory permission alone fills classrooms. Georgia's audited "minimal effect", Ontario's 60 interested retirees out of 142 000, and the thin uptake reporting almost everywhere else suggest that liberalisation raises take-up without, by itself, closing shortages, which is why Chapter 5 treats regulatory permission as a necessary condition and asks what has to sit alongside it.</w:t>
      </w:r>
    </w:p>
    <w:p>
      <w:pPr>
        <w:pStyle w:val="Heading1"/>
        <w:pageBreakBefore/>
      </w:pPr>
      <w:r>
        <w:t xml:space="preserve">5. Lessons and recommendations for policymakers</w:t>
      </w:r>
    </w:p>
    <w:p>
      <w:pPr>
        <w:spacing w:after="160" w:line="264" w:lineRule="auto"/>
        <w:jc w:val="both"/>
      </w:pPr>
      <w:r>
        <w:t xml:space="preserve">Re-entry is not a new idea awaiting validation; it is a two-decade-old strand of international teacher policy that has rarely been implemented with discipline. </w:t>
      </w:r>
      <w:r>
        <w:rPr>
          <w:i/>
          <w:iCs/>
        </w:rPr>
        <w:t xml:space="preserve">Teachers Matter</w:t>
      </w:r>
      <w:r>
        <w:t xml:space="preserve"> recommended maintaining contact with former teachers, targeted retraining and flexible re-entry pathways, and noted that returners need induction as much as beginners do (OECD, 2005). </w:t>
      </w:r>
      <w:r>
        <w:rPr>
          <w:i/>
          <w:iCs/>
        </w:rPr>
        <w:t xml:space="preserve">Education Policy Outlook 2024</w:t>
      </w:r>
      <w:r>
        <w:t xml:space="preserve"> lists supporting the re-entry of teachers who left the profession among four levers for expanding supply (OECD, 2024), and </w:t>
      </w:r>
      <w:r>
        <w:rPr>
          <w:i/>
          <w:iCs/>
        </w:rPr>
        <w:t xml:space="preserve">Education at a Glance 2025</w:t>
      </w:r>
      <w:r>
        <w:t xml:space="preserve"> observes that "in most countries there are pathways for teachers to return to the profession if they wish" (OECD, 2025a). What has been missing is the craft, and the accounts.</w:t>
      </w:r>
    </w:p>
    <w:p>
      <w:pPr>
        <w:spacing w:after="160" w:line="264" w:lineRule="auto"/>
        <w:jc w:val="both"/>
      </w:pPr>
      <w:r>
        <w:t xml:space="preserve">The nine recommendations that follow consolidate the design lessons of Chapters 2 to 4. They rest on four kinds of evidence: audited or administrative take-up under different rule designs (North Carolina, Georgia, New Mexico, Austria, Portugal, Ontario), one independent programme evaluation (England), randomised trials of retirees in instructional roles, and OECD comparative indicators. None of this is causal evidence on re-entry incentives, a limitation Section 5.2 sets out plainly. It is nonetheless sufficient to rank designs, and sufficient to say what governments should stop doing.</w:t>
      </w:r>
    </w:p>
    <w:p>
      <w:pPr>
        <w:pStyle w:val="Heading2"/>
      </w:pPr>
      <w:r>
        <w:t xml:space="preserve">5.1. Nine recommendations</w:t>
      </w:r>
    </w:p>
    <w:p>
      <w:pPr>
        <w:spacing w:after="160" w:line="264" w:lineRule="auto"/>
        <w:jc w:val="both"/>
      </w:pPr>
      <w:r>
        <w:rPr>
          <w:b/>
          <w:bCs/>
        </w:rPr>
        <w:t xml:space="preserve">1. Build the returner data infrastructure before legislating incentives.</w:t>
      </w:r>
      <w:r>
        <w:t xml:space="preserve"> Every system that can count its reserve has found it large relative to its shortage. The Netherlands identified roughly 62 000 qualified former teachers against a shortage of 13 600 full-time equivalents (Somers, Groot and van Merode, 2024b; DUO, 2026); England holds 260 000 qualified teachers out of service alongside 106 000 who qualified but never served (Worth, 2023); Michigan counted 61 252 certified non-teachers (Lindsay, Gnedko-Berry and Wan, 2021); about 19% of Australia's 553 300 registered teachers were not working in schools (AITSL, 2025). Systems without registers, among them Germany, Austria and France, have defaulted their policy debate to the only pool they can see, retirees, which is also the pool with the shortest remaining working life. Governments should therefore establish who holds a teaching qualification, where they are and what would bring them back, before deciding what to offer them. Australia's national review of registered teachers not in the workforce is the current model of this sequencing (OECD, 2024).</w:t>
      </w:r>
    </w:p>
    <w:p>
      <w:pPr>
        <w:spacing w:after="160" w:line="264" w:lineRule="auto"/>
        <w:jc w:val="both"/>
      </w:pPr>
      <w:r>
        <w:rPr>
          <w:b/>
          <w:bCs/>
        </w:rPr>
        <w:t xml:space="preserve">2. Read the exit data before choosing the target group.</w:t>
      </w:r>
      <w:r>
        <w:t xml:space="preserve"> Across 19 OECD systems with data, 6.5% of fully qualified teachers left the profession in 2022/23, and on average 51% of those leavers resigned rather than retired; more than 80% resigned in Denmark, England (United Kingdom) and Estonia, while retirements exceeded half of departures in France, the French Community of Belgium, Greece, Ireland and Israel (OECD, 2025a). The first group of systems has a large working-age pool whose members left by choice; the second faces an actuarial margin better addressed through retirement timing than through persuasion. Motivations divide on similar lines. A third of Michigan's inactive certificate-holders placed higher salary among their three most important reasons for not teaching, and a salary increase was their most frequently selected incentive to return (Lindsay, Gnedko-Berry and Wan, 2021), whereas Australian leavers reported job satisfaction 0.13 standard deviations higher one year after exit while earning 6.2% less per week (Cuervo and Vera-Toscano, 2025), and English leavers accepted wages roughly 10% lower outside teaching (Worth, Bamford and Durbin, 2015). A pay-led return offer is defensible in the first kind of system; in the second, the evidence points to conditions, hours and role design.</w:t>
      </w:r>
    </w:p>
    <w:p>
      <w:pPr>
        <w:spacing w:after="160" w:line="264" w:lineRule="auto"/>
        <w:jc w:val="both"/>
      </w:pPr>
      <w:r>
        <w:rPr>
          <w:b/>
          <w:bCs/>
        </w:rPr>
        <w:t xml:space="preserve">3. Prevent exits first; run re-entry as the second channel.</w:t>
      </w:r>
      <w:r>
        <w:t xml:space="preserve"> The one country that has run both margins side by side, Portugal, provides the clearest available comparison of their yields. Its Decree-Law 51/2024 offered retirees a return route and offered serving teachers EUR 750 per month for postponing retirement. Only 63 retirees returned against a target of 200, while some 2 200 teachers took the postponement supplement in 2025/26 (Decreto-Lei n.º 51/2024; Diário de Notícias, 2024; RTP, 2026). The asymmetry is consistent with the causal retention literature, in which pension enhancements rewarding delayed retirement reduce retirements by 4 to 10 percentage points (Fleck et al., 2025), and with evidence that teachers value current cash roughly five times as highly as deferred pension wealth (Fitzpatrick, 2015). At equal cost, keeping a teacher is easier than recovering one. Re-entry policy is worth doing, but as the second-best channel, not the headline.</w:t>
      </w:r>
    </w:p>
    <w:p>
      <w:pPr>
        <w:spacing w:after="160" w:line="264" w:lineRule="auto"/>
        <w:jc w:val="both"/>
      </w:pPr>
      <w:r>
        <w:rPr>
          <w:b/>
          <w:bCs/>
        </w:rPr>
        <w:t xml:space="preserve">4. Remove the pension penalty and dismantle stacked eligibility screens before adding bonuses.</w:t>
      </w:r>
      <w:r>
        <w:t xml:space="preserve"> In systems where pensions replace a large share of final salary, the binding constraint on retiree return is the earnings rule, not motivation. North Carolina's 1999-2009 window, which allowed retirees to draw full salary and full pension, produced the largest documented response anywhere, with around 3 500 returners and just over 35% of the retirement-eligible back in full-time work by 2009, disproportionately in high-need schools; returns collapsed once the window closed (Jarrold-Grapes and Mahler, 2024). The contrast within current United States law is equally instructive. Georgia stacks a 30-year service requirement, a one-year wait and subject and region caps, and recorded 635 full-time rehires across FY2023-FY2025 against roughly 6 000 vacant or not-fully-certified posts (Georgia Department of Audits and Accounts, 2025); New Mexico requires a 90-day break with no salary or hours limits and recorded 154 users of the new tier in its first year, within 2 792 working retirees across all tiers (New Mexico Educational Retirement Board, 2023). Each screen added is take-up subtracted. Bonuses layered on top of unreformed earnings rules work against the very rules that deter return, and are better sequenced after them.</w:t>
      </w:r>
    </w:p>
    <w:p>
      <w:pPr>
        <w:spacing w:after="160" w:line="264" w:lineRule="auto"/>
        <w:jc w:val="both"/>
      </w:pPr>
      <w:r>
        <w:rPr>
          <w:b/>
          <w:bCs/>
        </w:rPr>
        <w:t xml:space="preserve">5. Treat interest as cheap and conversion as the constraint; fund conversion and synchronise it with the hiring cycle.</w:t>
      </w:r>
      <w:r>
        <w:t xml:space="preserve"> England's Return to Teaching pilot converted 5 729 registrations of interest into 354 supported returners and 27 permanent appointments in target subjects, at an estimated GBP 37 400 per additional returner, and its evaluators judged it "unlikely to represent good value for money"; support arrived after the annual hiring round had closed (Buchanan et al., 2018). The successor programme tied funded places to actual vacancies, which is the correct repair (NCTL, 2017). The standing adviser service that followed is far cheaper, at roughly GBP 5 400 per recorded return in 2019-21, but its additionality has never been measured, so its true cost per additional returner is unknown (UK Parliament, 2022). Governments should budget for the conversion stage, place support inside the hiring calendar, and estimate additionality; without the last, every cost-per-returner figure is unusable.</w:t>
      </w:r>
    </w:p>
    <w:p>
      <w:pPr>
        <w:spacing w:after="160" w:line="264" w:lineRule="auto"/>
        <w:jc w:val="both"/>
      </w:pPr>
      <w:r>
        <w:rPr>
          <w:b/>
          <w:bCs/>
        </w:rPr>
        <w:t xml:space="preserve">6. Target incentives where friction and need are highest.</w:t>
      </w:r>
      <w:r>
        <w:t xml:space="preserve"> Deadweight, paying people who would have returned anyway, is what made England's pilot expensive; the evaluators assumed that half of the 27 would have come back unaided (Buchanan et al., 2018). The remedies are in use. China conditions its CNY 20 000 annual allowance on service in poverty-lifted, ethnic-minority and border counties (MOE and MOF, 2018; MOE et al., 2023); Florida's incentives were confined to shortage subjects, with measurable retention effects (Feng and Sass, 2018); North Carolina's returners flowed disproportionately to high-need schools without any mandate (Jarrold-Grapes and Mahler, 2024); and Portugal narrowed its postponement supplement to shortage zones in July 2026 after conceding that the blanket version "in many cases was not justified" (RTP, 2026). Untargeted re-entry money is mostly a transfer to returns that were coming anyway.</w:t>
      </w:r>
    </w:p>
    <w:p>
      <w:pPr>
        <w:spacing w:after="160" w:line="264" w:lineRule="auto"/>
        <w:jc w:val="both"/>
      </w:pPr>
      <w:r>
        <w:rPr>
          <w:b/>
          <w:bCs/>
        </w:rPr>
        <w:t xml:space="preserve">7. Recruit from the employer's own records and bundle re-licensure into one contact.</w:t>
      </w:r>
      <w:r>
        <w:t xml:space="preserve"> New South Wales wrote directly to more than 1 500 teachers who had resigned within the previous five years, packaged accreditation renewal, approval to teach and background checks into a single supported process, and placed 145 returners in casual and temporary roles covering more than 600 schools, around 60% of them from retirement (NSW Government, 2024; NSW Department of Education, 2024). Vienna wrote to 300 retired teachers and Salzburg contacted all retirees up to age 67 (APA/ORF, 2023). This operationalises, at near-zero marginal cost, the recommendation </w:t>
      </w:r>
      <w:r>
        <w:rPr>
          <w:i/>
          <w:iCs/>
        </w:rPr>
        <w:t xml:space="preserve">Teachers Matter</w:t>
      </w:r>
      <w:r>
        <w:t xml:space="preserve"> made in 2005, that systems maintain contact with former teachers and keep them informed of opportunities (OECD, 2005). The employer's payroll and registration records are the best returner database most systems will ever own; general advertising campaigns reach the same people later, at higher cost and with more deadweight.</w:t>
      </w:r>
    </w:p>
    <w:p>
      <w:pPr>
        <w:spacing w:after="160" w:line="264" w:lineRule="auto"/>
        <w:jc w:val="both"/>
      </w:pPr>
      <w:r>
        <w:rPr>
          <w:b/>
          <w:bCs/>
        </w:rPr>
        <w:t xml:space="preserve">8. Offer part-time and redesigned roles, and make friction removal a standing rule rather than a crisis waiver.</w:t>
      </w:r>
      <w:r>
        <w:t xml:space="preserve"> The most return-committed leavers want different jobs, not the same job back. England's "career breakers" returned at double the rate of other leaver types and sought part-time posts that schools rarely advertised (Buchanan et al., 2018; Worth and Sharp, 2018); Portuguese union leaders attributed low returner take-up to accumulated fatigue and an uninviting school environment rather than pay (SÁBADO, 2024); Australia is exploring returns into roles beyond classroom teaching, such as mentoring (OECD, 2024). On the regulatory side, New Zealand converted a temporary waiver of its Teacher Education Refresh requirement into standing registration policy, alongside a statutory 20-half-day relief allowance and certification fees paid until 2028 (New Zealand Ministry of Education, 2026; Teaching Council of Aotearoa New Zealand, 2026), while Ireland's suspension of the career-break substitution bar has been renewed one year at a time since 2021/22 (Department of Education and Youth, 2025). Returners cannot plan around annual waivers; rules they can rely on are part of the offer.</w:t>
      </w:r>
    </w:p>
    <w:p>
      <w:pPr>
        <w:spacing w:after="160" w:line="264" w:lineRule="auto"/>
        <w:jc w:val="both"/>
      </w:pPr>
      <w:r>
        <w:rPr>
          <w:b/>
          <w:bCs/>
        </w:rPr>
        <w:t xml:space="preserve">9. Legislate the account alongside the programme.</w:t>
      </w:r>
      <w:r>
        <w:t xml:space="preserve"> The best-documented re-entry measures are those whose reporting was mandated, not volunteered. Georgia wrote the audit into the statute and got one (Georgia Department of Audits and Accounts, 2025); Austria's court of audit produced the only audited national take-up figure in Europe, 1 062 returners over 2018/19-2023/24 (Rechnungshof, 2025); New Mexico's retirement board reports participation annually (New Mexico Educational Retirement Board, 2023); Louisiana's Act 344 requires an actuarial report before 2034 (Teachers' Retirement System of Louisiana, 2026). Every re-entry instrument should carry three fittings from birth: a sunset date, a mandated uptake count and an arms-length review. Where those fittings are absent, so, almost always, is the evidence (Section 5.2).</w:t>
      </w:r>
    </w:p>
    <w:p>
      <w:pPr>
        <w:pStyle w:val="Heading2"/>
      </w:pPr>
      <w:r>
        <w:t xml:space="preserve">5.2. What the evidence does not yet show</w:t>
      </w:r>
    </w:p>
    <w:p>
      <w:pPr>
        <w:spacing w:after="160" w:line="264" w:lineRule="auto"/>
        <w:jc w:val="both"/>
      </w:pPr>
      <w:r>
        <w:t xml:space="preserve">No quasi-experimental study anywhere directly prices a re-entry incentive. The causal base assembled in Chapter 3 (Fleck et al., 2025; Sims, Lowes-Belk and Routledge, 2026) concerns retention and initial entry, and its elasticities cannot be borrowed unexamined for people who have already revealed a preference against prevailing conditions. The recommendations above therefore rest on take-up under different rule designs, one programme evaluation and randomised evidence on retirees in instructional roles; they identify which designs move take-up, not the causal return on a euro of re-entry spending. On the instructional side the randomised record is real but narrow. Retired and substitute teachers delivering structured small-group tutoring reproduced strong effects at scale (Gersten et al., 2015; Rolfhus et al., 2012), older volunteers tutoring reading produced modest student gains and documented health benefits for the volunteers themselves (Morrow-Howell et al., 2009; Fried et al., 2004; Carlson et al., 2015), while the one randomised trial of retirees as new-teacher mentors found no significant effect on achievement or teacher retention (DeCesare, McClelland and Randel, 2017; What Works Clearinghouse, 2019).</w:t>
      </w:r>
    </w:p>
    <w:p>
      <w:pPr>
        <w:spacing w:after="160" w:line="264" w:lineRule="auto"/>
        <w:jc w:val="both"/>
      </w:pPr>
      <w:r>
        <w:t xml:space="preserve">The larger gap is administrative. Across the initiatives documented for this paper, the modal re-entry measure has published a launch announcement and nothing since (Table 5.1). The OECD has already named the underlying problem: "many education systems may lack accurate data on the number and characteristics of potential returnees and their motivations, which could limit their ability to capitalise on this opportunity strategically" (OECD, 2024). The pattern in Table 5.1 suggests the gap extends beyond potential returnees to actual ones; several governments do not appear to know, or at least do not say, how many teachers their own measures brought back.</w:t>
      </w:r>
    </w:p>
    <w:p>
      <w:pPr>
        <w:keepNext/>
        <w:spacing w:after="120" w:before="200"/>
      </w:pPr>
      <w:r>
        <w:rPr>
          <w:b/>
          <w:bCs/>
          <w:color w:val="4E81BD"/>
          <w:sz w:val="21"/>
          <w:szCs w:val="21"/>
        </w:rPr>
        <w:t xml:space="preserve">Table 5.1. Announced but not accounted for: re-entry measures without published uptake or outcome data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84"/>
        <w:gridCol w:w="2994"/>
        <w:gridCol w:w="2994"/>
      </w:tblGrid>
      <w:tr>
        <w:trPr>
          <w:tblHeader/>
        </w:trPr>
        <w:tc>
          <w:tcPr>
            <w:tcW w:type="dxa" w:w="3084"/>
            <w:tcBorders>
              <w:top w:val="single" w:color="000000" w:sz="6"/>
              <w:left w:val="none" w:color="FFFFFF" w:sz="0"/>
              <w:bottom w:val="single" w:color="000000" w:sz="6"/>
              <w:right w:val="none" w:color="FFFFFF" w:sz="0"/>
            </w:tcBorders>
            <w:shd w:fill="D2D2D2" w:val="clear"/>
            <w:tcMar>
              <w:top w:type="dxa" w:w="40"/>
              <w:left w:type="dxa" w:w="80"/>
              <w:bottom w:type="dxa" w:w="40"/>
              <w:right w:type="dxa" w:w="80"/>
            </w:tcMar>
            <w:vAlign w:val="center"/>
          </w:tcPr>
          <w:p>
            <w:pPr>
              <w:spacing w:after="0"/>
              <w:jc w:val="left"/>
            </w:pPr>
            <w:r>
              <w:rPr>
                <w:b/>
                <w:bCs/>
                <w:sz w:val="19"/>
                <w:szCs w:val="19"/>
              </w:rPr>
              <w:t xml:space="preserve">Education system</w:t>
            </w:r>
          </w:p>
        </w:tc>
        <w:tc>
          <w:tcPr>
            <w:tcW w:type="dxa" w:w="2994"/>
            <w:tcBorders>
              <w:top w:val="single" w:color="000000" w:sz="6"/>
              <w:left w:val="none" w:color="FFFFFF" w:sz="0"/>
              <w:bottom w:val="single" w:color="000000" w:sz="6"/>
              <w:right w:val="none" w:color="FFFFFF" w:sz="0"/>
            </w:tcBorders>
            <w:shd w:fill="D2D2D2" w:val="clear"/>
            <w:tcMar>
              <w:top w:type="dxa" w:w="40"/>
              <w:left w:type="dxa" w:w="80"/>
              <w:bottom w:type="dxa" w:w="40"/>
              <w:right w:type="dxa" w:w="80"/>
            </w:tcMar>
            <w:vAlign w:val="center"/>
          </w:tcPr>
          <w:p>
            <w:pPr>
              <w:spacing w:after="0"/>
              <w:jc w:val="left"/>
            </w:pPr>
            <w:r>
              <w:rPr>
                <w:b/>
                <w:bCs/>
                <w:sz w:val="19"/>
                <w:szCs w:val="19"/>
              </w:rPr>
              <w:t xml:space="preserve">Measure (year introduced)</w:t>
            </w:r>
          </w:p>
        </w:tc>
        <w:tc>
          <w:tcPr>
            <w:tcW w:type="dxa" w:w="2994"/>
            <w:tcBorders>
              <w:top w:val="single" w:color="000000" w:sz="6"/>
              <w:left w:val="none" w:color="FFFFFF" w:sz="0"/>
              <w:bottom w:val="single" w:color="000000" w:sz="6"/>
              <w:right w:val="none" w:color="FFFFFF" w:sz="0"/>
            </w:tcBorders>
            <w:shd w:fill="D2D2D2" w:val="clear"/>
            <w:tcMar>
              <w:top w:type="dxa" w:w="40"/>
              <w:left w:type="dxa" w:w="80"/>
              <w:bottom w:type="dxa" w:w="40"/>
              <w:right w:type="dxa" w:w="80"/>
            </w:tcMar>
            <w:vAlign w:val="center"/>
          </w:tcPr>
          <w:p>
            <w:pPr>
              <w:spacing w:after="0"/>
              <w:jc w:val="left"/>
            </w:pPr>
            <w:r>
              <w:rPr>
                <w:b/>
                <w:bCs/>
                <w:sz w:val="19"/>
                <w:szCs w:val="19"/>
              </w:rPr>
              <w:t xml:space="preserve">What has not been published</w:t>
            </w:r>
          </w:p>
        </w:tc>
      </w:tr>
      <w:tr>
        <w:trPr>
          <w:tblHeader w:val="false"/>
        </w:trPr>
        <w:tc>
          <w:tcPr>
            <w:tcW w:type="dxa" w:w="308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Australia (New South Wales)</w:t>
            </w:r>
          </w:p>
        </w:tc>
        <w:tc>
          <w:tcPr>
            <w:tcW w:type="dxa" w:w="29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Teachers Re-Engage outreach (2023)</w:t>
            </w:r>
          </w:p>
        </w:tc>
        <w:tc>
          <w:tcPr>
            <w:tcW w:type="dxa" w:w="29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Any figures after May 2024; programme cost; absent from the 2024-25 annual report</w:t>
            </w:r>
          </w:p>
        </w:tc>
      </w:tr>
      <w:tr>
        <w:trPr>
          <w:tblHeader w:val="false"/>
        </w:trPr>
        <w:tc>
          <w:tcPr>
            <w:tcW w:type="dxa" w:w="308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China</w:t>
            </w:r>
          </w:p>
        </w:tc>
        <w:tc>
          <w:tcPr>
            <w:tcW w:type="dxa" w:w="29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National Silver Age Teachers Action Plan (2023)</w:t>
            </w:r>
          </w:p>
        </w:tc>
        <w:tc>
          <w:tcPr>
            <w:tcW w:type="dxa" w:w="29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Progress towards the 120 000-participant target; any independent evaluation</w:t>
            </w:r>
          </w:p>
        </w:tc>
      </w:tr>
      <w:tr>
        <w:trPr>
          <w:tblHeader w:val="false"/>
        </w:trPr>
        <w:tc>
          <w:tcPr>
            <w:tcW w:type="dxa" w:w="308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France</w:t>
            </w:r>
          </w:p>
        </w:tc>
        <w:tc>
          <w:tcPr>
            <w:tcW w:type="dxa" w:w="29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Cumul emploi-retraite as applied to teachers (2003; liberalised 2023)</w:t>
            </w:r>
          </w:p>
        </w:tc>
        <w:tc>
          <w:tcPr>
            <w:tcW w:type="dxa" w:w="29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Any aggregate count of retired teachers re-employed</w:t>
            </w:r>
          </w:p>
        </w:tc>
      </w:tr>
      <w:tr>
        <w:trPr>
          <w:tblHeader w:val="false"/>
        </w:trPr>
        <w:tc>
          <w:tcPr>
            <w:tcW w:type="dxa" w:w="308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Ireland</w:t>
            </w:r>
          </w:p>
        </w:tc>
        <w:tc>
          <w:tcPr>
            <w:tcW w:type="dxa" w:w="29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Career-break substitution suspension (renewed annually since 2021/22)</w:t>
            </w:r>
          </w:p>
        </w:tc>
        <w:tc>
          <w:tcPr>
            <w:tcW w:type="dxa" w:w="29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Uptake counts</w:t>
            </w:r>
          </w:p>
        </w:tc>
      </w:tr>
      <w:tr>
        <w:trPr>
          <w:tblHeader w:val="false"/>
        </w:trPr>
        <w:tc>
          <w:tcPr>
            <w:tcW w:type="dxa" w:w="308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New Zealand</w:t>
            </w:r>
          </w:p>
        </w:tc>
        <w:tc>
          <w:tcPr>
            <w:tcW w:type="dxa" w:w="29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Teacher Education Refresh waiver and relief-teaching allowance (mainstreamed by 2026)</w:t>
            </w:r>
          </w:p>
        </w:tc>
        <w:tc>
          <w:tcPr>
            <w:tcW w:type="dxa" w:w="29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Participant counts; any evaluation</w:t>
            </w:r>
          </w:p>
        </w:tc>
      </w:tr>
      <w:tr>
        <w:trPr>
          <w:tblHeader w:val="false"/>
        </w:trPr>
        <w:tc>
          <w:tcPr>
            <w:tcW w:type="dxa" w:w="308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United Kingdom (England)</w:t>
            </w:r>
          </w:p>
        </w:tc>
        <w:tc>
          <w:tcPr>
            <w:tcW w:type="dxa" w:w="29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Return to Teaching Adviser service, all-subjects phase (2022)</w:t>
            </w:r>
          </w:p>
        </w:tc>
        <w:tc>
          <w:tcPr>
            <w:tcW w:type="dxa" w:w="29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Uptake and cost after the 2022 expansion</w:t>
            </w:r>
          </w:p>
        </w:tc>
      </w:tr>
      <w:tr>
        <w:trPr>
          <w:tblHeader w:val="false"/>
        </w:trPr>
        <w:tc>
          <w:tcPr>
            <w:tcW w:type="dxa" w:w="308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United States (Louisiana)</w:t>
            </w:r>
          </w:p>
        </w:tc>
        <w:tc>
          <w:tcPr>
            <w:tcW w:type="dxa" w:w="29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Acts 394 (2024) and 344 (2026)</w:t>
            </w:r>
          </w:p>
        </w:tc>
        <w:tc>
          <w:tcPr>
            <w:tcW w:type="dxa" w:w="29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Uptake counts (an actuarial report is mandated before 2034)</w:t>
            </w:r>
          </w:p>
        </w:tc>
      </w:tr>
      <w:tr>
        <w:trPr>
          <w:tblHeader w:val="false"/>
        </w:trPr>
        <w:tc>
          <w:tcPr>
            <w:tcW w:type="dxa" w:w="308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United States (Michigan)</w:t>
            </w:r>
          </w:p>
        </w:tc>
        <w:tc>
          <w:tcPr>
            <w:tcW w:type="dxa" w:w="29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PA 184 (2022) and PA 147 (2023)</w:t>
            </w:r>
          </w:p>
        </w:tc>
        <w:tc>
          <w:tcPr>
            <w:tcW w:type="dxa" w:w="2994"/>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spacing w:after="0"/>
              <w:jc w:val="left"/>
            </w:pPr>
            <w:r>
              <w:rPr>
                <w:sz w:val="19"/>
                <w:szCs w:val="19"/>
              </w:rPr>
              <w:t xml:space="preserve">Uptake counts</w:t>
            </w:r>
          </w:p>
        </w:tc>
      </w:tr>
      <w:tr>
        <w:trPr>
          <w:tblHeader w:val="false"/>
        </w:trPr>
        <w:tc>
          <w:tcPr>
            <w:tcW w:type="dxa" w:w="3084"/>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jc w:val="left"/>
            </w:pPr>
            <w:r>
              <w:rPr>
                <w:sz w:val="19"/>
                <w:szCs w:val="19"/>
              </w:rPr>
              <w:t xml:space="preserve">United States (Virginia)</w:t>
            </w:r>
          </w:p>
        </w:tc>
        <w:tc>
          <w:tcPr>
            <w:tcW w:type="dxa" w:w="2994"/>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jc w:val="left"/>
            </w:pPr>
            <w:r>
              <w:rPr>
                <w:sz w:val="19"/>
                <w:szCs w:val="19"/>
              </w:rPr>
              <w:t xml:space="preserve">Critical-shortage rehires (2001) and Executive Directive Three (2022)</w:t>
            </w:r>
          </w:p>
        </w:tc>
        <w:tc>
          <w:tcPr>
            <w:tcW w:type="dxa" w:w="2994"/>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spacing w:after="0"/>
              <w:jc w:val="left"/>
            </w:pPr>
            <w:r>
              <w:rPr>
                <w:sz w:val="19"/>
                <w:szCs w:val="19"/>
              </w:rPr>
              <w:t xml:space="preserve">Uptake counts</w:t>
            </w:r>
          </w:p>
        </w:tc>
      </w:tr>
    </w:tbl>
    <w:p>
      <w:pPr>
        <w:spacing w:after="120"/>
      </w:pPr>
    </w:p>
    <w:p>
      <w:pPr>
        <w:spacing w:after="60"/>
        <w:jc w:val="left"/>
      </w:pPr>
      <w:r>
        <w:rPr>
          <w:sz w:val="17"/>
          <w:szCs w:val="17"/>
        </w:rPr>
        <w:t xml:space="preserve">Note: The table records the absence of published data as of August 2026; it does not imply the measures are inactive. Counter-examples with mandated reporting are discussed in Section 5.1, recommendation 9.</w:t>
      </w:r>
    </w:p>
    <w:p>
      <w:pPr>
        <w:spacing w:after="60"/>
        <w:jc w:val="left"/>
      </w:pPr>
      <w:r>
        <w:rPr>
          <w:sz w:val="17"/>
          <w:szCs w:val="17"/>
        </w:rPr>
        <w:t xml:space="preserve">Source: Authors' compilation from the sources cited in Chapter 4, including NSW Department of Education (2025); MOE et al. (2023); Assemblée nationale (2023); Department of Education and Youth (2025); Teaching Council of Aotearoa New Zealand (2026); UK Parliament (2022); Teachers' Retirement System of Louisiana (2026); Michigan Office of Retirement Services (2023); Virginia Retirement System (n.d.).</w:t>
      </w:r>
    </w:p>
    <w:p>
      <w:pPr>
        <w:pStyle w:val="Heading2"/>
      </w:pPr>
      <w:r>
        <w:t xml:space="preserve">5.3. What this paper establishes</w:t>
      </w:r>
    </w:p>
    <w:p>
      <w:pPr>
        <w:spacing w:after="160" w:line="264" w:lineRule="auto"/>
        <w:jc w:val="both"/>
      </w:pPr>
      <w:r>
        <w:t xml:space="preserve">Four findings stand. First, the reserve of former teachers is real and, wherever registers permit measurement, several times larger than the shortage it could relieve; the constraint is knowledge of the pool, not its existence. Second, former teachers respond to being asked, but interest converts poorly, and the binding constraints sit on the school side of the market: support that arrives after the hiring round has closed, too few posts of the kind returners want, and schools unable to place the applicants who come forward. Third, rule design moves take-up several-fold, as the distance between North Carolina's 3 500 returners and Georgia's 635 demonstrates. Fourth, the thinness of the evidence is not an accident of a young field but the product of governments that announce re-entry measures and decline to count their results; the exceptions, all of them mandated, show that accounting is a design choice. Ultimately, the question facing education systems is no longer whether former teachers can be brought back. It is whether governments will design, target and account for the pathways carefully enough to learn how many, and at what price.</w:t>
      </w:r>
    </w:p>
    <w:p>
      <w:pPr>
        <w:pStyle w:val="Heading1"/>
        <w:pageBreakBefore/>
      </w:pPr>
      <w:r>
        <w:t xml:space="preserve">References</w:t>
      </w:r>
    </w:p>
    <w:p>
      <w:pPr>
        <w:spacing w:after="120"/>
        <w:ind w:left="567" w:hanging="567"/>
        <w:jc w:val="left"/>
      </w:pPr>
      <w:r>
        <w:rPr>
          <w:sz w:val="20"/>
          <w:szCs w:val="20"/>
        </w:rPr>
        <w:t xml:space="preserve">AARP (2025), "AARP Foundation Experience Corps Celebrates 30 Years", AARP, Washington, DC, https://www.aarp.org/advocacy/experience-corps-celebrates-30-years-2025/.</w:t>
      </w:r>
    </w:p>
    <w:p>
      <w:pPr>
        <w:spacing w:after="120"/>
        <w:ind w:left="567" w:hanging="567"/>
        <w:jc w:val="left"/>
      </w:pPr>
      <w:r>
        <w:rPr>
          <w:sz w:val="20"/>
          <w:szCs w:val="20"/>
        </w:rPr>
        <w:t xml:space="preserve">AITSL (2025), </w:t>
      </w:r>
      <w:r>
        <w:rPr>
          <w:i/>
          <w:iCs/>
          <w:sz w:val="20"/>
          <w:szCs w:val="20"/>
        </w:rPr>
        <w:t xml:space="preserve">National Trends: Teacher Workforce — Australian Teacher Workforce Data (June 2025)</w:t>
      </w:r>
      <w:r>
        <w:rPr>
          <w:sz w:val="20"/>
          <w:szCs w:val="20"/>
        </w:rPr>
        <w:t xml:space="preserve">, Australian Institute for Teaching and School Leadership, Melbourne, https://www.aitsl.edu.au/research/australian-teacher-workforce-data/atwd-reports/national-trends-teacher-workforce-jun2025 (accessed on 4 August 2026).</w:t>
      </w:r>
    </w:p>
    <w:p>
      <w:pPr>
        <w:spacing w:after="120"/>
        <w:ind w:left="567" w:hanging="567"/>
        <w:jc w:val="left"/>
      </w:pPr>
      <w:r>
        <w:rPr>
          <w:sz w:val="20"/>
          <w:szCs w:val="20"/>
        </w:rPr>
        <w:t xml:space="preserve">Aldeman, C. and S. Yi (2025), "Are Teachers Abandoning Teaching? Data Show Teacher Turnover Remains Low", </w:t>
      </w:r>
      <w:r>
        <w:rPr>
          <w:i/>
          <w:iCs/>
          <w:sz w:val="20"/>
          <w:szCs w:val="20"/>
        </w:rPr>
        <w:t xml:space="preserve">Education Next</w:t>
      </w:r>
      <w:r>
        <w:rPr>
          <w:sz w:val="20"/>
          <w:szCs w:val="20"/>
        </w:rPr>
        <w:t xml:space="preserve">, published online 18 December 2025, https://www.educationnext.org/are-teachers-abandoning-teaching-data-show-teacher-turnover-remains-low/.</w:t>
      </w:r>
    </w:p>
    <w:p>
      <w:pPr>
        <w:spacing w:after="120"/>
        <w:ind w:left="567" w:hanging="567"/>
        <w:jc w:val="left"/>
      </w:pPr>
      <w:r>
        <w:rPr>
          <w:sz w:val="20"/>
          <w:szCs w:val="20"/>
        </w:rPr>
        <w:t xml:space="preserve">Alphonso, C. (2024), "Federation opposes proposal to boost number of days retired Ontario teachers can work in classrooms", </w:t>
      </w:r>
      <w:r>
        <w:rPr>
          <w:i/>
          <w:iCs/>
          <w:sz w:val="20"/>
          <w:szCs w:val="20"/>
        </w:rPr>
        <w:t xml:space="preserve">The Globe and Mail</w:t>
      </w:r>
      <w:r>
        <w:rPr>
          <w:sz w:val="20"/>
          <w:szCs w:val="20"/>
        </w:rPr>
        <w:t xml:space="preserve">, 18 March 2024, https://www.theglobeandmail.com/canada/article-proposal-to-boost-number-of-days-retired-ontario-teachers-can-work-in/ (accessed on 4 August 2026).</w:t>
      </w:r>
    </w:p>
    <w:p>
      <w:pPr>
        <w:spacing w:after="120"/>
        <w:ind w:left="567" w:hanging="567"/>
        <w:jc w:val="left"/>
      </w:pPr>
      <w:r>
        <w:rPr>
          <w:sz w:val="20"/>
          <w:szCs w:val="20"/>
        </w:rPr>
        <w:t xml:space="preserve">APA/ORF (2023), "Lehrkräftemangel: Pensionisten umworben", oesterreich.ORF.at, 11 March 2023, https://oesterreich.orf.at/stories/3198263/ (accessed on 4 August 2026).</w:t>
      </w:r>
    </w:p>
    <w:p>
      <w:pPr>
        <w:spacing w:after="120"/>
        <w:ind w:left="567" w:hanging="567"/>
        <w:jc w:val="left"/>
      </w:pPr>
      <w:r>
        <w:rPr>
          <w:sz w:val="20"/>
          <w:szCs w:val="20"/>
        </w:rPr>
        <w:t xml:space="preserve">Assemblée nationale (2023), Question écrite n° 2072 (16e législature) de M. Robin Reda, "Recrutement des enseignants retraités comme enseignants vacataires", réponse du 28 mars 2023, https://questions.assemblee-nationale.fr/q16/16-2072QE.htm (accessed on 4 August 2026).</w:t>
      </w:r>
    </w:p>
    <w:p>
      <w:pPr>
        <w:spacing w:after="120"/>
        <w:ind w:left="567" w:hanging="567"/>
        <w:jc w:val="left"/>
      </w:pPr>
      <w:r>
        <w:rPr>
          <w:sz w:val="20"/>
          <w:szCs w:val="20"/>
        </w:rPr>
        <w:t xml:space="preserve">Assemblée nationale (2024), Question écrite n° 7305 (16e législature) de Mme Béatrice Bellamy, "Volontariat des enseignants retraités pour les remplacements", clôturée sans réponse le 11 juin 2024, https://questions.assemblee-nationale.fr/q16/16-7305QE.htm (accessed on 4 August 2026).</w:t>
      </w:r>
    </w:p>
    <w:p>
      <w:pPr>
        <w:spacing w:after="120"/>
        <w:ind w:left="567" w:hanging="567"/>
        <w:jc w:val="left"/>
      </w:pPr>
      <w:r>
        <w:rPr>
          <w:sz w:val="20"/>
          <w:szCs w:val="20"/>
        </w:rPr>
        <w:t xml:space="preserve">Assemblée nationale (2026), Question écrite n° 11063 (17e législature) de M. Julien Odoul, "Cumul emploi-retraite : quand la réforme de 2015 pénalise les professeurs", réponse du 12 mai 2026, https://questions.assemblee-nationale.fr/q17/17-11063QE.htm (accessed on 4 August 2026).</w:t>
      </w:r>
    </w:p>
    <w:p>
      <w:pPr>
        <w:spacing w:after="120"/>
        <w:ind w:left="567" w:hanging="567"/>
        <w:jc w:val="left"/>
      </w:pPr>
      <w:r>
        <w:rPr>
          <w:sz w:val="20"/>
          <w:szCs w:val="20"/>
        </w:rPr>
        <w:t xml:space="preserve">BMBWF (2023), </w:t>
      </w:r>
      <w:r>
        <w:rPr>
          <w:i/>
          <w:iCs/>
          <w:sz w:val="20"/>
          <w:szCs w:val="20"/>
        </w:rPr>
        <w:t xml:space="preserve">Anfragebeantwortung 15155/AB betreffend Quereinstieg und Sonderverträge für Lehrer:innen</w:t>
      </w:r>
      <w:r>
        <w:rPr>
          <w:sz w:val="20"/>
          <w:szCs w:val="20"/>
        </w:rPr>
        <w:t xml:space="preserve"> (answer to parliamentary question 15692/J of 6 July 2023 by Mag. Martina Künsberg Sarre and colleagues), XXVII. GP, Geschäftszahl 2023-0.505.716, Bundesministerium für Bildung, Wissenschaft und Forschung, Vienna, 6 September 2023, https://www.parlament.gv.at/dokument/XXVII/AB/15155/imfname_1582019.pdf (accessed on 5 August 2026).</w:t>
      </w:r>
    </w:p>
    <w:p>
      <w:pPr>
        <w:spacing w:after="120"/>
        <w:ind w:left="567" w:hanging="567"/>
        <w:jc w:val="left"/>
      </w:pPr>
      <w:r>
        <w:rPr>
          <w:sz w:val="20"/>
          <w:szCs w:val="20"/>
        </w:rPr>
        <w:t xml:space="preserve">Brandenburg, R., E. Larsen, A. Simpson, R. Sallis and D. Trần (2024), "'I left the teaching profession … and this is what I am doing now': a national study of teacher attrition", </w:t>
      </w:r>
      <w:r>
        <w:rPr>
          <w:i/>
          <w:iCs/>
          <w:sz w:val="20"/>
          <w:szCs w:val="20"/>
        </w:rPr>
        <w:t xml:space="preserve">The Australian Educational Researcher</w:t>
      </w:r>
      <w:r>
        <w:rPr>
          <w:sz w:val="20"/>
          <w:szCs w:val="20"/>
        </w:rPr>
        <w:t xml:space="preserve">, Vol. 51/5, pp. 2381-2400, https://doi.org/10.1007/s13384-024-00697-1 (accessed on 5 August 2026).</w:t>
      </w:r>
    </w:p>
    <w:p>
      <w:pPr>
        <w:spacing w:after="120"/>
        <w:ind w:left="567" w:hanging="567"/>
        <w:jc w:val="left"/>
      </w:pPr>
      <w:r>
        <w:rPr>
          <w:sz w:val="20"/>
          <w:szCs w:val="20"/>
        </w:rPr>
        <w:t xml:space="preserve">Brummet, Q., E. K. Penner, N. Pharris-Ciurej and S. R. Porter (2024), "After School: An Examination of the Career Paths and Earnings of Former Teachers", </w:t>
      </w:r>
      <w:r>
        <w:rPr>
          <w:i/>
          <w:iCs/>
          <w:sz w:val="20"/>
          <w:szCs w:val="20"/>
        </w:rPr>
        <w:t xml:space="preserve">Educational Evaluation and Policy Analysis</w:t>
      </w:r>
      <w:r>
        <w:rPr>
          <w:sz w:val="20"/>
          <w:szCs w:val="20"/>
        </w:rPr>
        <w:t xml:space="preserve">, published online 26 February 2024, https://doi.org/10.3102/01623737241227906.</w:t>
      </w:r>
    </w:p>
    <w:p>
      <w:pPr>
        <w:spacing w:after="120"/>
        <w:ind w:left="567" w:hanging="567"/>
        <w:jc w:val="left"/>
      </w:pPr>
      <w:r>
        <w:rPr>
          <w:sz w:val="20"/>
          <w:szCs w:val="20"/>
        </w:rPr>
        <w:t xml:space="preserve">Buchanan, E., C. Sharp, J. Worth, K. Martin, S. Bamford and Z. Des Clayes (2018), </w:t>
      </w:r>
      <w:r>
        <w:rPr>
          <w:i/>
          <w:iCs/>
          <w:sz w:val="20"/>
          <w:szCs w:val="20"/>
        </w:rPr>
        <w:t xml:space="preserve">Evaluation of the Return to Teaching Pilot Programme</w:t>
      </w:r>
      <w:r>
        <w:rPr>
          <w:sz w:val="20"/>
          <w:szCs w:val="20"/>
        </w:rPr>
        <w:t xml:space="preserve">, National Foundation for Educational Research report for the Department for Education, London, https://assets.publishing.service.gov.uk/media/5b33aeef40f0b67f6744de9d/Evaluation_of_the_Return_to_Teaching_pilot_programme.pdf (report page: https://www.nfer.ac.uk/publications/evaluation-of-the-return-to-teaching-pilot-programme/) (accessed on 4 August 2026).</w:t>
      </w:r>
    </w:p>
    <w:p>
      <w:pPr>
        <w:spacing w:after="120"/>
        <w:ind w:left="567" w:hanging="567"/>
        <w:jc w:val="left"/>
      </w:pPr>
      <w:r>
        <w:rPr>
          <w:sz w:val="20"/>
          <w:szCs w:val="20"/>
        </w:rPr>
        <w:t xml:space="preserve">Carlson, M. C. et al. (2015), "Impact of the Baltimore Experience Corps Trial on cortical and hippocampal volumes", </w:t>
      </w:r>
      <w:r>
        <w:rPr>
          <w:i/>
          <w:iCs/>
          <w:sz w:val="20"/>
          <w:szCs w:val="20"/>
        </w:rPr>
        <w:t xml:space="preserve">Alzheimer's &amp; Dementia</w:t>
      </w:r>
      <w:r>
        <w:rPr>
          <w:sz w:val="20"/>
          <w:szCs w:val="20"/>
        </w:rPr>
        <w:t xml:space="preserve">, Vol. 11/11, pp. 1340-1348, https://doi.org/10.1016/j.jalz.2014.12.005 (accessed on 4 August 2026).</w:t>
      </w:r>
    </w:p>
    <w:p>
      <w:pPr>
        <w:spacing w:after="120"/>
        <w:ind w:left="567" w:hanging="567"/>
        <w:jc w:val="left"/>
      </w:pPr>
      <w:r>
        <w:rPr>
          <w:sz w:val="20"/>
          <w:szCs w:val="20"/>
        </w:rPr>
        <w:t xml:space="preserve">Clotfelter, C., E. Glennie, H. Ladd and J. Vigdor (2008), "Would higher salaries keep teachers in high-poverty schools? Evidence from a policy intervention in North Carolina", </w:t>
      </w:r>
      <w:r>
        <w:rPr>
          <w:i/>
          <w:iCs/>
          <w:sz w:val="20"/>
          <w:szCs w:val="20"/>
        </w:rPr>
        <w:t xml:space="preserve">Journal of Public Economics</w:t>
      </w:r>
      <w:r>
        <w:rPr>
          <w:sz w:val="20"/>
          <w:szCs w:val="20"/>
        </w:rPr>
        <w:t xml:space="preserve">, Vol. 92/5-6, pp. 1352-1370, https://www.sciencedirect.com/science/article/abs/pii/S0047272707001065 (accessed on 4 August 2026).</w:t>
      </w:r>
    </w:p>
    <w:p>
      <w:pPr>
        <w:spacing w:after="120"/>
        <w:ind w:left="567" w:hanging="567"/>
        <w:jc w:val="left"/>
      </w:pPr>
      <w:r>
        <w:rPr>
          <w:sz w:val="20"/>
          <w:szCs w:val="20"/>
        </w:rPr>
        <w:t xml:space="preserve">Commonwealth of Virginia (2023), 2023 Acts of Assembly, Chapter 708 (SB 1479; return to work, approved 27 March 2023), https://law.lis.virginia.gov/uncodifiedacts/2023/session1/chapter708/ (accessed on 4 August 2026).</w:t>
      </w:r>
    </w:p>
    <w:p>
      <w:pPr>
        <w:spacing w:after="120"/>
        <w:ind w:left="567" w:hanging="567"/>
        <w:jc w:val="left"/>
      </w:pPr>
      <w:r>
        <w:rPr>
          <w:sz w:val="20"/>
          <w:szCs w:val="20"/>
        </w:rPr>
        <w:t xml:space="preserve">Cooper, I. C. (2026), "Statement by the Minister of Education DPM Chester Cooper on the recruitment of up to 300 teachers", ministerial statement, Ministry of Education, Science and Technology, Nassau, 12 July 2026, reproduced by </w:t>
      </w:r>
      <w:r>
        <w:rPr>
          <w:i/>
          <w:iCs/>
          <w:sz w:val="20"/>
          <w:szCs w:val="20"/>
        </w:rPr>
        <w:t xml:space="preserve">Bahamas Press</w:t>
      </w:r>
      <w:r>
        <w:rPr>
          <w:sz w:val="20"/>
          <w:szCs w:val="20"/>
        </w:rPr>
        <w:t xml:space="preserve">, https://www.bahamaspress.com/statement-by-the-minister-of-education-dpm-chester-cooper-on-the-recruitment-of-upto-300-teachers/.</w:t>
      </w:r>
    </w:p>
    <w:p>
      <w:pPr>
        <w:spacing w:after="120"/>
        <w:ind w:left="567" w:hanging="567"/>
        <w:jc w:val="left"/>
      </w:pPr>
      <w:r>
        <w:rPr>
          <w:sz w:val="20"/>
          <w:szCs w:val="20"/>
        </w:rPr>
        <w:t xml:space="preserve">Costrell, R. M. and M. Podgursky (2009), "Peaks, Cliffs, and Valleys: The Peculiar Incentives in Teacher Retirement Systems and Their Consequences for School Staffing", </w:t>
      </w:r>
      <w:r>
        <w:rPr>
          <w:i/>
          <w:iCs/>
          <w:sz w:val="20"/>
          <w:szCs w:val="20"/>
        </w:rPr>
        <w:t xml:space="preserve">Education Finance and Policy</w:t>
      </w:r>
      <w:r>
        <w:rPr>
          <w:sz w:val="20"/>
          <w:szCs w:val="20"/>
        </w:rPr>
        <w:t xml:space="preserve">, Vol. 4/2, pp. 175-211, https://direct.mit.edu/edfp/article/4/2/175/10094/.</w:t>
      </w:r>
    </w:p>
    <w:p>
      <w:pPr>
        <w:spacing w:after="120"/>
        <w:ind w:left="567" w:hanging="567"/>
        <w:jc w:val="left"/>
      </w:pPr>
      <w:r>
        <w:rPr>
          <w:sz w:val="20"/>
          <w:szCs w:val="20"/>
        </w:rPr>
        <w:t xml:space="preserve">Cuervo, H. and E. Vera-Toscano (2025), "Teacher retention and attrition: understanding why teachers leave and their post-teaching pathways in Australia", </w:t>
      </w:r>
      <w:r>
        <w:rPr>
          <w:i/>
          <w:iCs/>
          <w:sz w:val="20"/>
          <w:szCs w:val="20"/>
        </w:rPr>
        <w:t xml:space="preserve">Asia Pacific Journal of Education</w:t>
      </w:r>
      <w:r>
        <w:rPr>
          <w:sz w:val="20"/>
          <w:szCs w:val="20"/>
        </w:rPr>
        <w:t xml:space="preserve">, pp. 1-18, published online 10 March 2025, https://doi.org/10.1080/02188791.2025.2473356 (accessed on 5 August 2026).</w:t>
      </w:r>
    </w:p>
    <w:p>
      <w:pPr>
        <w:spacing w:after="120"/>
        <w:ind w:left="567" w:hanging="567"/>
        <w:jc w:val="left"/>
      </w:pPr>
      <w:r>
        <w:rPr>
          <w:sz w:val="20"/>
          <w:szCs w:val="20"/>
        </w:rPr>
        <w:t xml:space="preserve">De Jong, A., A. Suijkerbuijk, S. van der Ploeg, S. Weijers, E. Stronkhorst and W. Schenke (2022), </w:t>
      </w:r>
      <w:r>
        <w:rPr>
          <w:i/>
          <w:iCs/>
          <w:sz w:val="20"/>
          <w:szCs w:val="20"/>
        </w:rPr>
        <w:t xml:space="preserve">Evaluatieonderzoek Regionale Aanpak Personeelstekorten: Eindrapportage augustus 2022</w:t>
      </w:r>
      <w:r>
        <w:rPr>
          <w:sz w:val="20"/>
          <w:szCs w:val="20"/>
        </w:rPr>
        <w:t xml:space="preserve">, Oberon/Kohnstamm Instituut, Utrecht/Amsterdam, https://www.aanpaklerarentekort.nl/site/binaries/site-content/collections/documents/2022/09/29/evaluatieonderzoek-rap-eindrapportage-augustus-2022/Evaluatieonderzoek+RAP+Eindrapportage+2022.pdf (accessed on 5 August 2026).</w:t>
      </w:r>
    </w:p>
    <w:p>
      <w:pPr>
        <w:spacing w:after="120"/>
        <w:ind w:left="567" w:hanging="567"/>
        <w:jc w:val="left"/>
      </w:pPr>
      <w:r>
        <w:rPr>
          <w:sz w:val="20"/>
          <w:szCs w:val="20"/>
        </w:rPr>
        <w:t xml:space="preserve">DeCesare, D., A. McClelland and B. Randel (2017), </w:t>
      </w:r>
      <w:r>
        <w:rPr>
          <w:i/>
          <w:iCs/>
          <w:sz w:val="20"/>
          <w:szCs w:val="20"/>
        </w:rPr>
        <w:t xml:space="preserve">Impacts of the Retired Mentors for New Teachers Program</w:t>
      </w:r>
      <w:r>
        <w:rPr>
          <w:sz w:val="20"/>
          <w:szCs w:val="20"/>
        </w:rPr>
        <w:t xml:space="preserve"> (REL 2017-225), Regional Educational Laboratory Central, Institute of Education Sciences, U.S. Department of Education, Washington, DC, https://files.eric.ed.gov/fulltext/ED573097.pdf (accessed on 4 August 2026).</w:t>
      </w:r>
    </w:p>
    <w:p>
      <w:pPr>
        <w:spacing w:after="120"/>
        <w:ind w:left="567" w:hanging="567"/>
        <w:jc w:val="left"/>
      </w:pPr>
      <w:r>
        <w:rPr>
          <w:sz w:val="20"/>
          <w:szCs w:val="20"/>
        </w:rPr>
        <w:t xml:space="preserve">Decreto-Lei n.º 51/2024, de 28 de agosto, </w:t>
      </w:r>
      <w:r>
        <w:rPr>
          <w:i/>
          <w:iCs/>
          <w:sz w:val="20"/>
          <w:szCs w:val="20"/>
        </w:rPr>
        <w:t xml:space="preserve">Diário da República</w:t>
      </w:r>
      <w:r>
        <w:rPr>
          <w:sz w:val="20"/>
          <w:szCs w:val="20"/>
        </w:rPr>
        <w:t xml:space="preserve">, 1.ª série, No. 166, 28 August 2024 (Arts. 5 and 6), official PDF via DGAE, https://www.dgae.medu.pt/download/ser-mais-professor-2024/decreto-lei-n-51-2024-de-28-de-agosto.pdf (accessed on 4 August 2026).</w:t>
      </w:r>
    </w:p>
    <w:p>
      <w:pPr>
        <w:spacing w:after="120"/>
        <w:ind w:left="567" w:hanging="567"/>
        <w:jc w:val="left"/>
      </w:pPr>
      <w:r>
        <w:rPr>
          <w:sz w:val="20"/>
          <w:szCs w:val="20"/>
        </w:rPr>
        <w:t xml:space="preserve">Department for Education (2023), "Teacher recruitment and retention: How we're helping former teachers return to education", </w:t>
      </w:r>
      <w:r>
        <w:rPr>
          <w:i/>
          <w:iCs/>
          <w:sz w:val="20"/>
          <w:szCs w:val="20"/>
        </w:rPr>
        <w:t xml:space="preserve">The Education Hub</w:t>
      </w:r>
      <w:r>
        <w:rPr>
          <w:sz w:val="20"/>
          <w:szCs w:val="20"/>
        </w:rPr>
        <w:t xml:space="preserve">, 9 August 2023, https://educationhub.blog.gov.uk/2023/08/teacher-recruitment-and-retention-how-were-helping-former-teachers-return-to-education/.</w:t>
      </w:r>
    </w:p>
    <w:p>
      <w:pPr>
        <w:spacing w:after="120"/>
        <w:ind w:left="567" w:hanging="567"/>
        <w:jc w:val="left"/>
      </w:pPr>
      <w:r>
        <w:rPr>
          <w:sz w:val="20"/>
          <w:szCs w:val="20"/>
        </w:rPr>
        <w:t xml:space="preserve">Department for Education (2025a), </w:t>
      </w:r>
      <w:r>
        <w:rPr>
          <w:i/>
          <w:iCs/>
          <w:sz w:val="20"/>
          <w:szCs w:val="20"/>
        </w:rPr>
        <w:t xml:space="preserve">School Workforce in England: Reporting Year 2024</w:t>
      </w:r>
      <w:r>
        <w:rPr>
          <w:sz w:val="20"/>
          <w:szCs w:val="20"/>
        </w:rPr>
        <w:t xml:space="preserve">, Explore Education Statistics, London, https://explore-education-statistics.service.gov.uk/find-statistics/school-workforce-in-england/2024.</w:t>
      </w:r>
    </w:p>
    <w:p>
      <w:pPr>
        <w:spacing w:after="120"/>
        <w:ind w:left="567" w:hanging="567"/>
        <w:jc w:val="left"/>
      </w:pPr>
      <w:r>
        <w:rPr>
          <w:sz w:val="20"/>
          <w:szCs w:val="20"/>
        </w:rPr>
        <w:t xml:space="preserve">Department for Education (2025b), </w:t>
      </w:r>
      <w:r>
        <w:rPr>
          <w:i/>
          <w:iCs/>
          <w:sz w:val="20"/>
          <w:szCs w:val="20"/>
        </w:rPr>
        <w:t xml:space="preserve">Working Lives of Teachers and Leaders</w:t>
      </w:r>
      <w:r>
        <w:rPr>
          <w:sz w:val="20"/>
          <w:szCs w:val="20"/>
        </w:rPr>
        <w:t xml:space="preserve"> survey series (2022-2024 waves), Department for Education, London; figures cited as reported in SecEd (2025), "Teachers' working hours fall – to 48.1 a week", https://www.sec-ed.co.uk/content/news/teachers-weekly-working-hours-48-a-week.</w:t>
      </w:r>
    </w:p>
    <w:p>
      <w:pPr>
        <w:spacing w:after="120"/>
        <w:ind w:left="567" w:hanging="567"/>
        <w:jc w:val="left"/>
      </w:pPr>
      <w:r>
        <w:rPr>
          <w:sz w:val="20"/>
          <w:szCs w:val="20"/>
        </w:rPr>
        <w:t xml:space="preserve">Department of Education (2019), </w:t>
      </w:r>
      <w:r>
        <w:rPr>
          <w:i/>
          <w:iCs/>
          <w:sz w:val="20"/>
          <w:szCs w:val="20"/>
        </w:rPr>
        <w:t xml:space="preserve">Circular 0054/2019 – Leave Schemes for Registered Teachers Employed in Recognised Primary and Post Primary Schools</w:t>
      </w:r>
      <w:r>
        <w:rPr>
          <w:sz w:val="20"/>
          <w:szCs w:val="20"/>
        </w:rPr>
        <w:t xml:space="preserve">, Department of Education, Dublin, https://assets.gov.ie/static/documents/Circular_0054.2019.pdf (accessed on 4 August 2026).</w:t>
      </w:r>
    </w:p>
    <w:p>
      <w:pPr>
        <w:spacing w:after="120"/>
        <w:ind w:left="567" w:hanging="567"/>
        <w:jc w:val="left"/>
      </w:pPr>
      <w:r>
        <w:rPr>
          <w:sz w:val="20"/>
          <w:szCs w:val="20"/>
        </w:rPr>
        <w:t xml:space="preserve">Department of Education and Youth (2025), </w:t>
      </w:r>
      <w:r>
        <w:rPr>
          <w:i/>
          <w:iCs/>
          <w:sz w:val="20"/>
          <w:szCs w:val="20"/>
        </w:rPr>
        <w:t xml:space="preserve">Information Note TC/IN 0005/2025 – Temporary changes to the Career Break Scheme for Registered Teachers employed in Recognised Primary and Post Primary Schools – 2025/26 School Year</w:t>
      </w:r>
      <w:r>
        <w:rPr>
          <w:sz w:val="20"/>
          <w:szCs w:val="20"/>
        </w:rPr>
        <w:t xml:space="preserve">, Department of Education and Youth, Dublin, 26 June 2025, https://assets.gov.ie/static/documents/TC.IN_0005.2025_Information_Note_Career_Break_for_Teachers_25.26_school_year.pdf (accessed on 4 August 2026).</w:t>
      </w:r>
    </w:p>
    <w:p>
      <w:pPr>
        <w:spacing w:after="120"/>
        <w:ind w:left="567" w:hanging="567"/>
        <w:jc w:val="left"/>
      </w:pPr>
      <w:r>
        <w:rPr>
          <w:sz w:val="20"/>
          <w:szCs w:val="20"/>
        </w:rPr>
        <w:t xml:space="preserve">Deutsches Schulportal (2023), "Mehrheit der Länder wirbt gezielt um Lehrkräfte im Pensionsalter" (Länderüberblick survey, 2 August 2023), Robert Bosch Stiftung, https://deutsches-schulportal.de/bildungswesen/laenderueberblick-umfrage-lehrermangel-pensionierte-lehrer/ (accessed on 5 August 2026).</w:t>
      </w:r>
    </w:p>
    <w:p>
      <w:pPr>
        <w:spacing w:after="120"/>
        <w:ind w:left="567" w:hanging="567"/>
        <w:jc w:val="left"/>
      </w:pPr>
      <w:r>
        <w:rPr>
          <w:sz w:val="20"/>
          <w:szCs w:val="20"/>
        </w:rPr>
        <w:t xml:space="preserve">Diário de Notícias (2024), "Governo queria 200 professores reformados nas escolas. Regressam 63", dn.pt, 3 December 2024, https://www.dn.pt/5687900830/governo-queria-200-professores-reformados-nas-escolas-regressam-63 (accessed on 4 August 2026).</w:t>
      </w:r>
    </w:p>
    <w:p>
      <w:pPr>
        <w:spacing w:after="120"/>
        <w:ind w:left="567" w:hanging="567"/>
        <w:jc w:val="left"/>
      </w:pPr>
      <w:r>
        <w:rPr>
          <w:sz w:val="20"/>
          <w:szCs w:val="20"/>
        </w:rPr>
        <w:t xml:space="preserve">DUO (2026), "Stille reserve oud-leraren in het onderwijs afgelopen 10 jaar afgenomen", press release, 28 May 2026, Dienst Uitvoering Onderwijs, https://duo.nl/organisatie/pers/stille-reserve-oud-leraren-in-het-onderwijs-afgelopen-10-jaar-afgenomen.jsp (accessed on 4 August 2026).</w:t>
      </w:r>
    </w:p>
    <w:p>
      <w:pPr>
        <w:spacing w:after="120"/>
        <w:ind w:left="567" w:hanging="567"/>
        <w:jc w:val="left"/>
      </w:pPr>
      <w:r>
        <w:rPr>
          <w:sz w:val="20"/>
          <w:szCs w:val="20"/>
        </w:rPr>
        <w:t xml:space="preserve">Feng, L. and T. Sass (2018), "The impact of incentives to recruit and retain teachers in 'hard-to-staff' subjects", </w:t>
      </w:r>
      <w:r>
        <w:rPr>
          <w:i/>
          <w:iCs/>
          <w:sz w:val="20"/>
          <w:szCs w:val="20"/>
        </w:rPr>
        <w:t xml:space="preserve">Journal of Policy Analysis and Management</w:t>
      </w:r>
      <w:r>
        <w:rPr>
          <w:sz w:val="20"/>
          <w:szCs w:val="20"/>
        </w:rPr>
        <w:t xml:space="preserve">, Vol. 37/1, pp. 112-135, https://onlinelibrary.wiley.com/doi/10.1002/pam.22037 (accessed on 4 August 2026).</w:t>
      </w:r>
    </w:p>
    <w:p>
      <w:pPr>
        <w:spacing w:after="120"/>
        <w:ind w:left="567" w:hanging="567"/>
        <w:jc w:val="left"/>
      </w:pPr>
      <w:r>
        <w:rPr>
          <w:sz w:val="20"/>
          <w:szCs w:val="20"/>
        </w:rPr>
        <w:t xml:space="preserve">Fitzpatrick, M. D. (2015), "How much are public school teachers willing to pay for their retirement benefits?", </w:t>
      </w:r>
      <w:r>
        <w:rPr>
          <w:i/>
          <w:iCs/>
          <w:sz w:val="20"/>
          <w:szCs w:val="20"/>
        </w:rPr>
        <w:t xml:space="preserve">American Economic Journal: Economic Policy</w:t>
      </w:r>
      <w:r>
        <w:rPr>
          <w:sz w:val="20"/>
          <w:szCs w:val="20"/>
        </w:rPr>
        <w:t xml:space="preserve">, Vol. 7/4, https://www.aeaweb.org/articles?id=10.1257/pol.20140087 (accessed on 4 August 2026).</w:t>
      </w:r>
    </w:p>
    <w:p>
      <w:pPr>
        <w:spacing w:after="120"/>
        <w:ind w:left="567" w:hanging="567"/>
        <w:jc w:val="left"/>
      </w:pPr>
      <w:r>
        <w:rPr>
          <w:sz w:val="20"/>
          <w:szCs w:val="20"/>
        </w:rPr>
        <w:t xml:space="preserve">Fleck, L., M. Somers, T. Stolp, W. Groot, F. van Merode and R. de Vries (2025), "The Effectiveness of Interventions to Increase Employment in Education and Healthcare: A Systematic Literature Review", </w:t>
      </w:r>
      <w:r>
        <w:rPr>
          <w:i/>
          <w:iCs/>
          <w:sz w:val="20"/>
          <w:szCs w:val="20"/>
        </w:rPr>
        <w:t xml:space="preserve">De Economist</w:t>
      </w:r>
      <w:r>
        <w:rPr>
          <w:sz w:val="20"/>
          <w:szCs w:val="20"/>
        </w:rPr>
        <w:t xml:space="preserve">, Vol. 173, pp. 1-45, published online 16 December 2024, https://doi.org/10.1007/s10645-024-09440-8 (accessed on 5 August 2026).</w:t>
      </w:r>
    </w:p>
    <w:p>
      <w:pPr>
        <w:spacing w:after="120"/>
        <w:ind w:left="567" w:hanging="567"/>
        <w:jc w:val="left"/>
      </w:pPr>
      <w:r>
        <w:rPr>
          <w:sz w:val="20"/>
          <w:szCs w:val="20"/>
        </w:rPr>
        <w:t xml:space="preserve">Fried, L. P. et al. (2004), "A social model for health promotion for an aging population: Initial evidence on the Experience Corps model", </w:t>
      </w:r>
      <w:r>
        <w:rPr>
          <w:i/>
          <w:iCs/>
          <w:sz w:val="20"/>
          <w:szCs w:val="20"/>
        </w:rPr>
        <w:t xml:space="preserve">Journal of Urban Health</w:t>
      </w:r>
      <w:r>
        <w:rPr>
          <w:sz w:val="20"/>
          <w:szCs w:val="20"/>
        </w:rPr>
        <w:t xml:space="preserve">, Vol. 81/1, pp. 64-78, https://doi.org/10.1093/jurban/jth094 (accessed on 4 August 2026).</w:t>
      </w:r>
    </w:p>
    <w:p>
      <w:pPr>
        <w:spacing w:after="120"/>
        <w:ind w:left="567" w:hanging="567"/>
        <w:jc w:val="left"/>
      </w:pPr>
      <w:r>
        <w:rPr>
          <w:sz w:val="20"/>
          <w:szCs w:val="20"/>
        </w:rPr>
        <w:t xml:space="preserve">Fuchs, L. S., D. L. Compton, D. Fuchs, K. Paulsen, J. D. Bryant and C. L. Hamlett (2005), "The prevention, identification, and cognitive determinants of math difficulty", </w:t>
      </w:r>
      <w:r>
        <w:rPr>
          <w:i/>
          <w:iCs/>
          <w:sz w:val="20"/>
          <w:szCs w:val="20"/>
        </w:rPr>
        <w:t xml:space="preserve">Journal of Educational Psychology</w:t>
      </w:r>
      <w:r>
        <w:rPr>
          <w:sz w:val="20"/>
          <w:szCs w:val="20"/>
        </w:rPr>
        <w:t xml:space="preserve">, Vol. 97/3, pp. 493-513, https://doi.org/10.1037/0022-0663.97.3.493.</w:t>
      </w:r>
    </w:p>
    <w:p>
      <w:pPr>
        <w:spacing w:after="120"/>
        <w:ind w:left="567" w:hanging="567"/>
        <w:jc w:val="left"/>
      </w:pPr>
      <w:r>
        <w:rPr>
          <w:sz w:val="20"/>
          <w:szCs w:val="20"/>
        </w:rPr>
        <w:t xml:space="preserve">Georgia Department of Audits and Accounts, Performance Audit Division (2025), </w:t>
      </w:r>
      <w:r>
        <w:rPr>
          <w:i/>
          <w:iCs/>
          <w:sz w:val="20"/>
          <w:szCs w:val="20"/>
        </w:rPr>
        <w:t xml:space="preserve">Retired Teachers Return to Work: Requested Information on the Full-Time Employment of Retired Teachers</w:t>
      </w:r>
      <w:r>
        <w:rPr>
          <w:sz w:val="20"/>
          <w:szCs w:val="20"/>
        </w:rPr>
        <w:t xml:space="preserve">, Performance Audit Report No. 24-20, Atlanta, April 2025, https://www.audits.ga.gov/ReportSearch/download/32615 (accessed on 4 August 2026).</w:t>
      </w:r>
    </w:p>
    <w:p>
      <w:pPr>
        <w:spacing w:after="120"/>
        <w:ind w:left="567" w:hanging="567"/>
        <w:jc w:val="left"/>
      </w:pPr>
      <w:r>
        <w:rPr>
          <w:sz w:val="20"/>
          <w:szCs w:val="20"/>
        </w:rPr>
        <w:t xml:space="preserve">Gersten, R., E. Rolfhus, B. Clarke, L. E. Decker, C. Wilkins and J. Dimino (2015), "Intervention for first graders with limited number knowledge: Large-scale replication of a randomized controlled trial", </w:t>
      </w:r>
      <w:r>
        <w:rPr>
          <w:i/>
          <w:iCs/>
          <w:sz w:val="20"/>
          <w:szCs w:val="20"/>
        </w:rPr>
        <w:t xml:space="preserve">American Educational Research Journal</w:t>
      </w:r>
      <w:r>
        <w:rPr>
          <w:sz w:val="20"/>
          <w:szCs w:val="20"/>
        </w:rPr>
        <w:t xml:space="preserve">, Vol. 52/3, pp. 516-546, https://doi.org/10.3102/0002831214565787 (accessed on 4 August 2026).</w:t>
      </w:r>
    </w:p>
    <w:p>
      <w:pPr>
        <w:spacing w:after="120"/>
        <w:ind w:left="567" w:hanging="567"/>
        <w:jc w:val="left"/>
      </w:pPr>
      <w:r>
        <w:rPr>
          <w:sz w:val="20"/>
          <w:szCs w:val="20"/>
        </w:rPr>
        <w:t xml:space="preserve">Global News (2022), "Ontario allowing retired teachers to work more days in bid to address staffing shortages", 10 January 2022, https://globalnews.ca/news/8500734/ontario-retired-teachers-allowed-work-more-days-covid/ (accessed on 4 August 2026).</w:t>
      </w:r>
    </w:p>
    <w:p>
      <w:pPr>
        <w:spacing w:after="120"/>
        <w:ind w:left="567" w:hanging="567"/>
        <w:jc w:val="left"/>
      </w:pPr>
      <w:r>
        <w:rPr>
          <w:sz w:val="20"/>
          <w:szCs w:val="20"/>
        </w:rPr>
        <w:t xml:space="preserve">Grissom, J. A. and M. Reininger (2012), "Who Comes Back? A Longitudinal Analysis of the Reentry Behavior of Exiting Teachers", </w:t>
      </w:r>
      <w:r>
        <w:rPr>
          <w:i/>
          <w:iCs/>
          <w:sz w:val="20"/>
          <w:szCs w:val="20"/>
        </w:rPr>
        <w:t xml:space="preserve">Education Finance and Policy</w:t>
      </w:r>
      <w:r>
        <w:rPr>
          <w:sz w:val="20"/>
          <w:szCs w:val="20"/>
        </w:rPr>
        <w:t xml:space="preserve">, Vol. 7/4, pp. 425-454, https://direct.mit.edu/edfp/article-abstract/7/4/425/10162.</w:t>
      </w:r>
    </w:p>
    <w:p>
      <w:pPr>
        <w:spacing w:after="120"/>
        <w:ind w:left="567" w:hanging="567"/>
        <w:jc w:val="left"/>
      </w:pPr>
      <w:r>
        <w:rPr>
          <w:sz w:val="20"/>
          <w:szCs w:val="20"/>
        </w:rPr>
        <w:t xml:space="preserve">Hammer, K. and C. Alphonso (2010), "Ontario to monitor retired teachers' costly supply work", </w:t>
      </w:r>
      <w:r>
        <w:rPr>
          <w:i/>
          <w:iCs/>
          <w:sz w:val="20"/>
          <w:szCs w:val="20"/>
        </w:rPr>
        <w:t xml:space="preserve">The Globe and Mail</w:t>
      </w:r>
      <w:r>
        <w:rPr>
          <w:sz w:val="20"/>
          <w:szCs w:val="20"/>
        </w:rPr>
        <w:t xml:space="preserve">, 10 May 2010, https://www.theglobeandmail.com/news/national/ontario-to-monitor-retired-teachers-costly-supply-work/article1211108/ (accessed on 4 August 2026).</w:t>
      </w:r>
    </w:p>
    <w:p>
      <w:pPr>
        <w:spacing w:after="120"/>
        <w:ind w:left="567" w:hanging="567"/>
        <w:jc w:val="left"/>
      </w:pPr>
      <w:r>
        <w:rPr>
          <w:sz w:val="20"/>
          <w:szCs w:val="20"/>
        </w:rPr>
        <w:t xml:space="preserve">Harris, D. N. and S. J. Adams (2007), "Understanding the level and causes of teacher turnover: A comparison with other professions", </w:t>
      </w:r>
      <w:r>
        <w:rPr>
          <w:i/>
          <w:iCs/>
          <w:sz w:val="20"/>
          <w:szCs w:val="20"/>
        </w:rPr>
        <w:t xml:space="preserve">Economics of Education Review</w:t>
      </w:r>
      <w:r>
        <w:rPr>
          <w:sz w:val="20"/>
          <w:szCs w:val="20"/>
        </w:rPr>
        <w:t xml:space="preserve">, Vol. 26/3, pp. 325-337, https://www.sciencedirect.com/science/article/abs/pii/S027277570600029X.</w:t>
      </w:r>
    </w:p>
    <w:p>
      <w:pPr>
        <w:spacing w:after="120"/>
        <w:ind w:left="567" w:hanging="567"/>
        <w:jc w:val="left"/>
      </w:pPr>
      <w:r>
        <w:rPr>
          <w:sz w:val="20"/>
          <w:szCs w:val="20"/>
        </w:rPr>
        <w:t xml:space="preserve">Hessisches Ministerium für Kultus, Bildung und Chancen (2024), </w:t>
      </w:r>
      <w:r>
        <w:rPr>
          <w:i/>
          <w:iCs/>
          <w:sz w:val="20"/>
          <w:szCs w:val="20"/>
        </w:rPr>
        <w:t xml:space="preserve">Verlässlichkeit und Qualität – Hessen sichert die bestmögliche Unterrichtsversorgung</w:t>
      </w:r>
      <w:r>
        <w:rPr>
          <w:sz w:val="20"/>
          <w:szCs w:val="20"/>
        </w:rPr>
        <w:t xml:space="preserve">, Wiesbaden, https://kultus.hessen.de/sites/kultus.hessen.de/files/2024-03/handlungskonzept.pdf (accessed on 5 August 2026).</w:t>
      </w:r>
    </w:p>
    <w:p>
      <w:pPr>
        <w:spacing w:after="120"/>
        <w:ind w:left="567" w:hanging="567"/>
        <w:jc w:val="left"/>
      </w:pPr>
      <w:r>
        <w:rPr>
          <w:sz w:val="20"/>
          <w:szCs w:val="20"/>
        </w:rPr>
        <w:t xml:space="preserve">Jarrold-Grapes, R. and P. P. Mahler (2024), "Retirees return to work: How a North Carolina policy helped staff high-need schools", </w:t>
      </w:r>
      <w:r>
        <w:rPr>
          <w:i/>
          <w:iCs/>
          <w:sz w:val="20"/>
          <w:szCs w:val="20"/>
        </w:rPr>
        <w:t xml:space="preserve">Education Policy Analysis Archives</w:t>
      </w:r>
      <w:r>
        <w:rPr>
          <w:sz w:val="20"/>
          <w:szCs w:val="20"/>
        </w:rPr>
        <w:t xml:space="preserve">, Vol. 32, No. 4, https://doi.org/10.14507/epaa.32.8241 (accessed on 4 August 2026).</w:t>
      </w:r>
    </w:p>
    <w:p>
      <w:pPr>
        <w:spacing w:after="120"/>
        <w:ind w:left="567" w:hanging="567"/>
        <w:jc w:val="left"/>
      </w:pPr>
      <w:r>
        <w:rPr>
          <w:sz w:val="20"/>
          <w:szCs w:val="20"/>
        </w:rPr>
        <w:t xml:space="preserve">Lindsay, J., N. Gnedko-Berry and C. Wan (2021), </w:t>
      </w:r>
      <w:r>
        <w:rPr>
          <w:i/>
          <w:iCs/>
          <w:sz w:val="20"/>
          <w:szCs w:val="20"/>
        </w:rPr>
        <w:t xml:space="preserve">Michigan Teachers Who Are Not Teaching: Who Are They, and What Would Motivate Them to Teach?</w:t>
      </w:r>
      <w:r>
        <w:rPr>
          <w:sz w:val="20"/>
          <w:szCs w:val="20"/>
        </w:rPr>
        <w:t xml:space="preserve"> (REL 2021-076), Regional Educational Laboratory Midwest, Institute of Education Sciences, U.S. Department of Education, Washington, DC, https://files.eric.ed.gov/fulltext/ED611790.pdf (Study Snapshot: https://eric.ed.gov/?id=ED611792) (accessed on 5 August 2026).</w:t>
      </w:r>
    </w:p>
    <w:p>
      <w:pPr>
        <w:spacing w:after="120"/>
        <w:ind w:left="567" w:hanging="567"/>
        <w:jc w:val="left"/>
      </w:pPr>
      <w:r>
        <w:rPr>
          <w:sz w:val="20"/>
          <w:szCs w:val="20"/>
        </w:rPr>
        <w:t xml:space="preserve">Lizalde Gil, M. and M. P. A. Cortés Pascual (2019), "10 mirrors: El acompañamiento y la orientación formativa de los estudiantes de los grados en magisterio desde la experiencia profesional", in P. Allueva Torres (coord.), </w:t>
      </w:r>
      <w:r>
        <w:rPr>
          <w:i/>
          <w:iCs/>
          <w:sz w:val="20"/>
          <w:szCs w:val="20"/>
        </w:rPr>
        <w:t xml:space="preserve">Orientación y calidad educativa universitarias</w:t>
      </w:r>
      <w:r>
        <w:rPr>
          <w:sz w:val="20"/>
          <w:szCs w:val="20"/>
        </w:rPr>
        <w:t xml:space="preserve">, Servicio de Publicaciones, Universidad de Zaragoza, Zaragoza, pp. 373-384, https://dialnet.unirioja.es/servlet/articulo?codigo=8153125.</w:t>
      </w:r>
    </w:p>
    <w:p>
      <w:pPr>
        <w:spacing w:after="120"/>
        <w:ind w:left="567" w:hanging="567"/>
        <w:jc w:val="left"/>
      </w:pPr>
      <w:r>
        <w:rPr>
          <w:sz w:val="20"/>
          <w:szCs w:val="20"/>
        </w:rPr>
        <w:t xml:space="preserve">Michigan Office of Retirement Services (2022), "Archive: PA 184 of 2022 – Change to working after retirement rules", https://www.michigan.gov/psru/administration-and-compliance/archive-legislative-updates/pa-184-of-2022---change-to-working-after-retirement-rules (accessed on 4 August 2026).</w:t>
      </w:r>
    </w:p>
    <w:p>
      <w:pPr>
        <w:spacing w:after="120"/>
        <w:ind w:left="567" w:hanging="567"/>
        <w:jc w:val="left"/>
      </w:pPr>
      <w:r>
        <w:rPr>
          <w:sz w:val="20"/>
          <w:szCs w:val="20"/>
        </w:rPr>
        <w:t xml:space="preserve">Michigan Office of Retirement Services (2023), "Public Act 147 of 2023 working after retirement FAQ", https://www.michigan.gov/psru/reporting-resources/frequently-asked-questions/public-act-147-of-2023-working-after-retirement-faq (accessed on 4 August 2026).</w:t>
      </w:r>
    </w:p>
    <w:p>
      <w:pPr>
        <w:spacing w:after="120"/>
        <w:ind w:left="567" w:hanging="567"/>
        <w:jc w:val="left"/>
      </w:pPr>
      <w:r>
        <w:rPr>
          <w:sz w:val="20"/>
          <w:szCs w:val="20"/>
        </w:rPr>
        <w:t xml:space="preserve">Ministerie van OCW (2017), "Regeling tegemoetkoming herintreders primair onderwijs", </w:t>
      </w:r>
      <w:r>
        <w:rPr>
          <w:i/>
          <w:iCs/>
          <w:sz w:val="20"/>
          <w:szCs w:val="20"/>
        </w:rPr>
        <w:t xml:space="preserve">Staatscourant</w:t>
      </w:r>
      <w:r>
        <w:rPr>
          <w:sz w:val="20"/>
          <w:szCs w:val="20"/>
        </w:rPr>
        <w:t xml:space="preserve"> 2017, No. 62002, https://zoek.officielebekendmakingen.nl/stcrt-2017-62002.html (accessed on 5 August 2026).</w:t>
      </w:r>
    </w:p>
    <w:p>
      <w:pPr>
        <w:spacing w:after="120"/>
        <w:ind w:left="567" w:hanging="567"/>
        <w:jc w:val="left"/>
      </w:pPr>
      <w:r>
        <w:rPr>
          <w:sz w:val="20"/>
          <w:szCs w:val="20"/>
        </w:rPr>
        <w:t xml:space="preserve">Ministerie van OCW (2019a), "Regeling tot wijziging van de Regeling tegemoetkoming herintreders primair onderwijs", </w:t>
      </w:r>
      <w:r>
        <w:rPr>
          <w:i/>
          <w:iCs/>
          <w:sz w:val="20"/>
          <w:szCs w:val="20"/>
        </w:rPr>
        <w:t xml:space="preserve">Staatscourant</w:t>
      </w:r>
      <w:r>
        <w:rPr>
          <w:sz w:val="20"/>
          <w:szCs w:val="20"/>
        </w:rPr>
        <w:t xml:space="preserve"> 2019, No. 28510, https://zoek.officielebekendmakingen.nl/stcrt-2019-28510.html (accessed on 5 August 2026).</w:t>
      </w:r>
    </w:p>
    <w:p>
      <w:pPr>
        <w:spacing w:after="120"/>
        <w:ind w:left="567" w:hanging="567"/>
        <w:jc w:val="left"/>
      </w:pPr>
      <w:r>
        <w:rPr>
          <w:sz w:val="20"/>
          <w:szCs w:val="20"/>
        </w:rPr>
        <w:t xml:space="preserve">Ministerie van OCW (2019b), "Subsidie voor herintreders", Nieuwsbrief, 3 July 2019, https://www.nieuwsbrievenminocw.nl/actueel/nieuws/2019/07/03/subsidie-voor-herintreders (accessed on 5 August 2026).</w:t>
      </w:r>
    </w:p>
    <w:p>
      <w:pPr>
        <w:spacing w:after="120"/>
        <w:ind w:left="567" w:hanging="567"/>
        <w:jc w:val="left"/>
      </w:pPr>
      <w:r>
        <w:rPr>
          <w:sz w:val="20"/>
          <w:szCs w:val="20"/>
        </w:rPr>
        <w:t xml:space="preserve">MOE (2025), "MOE to launch 2025 National Silver Age Teacher Action Plan", Ministry of Education of the People's Republic of China, 11 October 2025, http://en.moe.gov.cn/news/press_releases/202510/t20251011_1416386.html.</w:t>
      </w:r>
    </w:p>
    <w:p>
      <w:pPr>
        <w:spacing w:after="120"/>
        <w:ind w:left="567" w:hanging="567"/>
        <w:jc w:val="left"/>
      </w:pPr>
      <w:r>
        <w:rPr>
          <w:sz w:val="20"/>
          <w:szCs w:val="20"/>
        </w:rPr>
        <w:t xml:space="preserve">MOE and MOF (2018), 教育部 财政部关于印发《银龄讲学计划实施方案》的通知 [Notice on Issuing the Implementation Scheme of the Silver Age Lecturing Plan], 教师〔2018〕7号, Ministry of Education and Ministry of Finance, Beijing, July 2018, http://www.moe.gov.cn/srcsite/A10/s7151/201807/t20180719_343448.html (accessed on 4 August 2026).</w:t>
      </w:r>
    </w:p>
    <w:p>
      <w:pPr>
        <w:spacing w:after="120"/>
        <w:ind w:left="567" w:hanging="567"/>
        <w:jc w:val="left"/>
      </w:pPr>
      <w:r>
        <w:rPr>
          <w:sz w:val="20"/>
          <w:szCs w:val="20"/>
        </w:rPr>
        <w:t xml:space="preserve">MOE et al. (2023), 教育部等十部门关于印发《国家银龄教师行动计划》的通知 [Notice by the Ministry of Education and Nine Other Departments on Issuing the National Silver Age Teachers Action Plan], 教师〔2023〕6号, 14 July 2023, https://www.gov.cn/zhengce/zhengceku/202308/content_6900984.htm (accessed on 4 August 2026).</w:t>
      </w:r>
    </w:p>
    <w:p>
      <w:pPr>
        <w:spacing w:after="120"/>
        <w:ind w:left="567" w:hanging="567"/>
        <w:jc w:val="left"/>
      </w:pPr>
      <w:r>
        <w:rPr>
          <w:sz w:val="20"/>
          <w:szCs w:val="20"/>
        </w:rPr>
        <w:t xml:space="preserve">Morrow-Howell, N., M. Jonson-Reid, S. McCrary, Y. Lee and E. Spitznagel (2009), </w:t>
      </w:r>
      <w:r>
        <w:rPr>
          <w:i/>
          <w:iCs/>
          <w:sz w:val="20"/>
          <w:szCs w:val="20"/>
        </w:rPr>
        <w:t xml:space="preserve">Evaluation of Experience Corps: Student Reading Outcomes</w:t>
      </w:r>
      <w:r>
        <w:rPr>
          <w:sz w:val="20"/>
          <w:szCs w:val="20"/>
        </w:rPr>
        <w:t xml:space="preserve"> (CSD Research Report 09-01), Center for Social Development, Washington University in St. Louis, https://csd.wustl.edu/09-01/ (accessed on 5 August 2026).</w:t>
      </w:r>
    </w:p>
    <w:p>
      <w:pPr>
        <w:spacing w:after="120"/>
        <w:ind w:left="567" w:hanging="567"/>
        <w:jc w:val="left"/>
      </w:pPr>
      <w:r>
        <w:rPr>
          <w:sz w:val="20"/>
          <w:szCs w:val="20"/>
        </w:rPr>
        <w:t xml:space="preserve">Moyer, A. (2022), "Has 'Who Comes Back' Changed? Teacher Reentry 2000-2019", </w:t>
      </w:r>
      <w:r>
        <w:rPr>
          <w:i/>
          <w:iCs/>
          <w:sz w:val="20"/>
          <w:szCs w:val="20"/>
        </w:rPr>
        <w:t xml:space="preserve">Educational Researcher</w:t>
      </w:r>
      <w:r>
        <w:rPr>
          <w:sz w:val="20"/>
          <w:szCs w:val="20"/>
        </w:rPr>
        <w:t xml:space="preserve">, Vol. 51/8, pp. 544-546, https://doi.org/10.3102/0013189X221122746.</w:t>
      </w:r>
    </w:p>
    <w:p>
      <w:pPr>
        <w:spacing w:after="120"/>
        <w:ind w:left="567" w:hanging="567"/>
        <w:jc w:val="left"/>
      </w:pPr>
      <w:r>
        <w:rPr>
          <w:sz w:val="20"/>
          <w:szCs w:val="20"/>
        </w:rPr>
        <w:t xml:space="preserve">NCES (2023), "Eight Percent of Public School Teachers Left Teaching in 2021, a Rate Unchanged Since Last Measured in 2012", press release, 13 December 2023, National Center for Education Statistics, https://ies.ed.gov/learn/press-release/eight-percent-public-school-teachers-left-teaching-2021-rate-unchanged-last-measured-2012; First Look report: </w:t>
      </w:r>
      <w:r>
        <w:rPr>
          <w:i/>
          <w:iCs/>
          <w:sz w:val="20"/>
          <w:szCs w:val="20"/>
        </w:rPr>
        <w:t xml:space="preserve">Teacher Attrition and Mobility: Results From the 2021-22 Teacher Follow-up Survey to the National Teacher and Principal Survey</w:t>
      </w:r>
      <w:r>
        <w:rPr>
          <w:sz w:val="20"/>
          <w:szCs w:val="20"/>
        </w:rPr>
        <w:t xml:space="preserve"> (NCES 2024-039), https://nces.ed.gov/pubs2024/2024039M.pdf.</w:t>
      </w:r>
    </w:p>
    <w:p>
      <w:pPr>
        <w:spacing w:after="120"/>
        <w:ind w:left="567" w:hanging="567"/>
        <w:jc w:val="left"/>
      </w:pPr>
      <w:r>
        <w:rPr>
          <w:sz w:val="20"/>
          <w:szCs w:val="20"/>
        </w:rPr>
        <w:t xml:space="preserve">NCTL (2017), </w:t>
      </w:r>
      <w:r>
        <w:rPr>
          <w:i/>
          <w:iCs/>
          <w:sz w:val="20"/>
          <w:szCs w:val="20"/>
        </w:rPr>
        <w:t xml:space="preserve">Returners Engagement Programme Pilot: Programme and Application Guidance</w:t>
      </w:r>
      <w:r>
        <w:rPr>
          <w:sz w:val="20"/>
          <w:szCs w:val="20"/>
        </w:rPr>
        <w:t xml:space="preserve">, National College for Teaching and Leadership, January 2017, https://dera.ioe.ac.uk/28252/1/returners-engagement-programme-application-guidance-cohort-2.pdf (accessed on 4 August 2026).</w:t>
      </w:r>
    </w:p>
    <w:p>
      <w:pPr>
        <w:spacing w:after="120"/>
        <w:ind w:left="567" w:hanging="567"/>
        <w:jc w:val="left"/>
      </w:pPr>
      <w:r>
        <w:rPr>
          <w:sz w:val="20"/>
          <w:szCs w:val="20"/>
        </w:rPr>
        <w:t xml:space="preserve">New Mexico Educational Retirement Board (2023), </w:t>
      </w:r>
      <w:r>
        <w:rPr>
          <w:i/>
          <w:iCs/>
          <w:sz w:val="20"/>
          <w:szCs w:val="20"/>
        </w:rPr>
        <w:t xml:space="preserve">Discussion on Return to Work</w:t>
      </w:r>
      <w:r>
        <w:rPr>
          <w:sz w:val="20"/>
          <w:szCs w:val="20"/>
        </w:rPr>
        <w:t xml:space="preserve">, presentation to the Investments &amp; Pensions Oversight Committee, 31 October 2023, https://www.nmlegis.gov/handouts/IPOC%20103123%20Item%204%20E.%20Educational%20Retirement%20Board--Return%20to%20Work.pdf (accessed on 4 August 2026).</w:t>
      </w:r>
    </w:p>
    <w:p>
      <w:pPr>
        <w:spacing w:after="120"/>
        <w:ind w:left="567" w:hanging="567"/>
        <w:jc w:val="left"/>
      </w:pPr>
      <w:r>
        <w:rPr>
          <w:sz w:val="20"/>
          <w:szCs w:val="20"/>
        </w:rPr>
        <w:t xml:space="preserve">New Mexico Educational Retirement Board (2025), "Recent Legislation / Legislative Proposals" (SB 133 of 2025), https://www.erb.nm.gov/legislation/recent-legislation-legislative-proposals/ (accessed on 4 August 2026).</w:t>
      </w:r>
    </w:p>
    <w:p>
      <w:pPr>
        <w:spacing w:after="120"/>
        <w:ind w:left="567" w:hanging="567"/>
        <w:jc w:val="left"/>
      </w:pPr>
      <w:r>
        <w:rPr>
          <w:sz w:val="20"/>
          <w:szCs w:val="20"/>
        </w:rPr>
        <w:t xml:space="preserve">New Mexico Legislature (2022), "HB 73: Educational Retirees Returning to Work", 2022 Regular Session, Chapter 20, https://www.nmlegis.gov/Legislation/Legislation?chamber=H&amp;legType=B&amp;legNo=73&amp;year=22 (accessed on 4 August 2026).</w:t>
      </w:r>
    </w:p>
    <w:p>
      <w:pPr>
        <w:spacing w:after="120"/>
        <w:ind w:left="567" w:hanging="567"/>
        <w:jc w:val="left"/>
      </w:pPr>
      <w:r>
        <w:rPr>
          <w:sz w:val="20"/>
          <w:szCs w:val="20"/>
        </w:rPr>
        <w:t xml:space="preserve">New Zealand Government (2025), "New Teacher Bonding Scheme supports schools and teachers", Beehive press release, Hon Erica Stanford, 19 September 2025, https://www.beehive.govt.nz/release/new-teacher-bonding-scheme-supports-schools-and-teachers.</w:t>
      </w:r>
    </w:p>
    <w:p>
      <w:pPr>
        <w:spacing w:after="120"/>
        <w:ind w:left="567" w:hanging="567"/>
        <w:jc w:val="left"/>
      </w:pPr>
      <w:r>
        <w:rPr>
          <w:sz w:val="20"/>
          <w:szCs w:val="20"/>
        </w:rPr>
        <w:t xml:space="preserve">New Zealand Legislation (2020), </w:t>
      </w:r>
      <w:r>
        <w:rPr>
          <w:i/>
          <w:iCs/>
          <w:sz w:val="20"/>
          <w:szCs w:val="20"/>
        </w:rPr>
        <w:t xml:space="preserve">Education and Training Act 2020</w:t>
      </w:r>
      <w:r>
        <w:rPr>
          <w:sz w:val="20"/>
          <w:szCs w:val="20"/>
        </w:rPr>
        <w:t xml:space="preserve">, No 38, Schedule 3, https://www.legislation.govt.nz/act/public/2020/0038/latest/LMS261224.html (accessed on 4 August 2026).</w:t>
      </w:r>
    </w:p>
    <w:p>
      <w:pPr>
        <w:spacing w:after="120"/>
        <w:ind w:left="567" w:hanging="567"/>
        <w:jc w:val="left"/>
      </w:pPr>
      <w:r>
        <w:rPr>
          <w:sz w:val="20"/>
          <w:szCs w:val="20"/>
        </w:rPr>
        <w:t xml:space="preserve">New Zealand Ministry of Education (2026), "Looking for a relief teacher", Education Workforce website, Te Tāhuhu o te Mātauranga, updated 18 June 2026, https://workforce.education.govt.nz/principals-and-schools/local-employment-and-recruitment-support/looking-relief-teacher (accessed on 4 August 2026).</w:t>
      </w:r>
    </w:p>
    <w:p>
      <w:pPr>
        <w:spacing w:after="120"/>
        <w:ind w:left="567" w:hanging="567"/>
        <w:jc w:val="left"/>
      </w:pPr>
      <w:r>
        <w:rPr>
          <w:sz w:val="20"/>
          <w:szCs w:val="20"/>
        </w:rPr>
        <w:t xml:space="preserve">Nguyen, T. D., E. Bettini, C. Redding and A. F. Gilmour (2025), "Comparing Teacher Turnover Intentions to Actual Turnover: Cautions and Lessons for the Field", </w:t>
      </w:r>
      <w:r>
        <w:rPr>
          <w:i/>
          <w:iCs/>
          <w:sz w:val="20"/>
          <w:szCs w:val="20"/>
        </w:rPr>
        <w:t xml:space="preserve">Educational Evaluation and Policy Analysis</w:t>
      </w:r>
      <w:r>
        <w:rPr>
          <w:sz w:val="20"/>
          <w:szCs w:val="20"/>
        </w:rPr>
        <w:t xml:space="preserve">, https://journals.sagepub.com/doi/abs/10.3102/01623737241249459.</w:t>
      </w:r>
    </w:p>
    <w:p>
      <w:pPr>
        <w:spacing w:after="120"/>
        <w:ind w:left="567" w:hanging="567"/>
        <w:jc w:val="left"/>
      </w:pPr>
      <w:r>
        <w:rPr>
          <w:sz w:val="20"/>
          <w:szCs w:val="20"/>
        </w:rPr>
        <w:t xml:space="preserve">Nguyen, T. D., L. D. Pham, M. Crouch and M. G. Springer (2020), "The correlates of teacher turnover: An updated and expanded meta-analysis of the literature", </w:t>
      </w:r>
      <w:r>
        <w:rPr>
          <w:i/>
          <w:iCs/>
          <w:sz w:val="20"/>
          <w:szCs w:val="20"/>
        </w:rPr>
        <w:t xml:space="preserve">Educational Research Review</w:t>
      </w:r>
      <w:r>
        <w:rPr>
          <w:sz w:val="20"/>
          <w:szCs w:val="20"/>
        </w:rPr>
        <w:t xml:space="preserve">, Vol. 31, 100355, https://www.sciencedirect.com/science/article/abs/pii/S1747938X19305597.</w:t>
      </w:r>
    </w:p>
    <w:p>
      <w:pPr>
        <w:spacing w:after="120"/>
        <w:ind w:left="567" w:hanging="567"/>
        <w:jc w:val="left"/>
      </w:pPr>
      <w:r>
        <w:rPr>
          <w:sz w:val="20"/>
          <w:szCs w:val="20"/>
        </w:rPr>
        <w:t xml:space="preserve">Nippon.com (2022), "Survey Reveals Teacher Shortage in Japan", 15 March 2022, https://www.nippon.com/en/japan-data/h01264/ (accessed on 5 August 2026).</w:t>
      </w:r>
    </w:p>
    <w:p>
      <w:pPr>
        <w:spacing w:after="120"/>
        <w:ind w:left="567" w:hanging="567"/>
        <w:jc w:val="left"/>
      </w:pPr>
      <w:r>
        <w:rPr>
          <w:sz w:val="20"/>
          <w:szCs w:val="20"/>
        </w:rPr>
        <w:t xml:space="preserve">Nippon.com (2026), "3,827 Teacher Positions Unfilled across Japan: 2025 Survey", https://www.nippon.com/en/news/yjj2026030500966/ (accessed on 5 August 2026).</w:t>
      </w:r>
    </w:p>
    <w:p>
      <w:pPr>
        <w:spacing w:after="120"/>
        <w:ind w:left="567" w:hanging="567"/>
        <w:jc w:val="left"/>
      </w:pPr>
      <w:r>
        <w:rPr>
          <w:sz w:val="20"/>
          <w:szCs w:val="20"/>
        </w:rPr>
        <w:t xml:space="preserve">NSW Department of Education (2024), </w:t>
      </w:r>
      <w:r>
        <w:rPr>
          <w:i/>
          <w:iCs/>
          <w:sz w:val="20"/>
          <w:szCs w:val="20"/>
        </w:rPr>
        <w:t xml:space="preserve">NSW Department of Education Annual Report 2023-24</w:t>
      </w:r>
      <w:r>
        <w:rPr>
          <w:sz w:val="20"/>
          <w:szCs w:val="20"/>
        </w:rPr>
        <w:t xml:space="preserve">, Sydney, https://education.nsw.gov.au/content/dam/main-education/en/home/about-us/strategies-and-reports/annual-reports/nsw-doe-annual-report-2023-24.pdf (accessed on 4 August 2026).</w:t>
      </w:r>
    </w:p>
    <w:p>
      <w:pPr>
        <w:spacing w:after="120"/>
        <w:ind w:left="567" w:hanging="567"/>
        <w:jc w:val="left"/>
      </w:pPr>
      <w:r>
        <w:rPr>
          <w:sz w:val="20"/>
          <w:szCs w:val="20"/>
        </w:rPr>
        <w:t xml:space="preserve">NSW Department of Education (2025), </w:t>
      </w:r>
      <w:r>
        <w:rPr>
          <w:i/>
          <w:iCs/>
          <w:sz w:val="20"/>
          <w:szCs w:val="20"/>
        </w:rPr>
        <w:t xml:space="preserve">Annual Report 2024-25</w:t>
      </w:r>
      <w:r>
        <w:rPr>
          <w:sz w:val="20"/>
          <w:szCs w:val="20"/>
        </w:rPr>
        <w:t xml:space="preserve">, Sydney, https://education.nsw.gov.au/content/dam/main-education/en/home/about-us/strategies-and-reports/annual-reports/DoE_Annual_Report_2024-25.pdf (accessed on 4 August 2026).</w:t>
      </w:r>
    </w:p>
    <w:p>
      <w:pPr>
        <w:spacing w:after="120"/>
        <w:ind w:left="567" w:hanging="567"/>
        <w:jc w:val="left"/>
      </w:pPr>
      <w:r>
        <w:rPr>
          <w:sz w:val="20"/>
          <w:szCs w:val="20"/>
        </w:rPr>
        <w:t xml:space="preserve">NSW Department of Education (2026), "Returning teachers", teach.NSW webpage, last updated 8 July 2026, https://education.nsw.gov.au/teach-nsw/find-teaching-jobs/returning-teachers (accessed on 4 August 2026).</w:t>
      </w:r>
    </w:p>
    <w:p>
      <w:pPr>
        <w:spacing w:after="120"/>
        <w:ind w:left="567" w:hanging="567"/>
        <w:jc w:val="left"/>
      </w:pPr>
      <w:r>
        <w:rPr>
          <w:sz w:val="20"/>
          <w:szCs w:val="20"/>
        </w:rPr>
        <w:t xml:space="preserve">NSW Government (2024), "Retired teachers return to classrooms as part of initiative to address shortage", media release, Minister for Education and Early Learning, 8 May 2024, https://www.nsw.gov.au/media-releases/retired-teachers-return-to-classrooms (accessed on 4 August 2026).</w:t>
      </w:r>
    </w:p>
    <w:p>
      <w:pPr>
        <w:spacing w:after="120"/>
        <w:ind w:left="567" w:hanging="567"/>
        <w:jc w:val="left"/>
      </w:pPr>
      <w:r>
        <w:rPr>
          <w:sz w:val="20"/>
          <w:szCs w:val="20"/>
        </w:rPr>
        <w:t xml:space="preserve">OCEOTA (2024), "OTF Decision on 50-day rule", Ontario Catholic English Occasional Teachers Association, 18 March 2024, http://oceota.com/2024/03/18/otf-decision-on-50-day-rule/ (accessed on 4 August 2026).</w:t>
      </w:r>
    </w:p>
    <w:p>
      <w:pPr>
        <w:spacing w:after="120"/>
        <w:ind w:left="567" w:hanging="567"/>
        <w:jc w:val="left"/>
      </w:pPr>
      <w:r>
        <w:rPr>
          <w:sz w:val="20"/>
          <w:szCs w:val="20"/>
        </w:rPr>
        <w:t xml:space="preserve">OECD (2005), </w:t>
      </w:r>
      <w:r>
        <w:rPr>
          <w:i/>
          <w:iCs/>
          <w:sz w:val="20"/>
          <w:szCs w:val="20"/>
        </w:rPr>
        <w:t xml:space="preserve">Teachers Matter: Attracting, Developing and Retaining Effective Teachers</w:t>
      </w:r>
      <w:r>
        <w:rPr>
          <w:sz w:val="20"/>
          <w:szCs w:val="20"/>
        </w:rPr>
        <w:t xml:space="preserve">, Education and Training Policy, OECD Publishing, Paris, https://doi.org/10.1787/9789264018044-en (accessed on 5 August 2026).</w:t>
      </w:r>
    </w:p>
    <w:p>
      <w:pPr>
        <w:spacing w:after="120"/>
        <w:ind w:left="567" w:hanging="567"/>
        <w:jc w:val="left"/>
      </w:pPr>
      <w:r>
        <w:rPr>
          <w:sz w:val="20"/>
          <w:szCs w:val="20"/>
        </w:rPr>
        <w:t xml:space="preserve">OECD (2019), </w:t>
      </w:r>
      <w:r>
        <w:rPr>
          <w:i/>
          <w:iCs/>
          <w:sz w:val="20"/>
          <w:szCs w:val="20"/>
        </w:rPr>
        <w:t xml:space="preserve">TALIS 2018 Results (Volume I): Teachers and School Leaders as Lifelong Learners</w:t>
      </w:r>
      <w:r>
        <w:rPr>
          <w:sz w:val="20"/>
          <w:szCs w:val="20"/>
        </w:rPr>
        <w:t xml:space="preserve">, TALIS, OECD Publishing, Paris, https://doi.org/10.1787/1d0bc92a-en (accessed on 5 August 2026).</w:t>
      </w:r>
    </w:p>
    <w:p>
      <w:pPr>
        <w:spacing w:after="120"/>
        <w:ind w:left="567" w:hanging="567"/>
        <w:jc w:val="left"/>
      </w:pPr>
      <w:r>
        <w:rPr>
          <w:sz w:val="20"/>
          <w:szCs w:val="20"/>
        </w:rPr>
        <w:t xml:space="preserve">OECD (2020), </w:t>
      </w:r>
      <w:r>
        <w:rPr>
          <w:i/>
          <w:iCs/>
          <w:sz w:val="20"/>
          <w:szCs w:val="20"/>
        </w:rPr>
        <w:t xml:space="preserve">TALIS 2018 Results (Volume II): Teachers and School Leaders as Valued Professionals</w:t>
      </w:r>
      <w:r>
        <w:rPr>
          <w:sz w:val="20"/>
          <w:szCs w:val="20"/>
        </w:rPr>
        <w:t xml:space="preserve">, TALIS, OECD Publishing, Paris, https://doi.org/10.1787/19cf08df-en (report page: https://www.oecd.org/en/publications/talis-2018-results-volume-ii_19cf08df-en.html).</w:t>
      </w:r>
    </w:p>
    <w:p>
      <w:pPr>
        <w:spacing w:after="120"/>
        <w:ind w:left="567" w:hanging="567"/>
        <w:jc w:val="left"/>
      </w:pPr>
      <w:r>
        <w:rPr>
          <w:sz w:val="20"/>
          <w:szCs w:val="20"/>
        </w:rPr>
        <w:t xml:space="preserve">OECD (2023a), </w:t>
      </w:r>
      <w:r>
        <w:rPr>
          <w:i/>
          <w:iCs/>
          <w:sz w:val="20"/>
          <w:szCs w:val="20"/>
        </w:rPr>
        <w:t xml:space="preserve">PISA 2022 Results (Volume I): The State of Learning and Equity in Education</w:t>
      </w:r>
      <w:r>
        <w:rPr>
          <w:sz w:val="20"/>
          <w:szCs w:val="20"/>
        </w:rPr>
        <w:t xml:space="preserve">, PISA, OECD Publishing, Paris, https://doi.org/10.1787/53f23881-en (report page: https://www.oecd.org/en/publications/pisa-2022-results-volume-i_53f23881-en.html) (accessed on 5 August 2026).</w:t>
      </w:r>
    </w:p>
    <w:p>
      <w:pPr>
        <w:spacing w:after="120"/>
        <w:ind w:left="567" w:hanging="567"/>
        <w:jc w:val="left"/>
      </w:pPr>
      <w:r>
        <w:rPr>
          <w:sz w:val="20"/>
          <w:szCs w:val="20"/>
        </w:rPr>
        <w:t xml:space="preserve">OECD (2023b), </w:t>
      </w:r>
      <w:r>
        <w:rPr>
          <w:i/>
          <w:iCs/>
          <w:sz w:val="20"/>
          <w:szCs w:val="20"/>
        </w:rPr>
        <w:t xml:space="preserve">PISA 2022 Results (Volume II): Learning During – and From – Disruption</w:t>
      </w:r>
      <w:r>
        <w:rPr>
          <w:sz w:val="20"/>
          <w:szCs w:val="20"/>
        </w:rPr>
        <w:t xml:space="preserve">, PISA, OECD Publishing, Paris, https://doi.org/10.1787/a97db61c-en (accessed on 5 August 2026).</w:t>
      </w:r>
    </w:p>
    <w:p>
      <w:pPr>
        <w:spacing w:after="120"/>
        <w:ind w:left="567" w:hanging="567"/>
        <w:jc w:val="left"/>
      </w:pPr>
      <w:r>
        <w:rPr>
          <w:sz w:val="20"/>
          <w:szCs w:val="20"/>
        </w:rPr>
        <w:t xml:space="preserve">OECD (2024), </w:t>
      </w:r>
      <w:r>
        <w:rPr>
          <w:i/>
          <w:iCs/>
          <w:sz w:val="20"/>
          <w:szCs w:val="20"/>
        </w:rPr>
        <w:t xml:space="preserve">Education Policy Outlook 2024: Reshaping Teaching into a Thriving Profession from ABCs to AI</w:t>
      </w:r>
      <w:r>
        <w:rPr>
          <w:sz w:val="20"/>
          <w:szCs w:val="20"/>
        </w:rPr>
        <w:t xml:space="preserve">, OECD Publishing, Paris, https://doi.org/10.1787/dd5140e4-en (accessed on 5 August 2026).</w:t>
      </w:r>
    </w:p>
    <w:p>
      <w:pPr>
        <w:spacing w:after="120"/>
        <w:ind w:left="567" w:hanging="567"/>
        <w:jc w:val="left"/>
      </w:pPr>
      <w:r>
        <w:rPr>
          <w:sz w:val="20"/>
          <w:szCs w:val="20"/>
        </w:rPr>
        <w:t xml:space="preserve">OECD (2025a), </w:t>
      </w:r>
      <w:r>
        <w:rPr>
          <w:i/>
          <w:iCs/>
          <w:sz w:val="20"/>
          <w:szCs w:val="20"/>
        </w:rPr>
        <w:t xml:space="preserve">Education at a Glance 2025: OECD Indicators</w:t>
      </w:r>
      <w:r>
        <w:rPr>
          <w:sz w:val="20"/>
          <w:szCs w:val="20"/>
        </w:rPr>
        <w:t xml:space="preserve">, OECD Publishing, Paris, https://doi.org/10.1787/1c0d9c79-en (accessed on 5 August 2026).</w:t>
      </w:r>
    </w:p>
    <w:p>
      <w:pPr>
        <w:spacing w:after="120"/>
        <w:ind w:left="567" w:hanging="567"/>
        <w:jc w:val="left"/>
      </w:pPr>
      <w:r>
        <w:rPr>
          <w:sz w:val="20"/>
          <w:szCs w:val="20"/>
        </w:rPr>
        <w:t xml:space="preserve">OECD (2025b), </w:t>
      </w:r>
      <w:r>
        <w:rPr>
          <w:i/>
          <w:iCs/>
          <w:sz w:val="20"/>
          <w:szCs w:val="20"/>
        </w:rPr>
        <w:t xml:space="preserve">Results from TALIS 2024: The State of Teaching</w:t>
      </w:r>
      <w:r>
        <w:rPr>
          <w:sz w:val="20"/>
          <w:szCs w:val="20"/>
        </w:rPr>
        <w:t xml:space="preserve">, TALIS, OECD Publishing, Paris, https://doi.org/10.1787/90df6235-en (accessed on 5 August 2026).</w:t>
      </w:r>
    </w:p>
    <w:p>
      <w:pPr>
        <w:spacing w:after="120"/>
        <w:ind w:left="567" w:hanging="567"/>
        <w:jc w:val="left"/>
      </w:pPr>
      <w:r>
        <w:rPr>
          <w:sz w:val="20"/>
          <w:szCs w:val="20"/>
        </w:rPr>
        <w:t xml:space="preserve">Ontario Ministry of Education (2022), </w:t>
      </w:r>
      <w:r>
        <w:rPr>
          <w:i/>
          <w:iCs/>
          <w:sz w:val="20"/>
          <w:szCs w:val="20"/>
        </w:rPr>
        <w:t xml:space="preserve">Memorandum 2022:SB01 – Temporary Amendment to the Ontario Teachers' Pension Plan (OTPP) 95 Day Re-Employment Rule for the 2021-22 School Year – Reporting Requirements</w:t>
      </w:r>
      <w:r>
        <w:rPr>
          <w:sz w:val="20"/>
          <w:szCs w:val="20"/>
        </w:rPr>
        <w:t xml:space="preserve">, 24 January 2022, https://efis.fma.csc.gov.on.ca/faab/Memos/SB2022/SB01_EN.pdf (accessed on 4 August 2026).</w:t>
      </w:r>
    </w:p>
    <w:p>
      <w:pPr>
        <w:spacing w:after="120"/>
        <w:ind w:left="567" w:hanging="567"/>
        <w:jc w:val="left"/>
      </w:pPr>
      <w:r>
        <w:rPr>
          <w:sz w:val="20"/>
          <w:szCs w:val="20"/>
        </w:rPr>
        <w:t xml:space="preserve">Ontario Teachers' Pension Plan (2026), "Know your re-employment limit", https://otpp.com/en-ca/members/life-events/living-in-retirement/your-reemployment-limit/ (accessed on 4 August 2026).</w:t>
      </w:r>
    </w:p>
    <w:p>
      <w:pPr>
        <w:spacing w:after="120"/>
        <w:ind w:left="567" w:hanging="567"/>
        <w:jc w:val="left"/>
      </w:pPr>
      <w:r>
        <w:rPr>
          <w:sz w:val="20"/>
          <w:szCs w:val="20"/>
        </w:rPr>
        <w:t xml:space="preserve">OSSTF (n.d.), "Ontario Teachers' Pension Plan (OTPP)", Ontario Secondary School Teachers' Federation, https://www.osstf.on.ca/en-CA/services/pensions/ontario-teachers-pension-plan-otpp.aspx (accessed on 4 August 2026).</w:t>
      </w:r>
    </w:p>
    <w:p>
      <w:pPr>
        <w:spacing w:after="120"/>
        <w:ind w:left="567" w:hanging="567"/>
        <w:jc w:val="left"/>
      </w:pPr>
      <w:r>
        <w:rPr>
          <w:sz w:val="20"/>
          <w:szCs w:val="20"/>
        </w:rPr>
        <w:t xml:space="preserve">OTF (2023), "50-Day re-employment rule increased to 95 days for some OTPP retirees until June 30, 2023", Ontario Teachers' Federation, https://www.otffeo.on.ca/en/news/50-day-re-employment-rule-increased-to-95-days-for-some-otpp-retirees-until-june-30-2023/ (accessed on 4 August 2026).</w:t>
      </w:r>
    </w:p>
    <w:p>
      <w:pPr>
        <w:spacing w:after="120"/>
        <w:ind w:left="567" w:hanging="567"/>
        <w:jc w:val="left"/>
      </w:pPr>
      <w:r>
        <w:rPr>
          <w:sz w:val="20"/>
          <w:szCs w:val="20"/>
        </w:rPr>
        <w:t xml:space="preserve">R.I.S.E. Magazine (2025), "China plans to raise rural education standards by employing 7,000 retired teachers", https://www.riseedumag.com/china-plans-to-raise-rural-education-standards-by-employing-7000-retired-teachers/.</w:t>
      </w:r>
    </w:p>
    <w:p>
      <w:pPr>
        <w:spacing w:after="120"/>
        <w:ind w:left="567" w:hanging="567"/>
        <w:jc w:val="left"/>
      </w:pPr>
      <w:r>
        <w:rPr>
          <w:sz w:val="20"/>
          <w:szCs w:val="20"/>
        </w:rPr>
        <w:t xml:space="preserve">Rechnungshof (2025), </w:t>
      </w:r>
      <w:r>
        <w:rPr>
          <w:i/>
          <w:iCs/>
          <w:sz w:val="20"/>
          <w:szCs w:val="20"/>
        </w:rPr>
        <w:t xml:space="preserve">Lehrpersonaleinsatz</w:t>
      </w:r>
      <w:r>
        <w:rPr>
          <w:sz w:val="20"/>
          <w:szCs w:val="20"/>
        </w:rPr>
        <w:t xml:space="preserve">, Bericht des Rechnungshofes, Reihe Bund 2025/18, Rechnungshof Österreich, Vienna, https://www.rechnungshof.gv.at/rh/home/home/2025_18_Lehrpersonaleinsatz.pdf (accessed on 4 August 2026).</w:t>
      </w:r>
    </w:p>
    <w:p>
      <w:pPr>
        <w:spacing w:after="120"/>
        <w:ind w:left="567" w:hanging="567"/>
        <w:jc w:val="left"/>
      </w:pPr>
      <w:r>
        <w:rPr>
          <w:sz w:val="20"/>
          <w:szCs w:val="20"/>
        </w:rPr>
        <w:t xml:space="preserve">Renascença (2024), "55 professores aposentados podem dar aulas a partir de janeiro", rr.pt, 19 December 2024, https://rr.pt/noticia/pais/2024/12/19/55-professores-aposentados-podem-dar-aulas-a-partir-de-janeiro/406679/ (accessed on 4 August 2026).</w:t>
      </w:r>
    </w:p>
    <w:p>
      <w:pPr>
        <w:spacing w:after="120"/>
        <w:ind w:left="567" w:hanging="567"/>
        <w:jc w:val="left"/>
      </w:pPr>
      <w:r>
        <w:rPr>
          <w:sz w:val="20"/>
          <w:szCs w:val="20"/>
        </w:rPr>
        <w:t xml:space="preserve">Resch, K. (2025a), "Retired teachers return to school to tackle teacher shortages in Austrian schools. An untapped reserve or emergency response?", </w:t>
      </w:r>
      <w:r>
        <w:rPr>
          <w:i/>
          <w:iCs/>
          <w:sz w:val="20"/>
          <w:szCs w:val="20"/>
        </w:rPr>
        <w:t xml:space="preserve">European Journal of Teacher Education</w:t>
      </w:r>
      <w:r>
        <w:rPr>
          <w:sz w:val="20"/>
          <w:szCs w:val="20"/>
        </w:rPr>
        <w:t xml:space="preserve">, advance online publication, 10 July 2025, https://doi.org/10.1080/02619768.2025.2531930 (accessed on 5 August 2026).</w:t>
      </w:r>
    </w:p>
    <w:p>
      <w:pPr>
        <w:spacing w:after="120"/>
        <w:ind w:left="567" w:hanging="567"/>
        <w:jc w:val="left"/>
      </w:pPr>
      <w:r>
        <w:rPr>
          <w:sz w:val="20"/>
          <w:szCs w:val="20"/>
        </w:rPr>
        <w:t xml:space="preserve">Resch, K. (2025b), "Die Rückkehr von pensionierten Lehrpersonen in den Schuldienst als berufsbiographisches Ereignis", </w:t>
      </w:r>
      <w:r>
        <w:rPr>
          <w:i/>
          <w:iCs/>
          <w:sz w:val="20"/>
          <w:szCs w:val="20"/>
        </w:rPr>
        <w:t xml:space="preserve">Zeitschrift für Bildungsforschung</w:t>
      </w:r>
      <w:r>
        <w:rPr>
          <w:sz w:val="20"/>
          <w:szCs w:val="20"/>
        </w:rPr>
        <w:t xml:space="preserve">, published online 12 November 2025, https://doi.org/10.1007/s35834-025-00519-z (accessed on 5 August 2026).</w:t>
      </w:r>
    </w:p>
    <w:p>
      <w:pPr>
        <w:spacing w:after="120"/>
        <w:ind w:left="567" w:hanging="567"/>
        <w:jc w:val="left"/>
      </w:pPr>
      <w:r>
        <w:rPr>
          <w:sz w:val="20"/>
          <w:szCs w:val="20"/>
        </w:rPr>
        <w:t xml:space="preserve">Rolfhus, E., R. Gersten, B. Clarke, L. E. Decker, C. Wilkins and J. Dimino (2012), </w:t>
      </w:r>
      <w:r>
        <w:rPr>
          <w:i/>
          <w:iCs/>
          <w:sz w:val="20"/>
          <w:szCs w:val="20"/>
        </w:rPr>
        <w:t xml:space="preserve">An Evaluation of Number Rockets: A Tier-2 Intervention for Grade 1 Students at Risk for Difficulties in Mathematics</w:t>
      </w:r>
      <w:r>
        <w:rPr>
          <w:sz w:val="20"/>
          <w:szCs w:val="20"/>
        </w:rPr>
        <w:t xml:space="preserve"> (NCEE 2012-4007), National Center for Education Evaluation and Regional Assistance, Institute of Education Sciences, Washington, DC, https://eric.ed.gov/?id=ED529429 (accessed on 5 August 2026).</w:t>
      </w:r>
    </w:p>
    <w:p>
      <w:pPr>
        <w:spacing w:after="120"/>
        <w:ind w:left="567" w:hanging="567"/>
        <w:jc w:val="left"/>
      </w:pPr>
      <w:r>
        <w:rPr>
          <w:sz w:val="20"/>
          <w:szCs w:val="20"/>
        </w:rPr>
        <w:t xml:space="preserve">RTP (2026), "Professores que adiem reforma recebem 750 euros mas só em escolas onde há carência", rtp.pt, 30 July 2026, https://www.rtp.pt/noticias/pais/professores-que-adiem-reforma-recebem-750-euros-mas-so-em-escolas-onde-ha-carencia_n1756798 (accessed on 4 August 2026).</w:t>
      </w:r>
    </w:p>
    <w:p>
      <w:pPr>
        <w:spacing w:after="120"/>
        <w:ind w:left="567" w:hanging="567"/>
        <w:jc w:val="left"/>
      </w:pPr>
      <w:r>
        <w:rPr>
          <w:sz w:val="20"/>
          <w:szCs w:val="20"/>
        </w:rPr>
        <w:t xml:space="preserve">SÁBADO (2024), "Continuam a faltar médicos e professores. Porque estão a falhar as medidas do Governo?", sabado.pt, 6 December 2024, https://www.sabado.pt/portugal/detalhe/continuam-a-faltar-medicos-e-professores-porque-falharam-a-medidas-do-governo (accessed on 4 August 2026).</w:t>
      </w:r>
    </w:p>
    <w:p>
      <w:pPr>
        <w:spacing w:after="120"/>
        <w:ind w:left="567" w:hanging="567"/>
        <w:jc w:val="left"/>
      </w:pPr>
      <w:r>
        <w:rPr>
          <w:sz w:val="20"/>
          <w:szCs w:val="20"/>
        </w:rPr>
        <w:t xml:space="preserve">Sakuma, A. and N. Shimazaki (2024), "'Why are We Running Short of Teachers Even as the Birthrate Declines?': A Case Study of the Teacher Shortage in Public Schools in X Prefecture in Japan", </w:t>
      </w:r>
      <w:r>
        <w:rPr>
          <w:i/>
          <w:iCs/>
          <w:sz w:val="20"/>
          <w:szCs w:val="20"/>
        </w:rPr>
        <w:t xml:space="preserve">Educational Studies in Japan: International Yearbook</w:t>
      </w:r>
      <w:r>
        <w:rPr>
          <w:sz w:val="20"/>
          <w:szCs w:val="20"/>
        </w:rPr>
        <w:t xml:space="preserve">, No. 18, pp. 191-210, https://files.eric.ed.gov/fulltext/EJ1433887.pdf (accessed on 5 August 2026).</w:t>
      </w:r>
    </w:p>
    <w:p>
      <w:pPr>
        <w:spacing w:after="120"/>
        <w:ind w:left="567" w:hanging="567"/>
        <w:jc w:val="left"/>
      </w:pPr>
      <w:r>
        <w:rPr>
          <w:sz w:val="20"/>
          <w:szCs w:val="20"/>
        </w:rPr>
        <w:t xml:space="preserve">Scafidi, B., D. L. Sjoquist and T. R. Stinebrickner (2006), "Do Teachers Really Leave for Higher Paying Jobs in Alternative Occupations?", </w:t>
      </w:r>
      <w:r>
        <w:rPr>
          <w:i/>
          <w:iCs/>
          <w:sz w:val="20"/>
          <w:szCs w:val="20"/>
        </w:rPr>
        <w:t xml:space="preserve">The B.E. Journal of Economic Analysis &amp; Policy (Advances)</w:t>
      </w:r>
      <w:r>
        <w:rPr>
          <w:sz w:val="20"/>
          <w:szCs w:val="20"/>
        </w:rPr>
        <w:t xml:space="preserve">, Vol. 6/1, Article 8, https://ideas.repec.org/a/bpj/bejeap/vadvances.6y2006i1n8.html.</w:t>
      </w:r>
    </w:p>
    <w:p>
      <w:pPr>
        <w:spacing w:after="120"/>
        <w:ind w:left="567" w:hanging="567"/>
        <w:jc w:val="left"/>
      </w:pPr>
      <w:r>
        <w:rPr>
          <w:sz w:val="20"/>
          <w:szCs w:val="20"/>
        </w:rPr>
        <w:t xml:space="preserve">Sims, S. and A. Benhenda (2022), "The effect of financial incentives on the retention of shortage-subject teachers: Evidence from England", CEPEO Working Paper No. 22-04, Centre for Education Policy and Equalising Opportunities, UCL, London, https://repec-cepeo.ucl.ac.uk/cepeow/cepeowp22-04.pdf (accessed on 4 August 2026).</w:t>
      </w:r>
    </w:p>
    <w:p>
      <w:pPr>
        <w:spacing w:after="120"/>
        <w:ind w:left="567" w:hanging="567"/>
        <w:jc w:val="left"/>
      </w:pPr>
      <w:r>
        <w:rPr>
          <w:sz w:val="20"/>
          <w:szCs w:val="20"/>
        </w:rPr>
        <w:t xml:space="preserve">Sims, S., H. Lowes-Belk and C. Routledge (2026), "Why do people choose to enter and exit the teaching profession? An interdisciplinary quantitative synthesis", </w:t>
      </w:r>
      <w:r>
        <w:rPr>
          <w:i/>
          <w:iCs/>
          <w:sz w:val="20"/>
          <w:szCs w:val="20"/>
        </w:rPr>
        <w:t xml:space="preserve">British Educational Research Journal</w:t>
      </w:r>
      <w:r>
        <w:rPr>
          <w:sz w:val="20"/>
          <w:szCs w:val="20"/>
        </w:rPr>
        <w:t xml:space="preserve">, Vol. 52/3, pp. 1652-1676, published online 24 October 2025, https://doi.org/10.1002/berj.70027 (accessed on 5 August 2026).</w:t>
      </w:r>
    </w:p>
    <w:p>
      <w:pPr>
        <w:spacing w:after="120"/>
        <w:ind w:left="567" w:hanging="567"/>
        <w:jc w:val="left"/>
      </w:pPr>
      <w:r>
        <w:rPr>
          <w:sz w:val="20"/>
          <w:szCs w:val="20"/>
        </w:rPr>
        <w:t xml:space="preserve">Somers, M., L. Fleck, W. Groot and F. van Merode (2024a), </w:t>
      </w:r>
      <w:r>
        <w:rPr>
          <w:i/>
          <w:iCs/>
          <w:sz w:val="20"/>
          <w:szCs w:val="20"/>
        </w:rPr>
        <w:t xml:space="preserve">The Hidden Reserve of Nurses and Teachers in the Netherlands</w:t>
      </w:r>
      <w:r>
        <w:rPr>
          <w:sz w:val="20"/>
          <w:szCs w:val="20"/>
        </w:rPr>
        <w:t xml:space="preserve">, ROA Research Memorandum No. 2024/004E, Research Centre for Education and the Labour Market, Maastricht University, https://doi.org/10.26481/umaror.2024004E (accessed on 4 August 2026).</w:t>
      </w:r>
    </w:p>
    <w:p>
      <w:pPr>
        <w:spacing w:after="120"/>
        <w:ind w:left="567" w:hanging="567"/>
        <w:jc w:val="left"/>
      </w:pPr>
      <w:r>
        <w:rPr>
          <w:sz w:val="20"/>
          <w:szCs w:val="20"/>
        </w:rPr>
        <w:t xml:space="preserve">Somers, M., W. Groot and F. van Merode (2024b), "Stille reserve voldoende om personeelstekort onderwijs op te lossen", </w:t>
      </w:r>
      <w:r>
        <w:rPr>
          <w:i/>
          <w:iCs/>
          <w:sz w:val="20"/>
          <w:szCs w:val="20"/>
        </w:rPr>
        <w:t xml:space="preserve">ESB (Economisch Statistische Berichten)</w:t>
      </w:r>
      <w:r>
        <w:rPr>
          <w:sz w:val="20"/>
          <w:szCs w:val="20"/>
        </w:rPr>
        <w:t xml:space="preserve">, 28 February 2024, https://esb.nu/stille-reserve-voldoende-om-personeelstekort-onderwijs-op-te-lossen/ (accessed on 4 August 2026).</w:t>
      </w:r>
    </w:p>
    <w:p>
      <w:pPr>
        <w:spacing w:after="120"/>
        <w:ind w:left="567" w:hanging="567"/>
        <w:jc w:val="left"/>
      </w:pPr>
      <w:r>
        <w:rPr>
          <w:sz w:val="20"/>
          <w:szCs w:val="20"/>
        </w:rPr>
        <w:t xml:space="preserve">State Council (2023), 教育部教师工作司负责人就《国家银龄教师行动计划》答记者问 [MOE Teacher Affairs Department Q&amp;A on the National Silver Age Teachers Action Plan], www.gov.cn, August 2023, https://www.gov.cn/zhengce/202308/content_6900976.htm.</w:t>
      </w:r>
    </w:p>
    <w:p>
      <w:pPr>
        <w:spacing w:after="120"/>
        <w:ind w:left="567" w:hanging="567"/>
        <w:jc w:val="left"/>
      </w:pPr>
      <w:r>
        <w:rPr>
          <w:sz w:val="20"/>
          <w:szCs w:val="20"/>
        </w:rPr>
        <w:t xml:space="preserve">Stinebrickner, T. R. (2002), "An Analysis of Occupational Change and Departure from the Labor Force: Evidence of the Reasons that Teachers Leave", </w:t>
      </w:r>
      <w:r>
        <w:rPr>
          <w:i/>
          <w:iCs/>
          <w:sz w:val="20"/>
          <w:szCs w:val="20"/>
        </w:rPr>
        <w:t xml:space="preserve">Journal of Human Resources</w:t>
      </w:r>
      <w:r>
        <w:rPr>
          <w:sz w:val="20"/>
          <w:szCs w:val="20"/>
        </w:rPr>
        <w:t xml:space="preserve">, Vol. 37/1, pp. 192-216, https://ideas.repec.org/a/uwp/jhriss/v37y2002i1p192-216.html.</w:t>
      </w:r>
    </w:p>
    <w:p>
      <w:pPr>
        <w:spacing w:after="120"/>
        <w:ind w:left="567" w:hanging="567"/>
        <w:jc w:val="left"/>
      </w:pPr>
      <w:r>
        <w:rPr>
          <w:sz w:val="20"/>
          <w:szCs w:val="20"/>
        </w:rPr>
        <w:t xml:space="preserve">Sutcher, L., L. Darling-Hammond and D. Carver-Thomas (2016), </w:t>
      </w:r>
      <w:r>
        <w:rPr>
          <w:i/>
          <w:iCs/>
          <w:sz w:val="20"/>
          <w:szCs w:val="20"/>
        </w:rPr>
        <w:t xml:space="preserve">A Coming Crisis in Teaching? Teacher Supply, Demand, and Shortages in the U.S.</w:t>
      </w:r>
      <w:r>
        <w:rPr>
          <w:sz w:val="20"/>
          <w:szCs w:val="20"/>
        </w:rPr>
        <w:t xml:space="preserve">, Learning Policy Institute, Palo Alto, CA, https://learningpolicyinstitute.org/product/coming-crisis-teaching-brief.</w:t>
      </w:r>
    </w:p>
    <w:p>
      <w:pPr>
        <w:spacing w:after="120"/>
        <w:ind w:left="567" w:hanging="567"/>
        <w:jc w:val="left"/>
      </w:pPr>
      <w:r>
        <w:rPr>
          <w:sz w:val="20"/>
          <w:szCs w:val="20"/>
        </w:rPr>
        <w:t xml:space="preserve">Tan, T., W. Wei, D. Carver-Thomas and E. García (2026), </w:t>
      </w:r>
      <w:r>
        <w:rPr>
          <w:i/>
          <w:iCs/>
          <w:sz w:val="20"/>
          <w:szCs w:val="20"/>
        </w:rPr>
        <w:t xml:space="preserve">Teacher Turnover in the United States: Who Moves, Who Leaves, and Why</w:t>
      </w:r>
      <w:r>
        <w:rPr>
          <w:sz w:val="20"/>
          <w:szCs w:val="20"/>
        </w:rPr>
        <w:t xml:space="preserve">, Learning Policy Institute, 17 March 2026, https://doi.org/10.54300/248.479 (report page: https://learningpolicyinstitute.org/product/teacher-turnover-united-states-report) (accessed on 5 August 2026).</w:t>
      </w:r>
    </w:p>
    <w:p>
      <w:pPr>
        <w:spacing w:after="120"/>
        <w:ind w:left="567" w:hanging="567"/>
        <w:jc w:val="left"/>
      </w:pPr>
      <w:r>
        <w:rPr>
          <w:sz w:val="20"/>
          <w:szCs w:val="20"/>
        </w:rPr>
        <w:t xml:space="preserve">Teachers' Pensions (n.d.), "Return to work — Once retired", https://www.teacherspensions.co.uk/members/once-retired/return-to-work.aspx (accessed on 5 August 2026).</w:t>
      </w:r>
    </w:p>
    <w:p>
      <w:pPr>
        <w:spacing w:after="120"/>
        <w:ind w:left="567" w:hanging="567"/>
        <w:jc w:val="left"/>
      </w:pPr>
      <w:r>
        <w:rPr>
          <w:sz w:val="20"/>
          <w:szCs w:val="20"/>
        </w:rPr>
        <w:t xml:space="preserve">Teachers Retirement System of Georgia (2026), "Legislative Update", 5 May 2026, https://www.trsga.com/legislation/legislative-update/ (accessed on 4 August 2026).</w:t>
      </w:r>
    </w:p>
    <w:p>
      <w:pPr>
        <w:spacing w:after="120"/>
        <w:ind w:left="567" w:hanging="567"/>
        <w:jc w:val="left"/>
      </w:pPr>
      <w:r>
        <w:rPr>
          <w:sz w:val="20"/>
          <w:szCs w:val="20"/>
        </w:rPr>
        <w:t xml:space="preserve">Teachers' Retirement System of Louisiana (2024), "Regular Session News #18: Governor signs return-to-work bill into law" (Act 394 of 2024, HB 967), 31 May 2024, https://www.trsl.org/resources/legislation/archive/regular-session-news-18-governor-signs-return-to-work-bill-into-law (accessed on 4 August 2026).</w:t>
      </w:r>
    </w:p>
    <w:p>
      <w:pPr>
        <w:spacing w:after="120"/>
        <w:ind w:left="567" w:hanging="567"/>
        <w:jc w:val="left"/>
      </w:pPr>
      <w:r>
        <w:rPr>
          <w:sz w:val="20"/>
          <w:szCs w:val="20"/>
        </w:rPr>
        <w:t xml:space="preserve">Teachers' Retirement System of Louisiana (2026), "Regular Session News #18: Passage of return-to-work bill a highlight of 2026" (Act 344 of 2026, SB 14), 2 June 2026, https://www.trsl.org/resources/legislation/archive/regular-session-news-18-passage-of-return-to-work-bill-a-highlight-of-2026-copy (accessed on 4 August 2026).</w:t>
      </w:r>
    </w:p>
    <w:p>
      <w:pPr>
        <w:spacing w:after="120"/>
        <w:ind w:left="567" w:hanging="567"/>
        <w:jc w:val="left"/>
      </w:pPr>
      <w:r>
        <w:rPr>
          <w:sz w:val="20"/>
          <w:szCs w:val="20"/>
        </w:rPr>
        <w:t xml:space="preserve">Teaching Council of Aotearoa New Zealand (2026), </w:t>
      </w:r>
      <w:r>
        <w:rPr>
          <w:i/>
          <w:iCs/>
          <w:sz w:val="20"/>
          <w:szCs w:val="20"/>
        </w:rPr>
        <w:t xml:space="preserve">Requirements for Teacher Registration, Practising Certificates and Limited Authority to Teach</w:t>
      </w:r>
      <w:r>
        <w:rPr>
          <w:sz w:val="20"/>
          <w:szCs w:val="20"/>
        </w:rPr>
        <w:t xml:space="preserve">, registration policy (2026 Teacher Education Refresh update), January 2026 version, Teaching Council of Aotearoa New Zealand, Wellington.</w:t>
      </w:r>
    </w:p>
    <w:p>
      <w:pPr>
        <w:spacing w:after="120"/>
        <w:ind w:left="567" w:hanging="567"/>
        <w:jc w:val="left"/>
      </w:pPr>
      <w:r>
        <w:rPr>
          <w:sz w:val="20"/>
          <w:szCs w:val="20"/>
        </w:rPr>
        <w:t xml:space="preserve">Tweede Kamer (2019), Kamerstukken II 2019/20, 35 300 VIII, nr. 15 (Verslag houdende een lijst van vragen en antwoorden, answer to question 44), https://zoek.officielebekendmakingen.nl/kst-35300-VIII-15.html (accessed on 5 August 2026).</w:t>
      </w:r>
    </w:p>
    <w:p>
      <w:pPr>
        <w:spacing w:after="120"/>
        <w:ind w:left="567" w:hanging="567"/>
        <w:jc w:val="left"/>
      </w:pPr>
      <w:r>
        <w:rPr>
          <w:sz w:val="20"/>
          <w:szCs w:val="20"/>
        </w:rPr>
        <w:t xml:space="preserve">UK Parliament (2022), Written question 54668 "Teachers: Re-employment", answered 11 October 2022, https://questions-statements.parliament.uk/written-questions/detail/2022-09-22/54668/ (accessed on 4 August 2026).</w:t>
      </w:r>
    </w:p>
    <w:p>
      <w:pPr>
        <w:spacing w:after="120"/>
        <w:ind w:left="567" w:hanging="567"/>
        <w:jc w:val="left"/>
      </w:pPr>
      <w:r>
        <w:rPr>
          <w:sz w:val="20"/>
          <w:szCs w:val="20"/>
        </w:rPr>
        <w:t xml:space="preserve">UK Parliament (2026), "Teacher Workforce", written statement HCWS171, House of Commons, 1 July 2026, https://questions-statements.parliament.uk/written-statements/detail/2026-07-01/hcws171.</w:t>
      </w:r>
    </w:p>
    <w:p>
      <w:pPr>
        <w:spacing w:after="120"/>
        <w:ind w:left="567" w:hanging="567"/>
        <w:jc w:val="left"/>
      </w:pPr>
      <w:r>
        <w:rPr>
          <w:sz w:val="20"/>
          <w:szCs w:val="20"/>
        </w:rPr>
        <w:t xml:space="preserve">UNESCO and International Task Force on Teachers for Education 2030 (2024), </w:t>
      </w:r>
      <w:r>
        <w:rPr>
          <w:i/>
          <w:iCs/>
          <w:sz w:val="20"/>
          <w:szCs w:val="20"/>
        </w:rPr>
        <w:t xml:space="preserve">Global Report on Teachers: Addressing Teacher Shortages and Transforming the Profession</w:t>
      </w:r>
      <w:r>
        <w:rPr>
          <w:sz w:val="20"/>
          <w:szCs w:val="20"/>
        </w:rPr>
        <w:t xml:space="preserve">, UNESCO, Paris, https://www.unesco.org/en/articles/global-report-teachers-addressing-teacher-shortages-and-transforming-profession.</w:t>
      </w:r>
    </w:p>
    <w:p>
      <w:pPr>
        <w:spacing w:after="120"/>
        <w:ind w:left="567" w:hanging="567"/>
        <w:jc w:val="left"/>
      </w:pPr>
      <w:r>
        <w:rPr>
          <w:sz w:val="20"/>
          <w:szCs w:val="20"/>
        </w:rPr>
        <w:t xml:space="preserve">Varma, V. R. et al. (2016), "Effect of community volunteering on physical activity: A randomized controlled trial", </w:t>
      </w:r>
      <w:r>
        <w:rPr>
          <w:i/>
          <w:iCs/>
          <w:sz w:val="20"/>
          <w:szCs w:val="20"/>
        </w:rPr>
        <w:t xml:space="preserve">American Journal of Preventive Medicine</w:t>
      </w:r>
      <w:r>
        <w:rPr>
          <w:sz w:val="20"/>
          <w:szCs w:val="20"/>
        </w:rPr>
        <w:t xml:space="preserve">, Vol. 50/1, pp. 106-110, https://pubmed.ncbi.nlm.nih.gov/26340864/.</w:t>
      </w:r>
    </w:p>
    <w:p>
      <w:pPr>
        <w:spacing w:after="120"/>
        <w:ind w:left="567" w:hanging="567"/>
        <w:jc w:val="left"/>
      </w:pPr>
      <w:r>
        <w:rPr>
          <w:sz w:val="20"/>
          <w:szCs w:val="20"/>
        </w:rPr>
        <w:t xml:space="preserve">Virginia Retirement System (n.d.), "Critical Shortage Positions", https://www.varetire.org/retiree-milestones/working-after-retirement/critical-shortage-positions/ (accessed on 4 August 2026).</w:t>
      </w:r>
    </w:p>
    <w:p>
      <w:pPr>
        <w:spacing w:after="120"/>
        <w:ind w:left="567" w:hanging="567"/>
        <w:jc w:val="left"/>
      </w:pPr>
      <w:r>
        <w:rPr>
          <w:sz w:val="20"/>
          <w:szCs w:val="20"/>
        </w:rPr>
        <w:t xml:space="preserve">Walker, A. (2022), "DfE scheme to lure back physics teachers recruits just 23 in two years", </w:t>
      </w:r>
      <w:r>
        <w:rPr>
          <w:i/>
          <w:iCs/>
          <w:sz w:val="20"/>
          <w:szCs w:val="20"/>
        </w:rPr>
        <w:t xml:space="preserve">Schools Week</w:t>
      </w:r>
      <w:r>
        <w:rPr>
          <w:sz w:val="20"/>
          <w:szCs w:val="20"/>
        </w:rPr>
        <w:t xml:space="preserve">, 13 September 2022, https://schoolsweek.co.uk/dfe-scheme-to-lure-back-physics-teachers-recruits-just-23-in-two-years/.</w:t>
      </w:r>
    </w:p>
    <w:p>
      <w:pPr>
        <w:spacing w:after="120"/>
        <w:ind w:left="567" w:hanging="567"/>
        <w:jc w:val="left"/>
      </w:pPr>
      <w:r>
        <w:rPr>
          <w:sz w:val="20"/>
          <w:szCs w:val="20"/>
        </w:rPr>
        <w:t xml:space="preserve">Watt, H. M. G., P. W. Richardson, U. Klusmann, M. Kunter, B. Beyer, U. Trautwein and J. Baumert (2012), "Motivations for choosing teaching as a career: An international comparison using the FIT-Choice scale", </w:t>
      </w:r>
      <w:r>
        <w:rPr>
          <w:i/>
          <w:iCs/>
          <w:sz w:val="20"/>
          <w:szCs w:val="20"/>
        </w:rPr>
        <w:t xml:space="preserve">Teaching and Teacher Education</w:t>
      </w:r>
      <w:r>
        <w:rPr>
          <w:sz w:val="20"/>
          <w:szCs w:val="20"/>
        </w:rPr>
        <w:t xml:space="preserve">, Vol. 28/6, pp. 791-805, https://www.sciencedirect.com/science/article/abs/pii/S0742051X12000479.</w:t>
      </w:r>
    </w:p>
    <w:p>
      <w:pPr>
        <w:spacing w:after="120"/>
        <w:ind w:left="567" w:hanging="567"/>
        <w:jc w:val="left"/>
      </w:pPr>
      <w:r>
        <w:rPr>
          <w:sz w:val="20"/>
          <w:szCs w:val="20"/>
        </w:rPr>
        <w:t xml:space="preserve">What Works Clearinghouse (2010), </w:t>
      </w:r>
      <w:r>
        <w:rPr>
          <w:i/>
          <w:iCs/>
          <w:sz w:val="20"/>
          <w:szCs w:val="20"/>
        </w:rPr>
        <w:t xml:space="preserve">WWC Quick Review of the Report "Evaluation of Experience Corps: Student Reading Outcomes"</w:t>
      </w:r>
      <w:r>
        <w:rPr>
          <w:sz w:val="20"/>
          <w:szCs w:val="20"/>
        </w:rPr>
        <w:t xml:space="preserve">, Institute of Education Sciences, U.S. Department of Education, Washington, DC, February 2010, https://ies.ed.gov/ncee/wwc/Docs/QuickReview/expcorps_020910.pdf (accessed on 5 August 2026).</w:t>
      </w:r>
    </w:p>
    <w:p>
      <w:pPr>
        <w:spacing w:after="120"/>
        <w:ind w:left="567" w:hanging="567"/>
        <w:jc w:val="left"/>
      </w:pPr>
      <w:r>
        <w:rPr>
          <w:sz w:val="20"/>
          <w:szCs w:val="20"/>
        </w:rPr>
        <w:t xml:space="preserve">What Works Clearinghouse (2019), </w:t>
      </w:r>
      <w:r>
        <w:rPr>
          <w:i/>
          <w:iCs/>
          <w:sz w:val="20"/>
          <w:szCs w:val="20"/>
        </w:rPr>
        <w:t xml:space="preserve">Review of Individual Study: DeCesare, McClelland and Randel (2017)</w:t>
      </w:r>
      <w:r>
        <w:rPr>
          <w:sz w:val="20"/>
          <w:szCs w:val="20"/>
        </w:rPr>
        <w:t xml:space="preserve"> (Study #88756, reviewed August 2019, Standards and Protocol 4.0), Institute of Education Sciences, U.S. Department of Education, Washington, DC, https://ies.ed.gov/ncee/wwc/Study/88756 (accessed on 5 August 2026).</w:t>
      </w:r>
    </w:p>
    <w:p>
      <w:pPr>
        <w:spacing w:after="120"/>
        <w:ind w:left="567" w:hanging="567"/>
        <w:jc w:val="left"/>
      </w:pPr>
      <w:r>
        <w:rPr>
          <w:sz w:val="20"/>
          <w:szCs w:val="20"/>
        </w:rPr>
        <w:t xml:space="preserve">Will, M. (2022), "Could Retired Teachers Be the Answer to Shortages? It's Complicated", </w:t>
      </w:r>
      <w:r>
        <w:rPr>
          <w:i/>
          <w:iCs/>
          <w:sz w:val="20"/>
          <w:szCs w:val="20"/>
        </w:rPr>
        <w:t xml:space="preserve">Education Week</w:t>
      </w:r>
      <w:r>
        <w:rPr>
          <w:sz w:val="20"/>
          <w:szCs w:val="20"/>
        </w:rPr>
        <w:t xml:space="preserve">, 11 October 2022, https://www.edweek.org/leadership/could-retired-teachers-be-the-answer-to-shortages-its-complicated/2022/10 (accessed on 4 August 2026).</w:t>
      </w:r>
    </w:p>
    <w:p>
      <w:pPr>
        <w:spacing w:after="120"/>
        <w:ind w:left="567" w:hanging="567"/>
        <w:jc w:val="left"/>
      </w:pPr>
      <w:r>
        <w:rPr>
          <w:sz w:val="20"/>
          <w:szCs w:val="20"/>
        </w:rPr>
        <w:t xml:space="preserve">Worth, J. (2023), </w:t>
      </w:r>
      <w:r>
        <w:rPr>
          <w:i/>
          <w:iCs/>
          <w:sz w:val="20"/>
          <w:szCs w:val="20"/>
        </w:rPr>
        <w:t xml:space="preserve">Short Supply: Addressing the Post-Pandemic Teacher Supply Challenge in England</w:t>
      </w:r>
      <w:r>
        <w:rPr>
          <w:sz w:val="20"/>
          <w:szCs w:val="20"/>
        </w:rPr>
        <w:t xml:space="preserve">, National Foundation for Educational Research, Slough, https://files.eric.ed.gov/fulltext/ED627679.pdf (accessed on 4 August 2026).</w:t>
      </w:r>
    </w:p>
    <w:p>
      <w:pPr>
        <w:spacing w:after="120"/>
        <w:ind w:left="567" w:hanging="567"/>
        <w:jc w:val="left"/>
      </w:pPr>
      <w:r>
        <w:rPr>
          <w:sz w:val="20"/>
          <w:szCs w:val="20"/>
        </w:rPr>
        <w:t xml:space="preserve">Worth, J. and C. Sharp (2018), "What do returners want?", NFER blog, 11 July 2018, National Foundation for Educational Research, Slough, https://www.nfer.ac.uk/blogs/what-do-returners-want/ (accessed on 4 August 2026).</w:t>
      </w:r>
    </w:p>
    <w:p>
      <w:pPr>
        <w:spacing w:after="120"/>
        <w:ind w:left="567" w:hanging="567"/>
        <w:jc w:val="left"/>
      </w:pPr>
      <w:r>
        <w:rPr>
          <w:sz w:val="20"/>
          <w:szCs w:val="20"/>
        </w:rPr>
        <w:t xml:space="preserve">Worth, J., S. Bamford and B. Durbin (2015), </w:t>
      </w:r>
      <w:r>
        <w:rPr>
          <w:i/>
          <w:iCs/>
          <w:sz w:val="20"/>
          <w:szCs w:val="20"/>
        </w:rPr>
        <w:t xml:space="preserve">Should I Stay or Should I Go? NFER Analysis of Teachers Joining and Leaving the Profession</w:t>
      </w:r>
      <w:r>
        <w:rPr>
          <w:sz w:val="20"/>
          <w:szCs w:val="20"/>
        </w:rPr>
        <w:t xml:space="preserve">, National Foundation for Educational Research, Slough, https://www.nfer.ac.uk/publications/should-i-stay-or-should-i-go-nfer-analysis-of-teachers-joining-and-leaving-the-profession/.</w:t>
      </w:r>
    </w:p>
    <w:p>
      <w:pPr>
        <w:spacing w:after="120"/>
        <w:ind w:left="567" w:hanging="567"/>
        <w:jc w:val="left"/>
      </w:pPr>
      <w:r>
        <w:rPr>
          <w:sz w:val="20"/>
          <w:szCs w:val="20"/>
        </w:rPr>
        <w:t xml:space="preserve">ZNS Bahamas (2026), "The Ministry of Education Aiming to Attract More Bahamian Teachers", ZNS Bahamas (Broadcasting Corporation of The Bahamas), 17 July 2026, https://znsbahamas.com/the-ministry-of-education-aiming-to-attract-more-bahamian-teachers/.</w:t>
      </w:r>
    </w:p>
    <w:sectPr>
      <w:headerReference w:type="default" r:id="rId7"/>
      <w:footerReference w:type="default" r:id="rId8"/>
      <w:pgSz w:w="11906" w:h="16838" w:orient="portrait"/>
      <w:pgMar w:top="1417" w:right="1417" w:bottom="1417" w:left="1417"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aps/>
        <w:color w:val="595959"/>
        <w:sz w:val="16"/>
        <w:szCs w:val="16"/>
      </w:rPr>
      <w:t xml:space="preserve">FORMER TEACHERS: BARRIERS, INCENTIVES AND POLICY LESSONS FOR RE-ENTRY — WORKING PAPER, AUGUST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240"/>
      <w:outlineLvl w:val="0"/>
    </w:pPr>
    <w:rPr>
      <w:rFonts w:ascii="Garamond" w:cs="Garamond" w:eastAsia="Garamond" w:hAnsi="Garamond"/>
      <w:b/>
      <w:bCs/>
      <w:color w:val="4E81BD"/>
      <w:sz w:val="40"/>
      <w:szCs w:val="40"/>
    </w:rPr>
  </w:style>
  <w:style w:type="paragraph" w:styleId="Heading2">
    <w:name w:val="Heading 2"/>
    <w:basedOn w:val="Normal"/>
    <w:next w:val="Normal"/>
    <w:qFormat/>
    <w:pPr>
      <w:spacing w:after="160" w:before="280"/>
      <w:outlineLvl w:val="1"/>
    </w:pPr>
    <w:rPr>
      <w:rFonts w:ascii="Garamond" w:cs="Garamond" w:eastAsia="Garamond" w:hAnsi="Garamond"/>
      <w:b/>
      <w:bCs/>
      <w:color w:val="4E81BD"/>
      <w:sz w:val="28"/>
      <w:szCs w:val="28"/>
    </w:rPr>
  </w:style>
  <w:style w:type="paragraph" w:styleId="Heading3">
    <w:name w:val="Heading 3"/>
    <w:basedOn w:val="Normal"/>
    <w:next w:val="Normal"/>
    <w:qFormat/>
    <w:pPr>
      <w:spacing w:after="120" w:before="220"/>
      <w:outlineLvl w:val="2"/>
    </w:pPr>
    <w:rPr>
      <w:rFonts w:ascii="Garamond" w:cs="Garamond" w:eastAsia="Garamond" w:hAnsi="Garamond"/>
      <w:b/>
      <w:bCs/>
      <w:color w:val="4E81B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2026-08-06T13:13:04.199Z</dcterms:created>
  <dcterms:modified xsi:type="dcterms:W3CDTF">2026-08-06T13:13:04.215Z</dcterms:modified>
</cp:coreProperties>
</file>

<file path=docProps/custom.xml><?xml version="1.0" encoding="utf-8"?>
<Properties xmlns="http://schemas.openxmlformats.org/officeDocument/2006/custom-properties" xmlns:vt="http://schemas.openxmlformats.org/officeDocument/2006/docPropsVTypes"/>
</file>