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b/>
          <w:bCs/>
          <w:color w:val="04629A"/>
          <w:sz w:val="30"/>
          <w:szCs w:val="30"/>
        </w:rPr>
        <w:t xml:space="preserve">FORMER TEACHERS: BARRIERS, INCENTIVES AND POLICY LESSONS FOR RE-ENTRY</w:t>
      </w:r>
    </w:p>
    <w:p>
      <w:pPr>
        <w:spacing w:after="320"/>
      </w:pPr>
      <w:r>
        <w:rPr>
          <w:color w:val="595959"/>
          <w:sz w:val="24"/>
          <w:szCs w:val="24"/>
        </w:rPr>
        <w:t xml:space="preserve">Draft of Section 2, with the skeleton of the paper</w:t>
      </w:r>
    </w:p>
    <w:p>
      <w:pPr>
        <w:pStyle w:val="Heading1"/>
        <w:spacing w:after="200" w:before="300"/>
      </w:pPr>
      <w:r>
        <w:rPr>
          <w:b/>
          <w:bCs/>
          <w:color w:val="04629A"/>
          <w:sz w:val="32"/>
          <w:szCs w:val="32"/>
        </w:rPr>
        <w:t xml:space="preserve">Former Teachers: Barriers, Incentives and Policy Lessons for Re-entry</w:t>
      </w:r>
    </w:p>
    <w:p>
      <w:pPr>
        <w:pStyle w:val="Heading2"/>
        <w:spacing w:after="140" w:before="260"/>
      </w:pPr>
      <w:r>
        <w:rPr>
          <w:b/>
          <w:bCs/>
          <w:color w:val="04629A"/>
          <w:sz w:val="26"/>
          <w:szCs w:val="26"/>
        </w:rPr>
        <w:t xml:space="preserve">Paper skeleton (v9). Only Section 2 is drafted in full at this stage.</w:t>
      </w:r>
    </w:p>
    <w:p>
      <w:pPr>
        <w:spacing w:after="160" w:line="264"/>
        <w:jc w:val="both"/>
      </w:pPr>
      <w:r>
        <w:t xml:space="preserve">FRONT MATTER (OECD Policy Papers standard)</w:t>
      </w:r>
    </w:p>
    <w:p>
      <w:pPr>
        <w:spacing w:after="70"/>
        <w:ind w:left="280"/>
      </w:pPr>
      <w:r>
        <w:rPr>
          <w:sz w:val="19"/>
          <w:szCs w:val="19"/>
        </w:rPr>
        <w:t xml:space="preserve">Cover, copyright and disclaimers page (CC BY 4.0, territorial disclaimers)</w:t>
      </w:r>
    </w:p>
    <w:p>
      <w:pPr>
        <w:spacing w:after="70"/>
        <w:ind w:left="280"/>
      </w:pPr>
      <w:r>
        <w:rPr>
          <w:sz w:val="19"/>
          <w:szCs w:val="19"/>
        </w:rPr>
        <w:t xml:space="preserve">Abstract, under 150 words; Keywords; JEL codes</w:t>
      </w:r>
    </w:p>
    <w:p>
      <w:pPr>
        <w:spacing w:after="70"/>
        <w:ind w:left="280"/>
      </w:pPr>
      <w:r>
        <w:rPr>
          <w:sz w:val="19"/>
          <w:szCs w:val="19"/>
        </w:rPr>
        <w:t xml:space="preserve">Acknowledgements</w:t>
      </w:r>
    </w:p>
    <w:p>
      <w:pPr>
        <w:spacing w:after="70"/>
        <w:ind w:left="280"/>
      </w:pPr>
      <w:r>
        <w:rPr>
          <w:sz w:val="19"/>
          <w:szCs w:val="19"/>
        </w:rPr>
        <w:t xml:space="preserve">Table of contents; Abbreviations and acronyms</w:t>
      </w:r>
    </w:p>
    <w:p>
      <w:pPr>
        <w:spacing w:after="70"/>
        <w:ind w:left="280"/>
      </w:pPr>
      <w:r>
        <w:rPr>
          <w:sz w:val="19"/>
          <w:szCs w:val="19"/>
        </w:rPr>
        <w:t xml:space="preserve">Executive summary, under 1 000 words, self-contained, no displays or citations</w:t>
      </w:r>
    </w:p>
    <w:p>
      <w:pPr>
        <w:pStyle w:val="Heading1"/>
        <w:spacing w:after="200" w:before="300"/>
      </w:pPr>
      <w:r>
        <w:rPr>
          <w:b/>
          <w:bCs/>
          <w:color w:val="04629A"/>
          <w:sz w:val="32"/>
          <w:szCs w:val="32"/>
        </w:rPr>
        <w:t xml:space="preserve">1. Introduction  [~1 200 words; drafted last]</w:t>
      </w:r>
    </w:p>
    <w:p>
      <w:pPr>
        <w:spacing w:after="70"/>
        <w:ind w:left="280"/>
      </w:pPr>
      <w:r>
        <w:rPr>
          <w:sz w:val="19"/>
          <w:szCs w:val="19"/>
        </w:rPr>
        <w:t xml:space="preserve">Attrition as a standing feature of school systems, with rates in an endnote by country</w:t>
      </w:r>
    </w:p>
    <w:p>
      <w:pPr>
        <w:spacing w:after="70"/>
        <w:ind w:left="280"/>
      </w:pPr>
      <w:r>
        <w:rPr>
          <w:sz w:val="19"/>
          <w:szCs w:val="19"/>
        </w:rPr>
        <w:t xml:space="preserve">Ageing workforces and recruitment difficulty as the context that raises the stakes</w:t>
      </w:r>
    </w:p>
    <w:p>
      <w:pPr>
        <w:spacing w:after="70"/>
        <w:ind w:left="280"/>
      </w:pPr>
      <w:r>
        <w:rPr>
          <w:sz w:val="19"/>
          <w:szCs w:val="19"/>
        </w:rPr>
        <w:t xml:space="preserve">The reserve of qualified people outside the classroom, and the return flows that already exist</w:t>
      </w:r>
    </w:p>
    <w:p>
      <w:pPr>
        <w:spacing w:after="70"/>
        <w:ind w:left="280"/>
      </w:pPr>
      <w:r>
        <w:rPr>
          <w:sz w:val="19"/>
          <w:szCs w:val="19"/>
        </w:rPr>
        <w:t xml:space="preserve">What governments have been doing about it for a quarter of a century</w:t>
      </w:r>
    </w:p>
    <w:p>
      <w:pPr>
        <w:spacing w:after="70"/>
        <w:ind w:left="280"/>
      </w:pPr>
      <w:r>
        <w:rPr>
          <w:sz w:val="19"/>
          <w:szCs w:val="19"/>
        </w:rPr>
        <w:t xml:space="preserve">The paper's contribution and a one-sentence road map</w:t>
      </w:r>
    </w:p>
    <w:p>
      <w:pPr>
        <w:pStyle w:val="Heading1"/>
        <w:spacing w:after="200" w:before="300"/>
      </w:pPr>
      <w:r>
        <w:rPr>
          <w:b/>
          <w:bCs/>
          <w:color w:val="04629A"/>
          <w:sz w:val="32"/>
          <w:szCs w:val="32"/>
        </w:rPr>
        <w:t xml:space="preserve">2. Why teachers leave  [THE DRAFTED SECTION; ~3 500-4 000 words]</w:t>
      </w:r>
    </w:p>
    <w:p>
      <w:pPr>
        <w:pStyle w:val="Heading2"/>
        <w:spacing w:after="140" w:before="260"/>
      </w:pPr>
      <w:r>
        <w:rPr>
          <w:b/>
          <w:bCs/>
          <w:color w:val="04629A"/>
          <w:sz w:val="26"/>
          <w:szCs w:val="26"/>
        </w:rPr>
        <w:t xml:space="preserve">2.1 What the literature has established</w:t>
      </w:r>
    </w:p>
    <w:p>
      <w:pPr>
        <w:spacing w:after="70"/>
        <w:ind w:left="280"/>
      </w:pPr>
      <w:r>
        <w:rPr>
          <w:sz w:val="19"/>
          <w:szCs w:val="19"/>
        </w:rPr>
        <w:t xml:space="preserve">The field's foundations and what four decades of research settle</w:t>
      </w:r>
    </w:p>
    <w:p>
      <w:pPr>
        <w:spacing w:after="70"/>
        <w:ind w:left="280"/>
      </w:pPr>
      <w:r>
        <w:rPr>
          <w:sz w:val="19"/>
          <w:szCs w:val="19"/>
        </w:rPr>
        <w:t xml:space="preserve">Turnover as an organisational phenomenon; the meta-analytic consensus</w:t>
      </w:r>
    </w:p>
    <w:p>
      <w:pPr>
        <w:spacing w:after="70"/>
        <w:ind w:left="280"/>
      </w:pPr>
      <w:r>
        <w:rPr>
          <w:sz w:val="19"/>
          <w:szCs w:val="19"/>
        </w:rPr>
        <w:t xml:space="preserve">What is measured well, what is measured badly, and where the evidence is thin</w:t>
      </w:r>
    </w:p>
    <w:p>
      <w:pPr>
        <w:pStyle w:val="Heading2"/>
        <w:spacing w:after="140" w:before="260"/>
      </w:pPr>
      <w:r>
        <w:rPr>
          <w:b/>
          <w:bCs/>
          <w:color w:val="04629A"/>
          <w:sz w:val="26"/>
          <w:szCs w:val="26"/>
        </w:rPr>
        <w:t xml:space="preserve">2.2 A classification of the reasons teachers leave</w:t>
      </w:r>
    </w:p>
    <w:p>
      <w:pPr>
        <w:spacing w:after="70"/>
        <w:ind w:left="280"/>
      </w:pPr>
      <w:r>
        <w:rPr>
          <w:sz w:val="19"/>
          <w:szCs w:val="19"/>
        </w:rPr>
        <w:t xml:space="preserve">Why the existing frameworks (push and pull; personal, school and external; job demands</w:t>
      </w:r>
    </w:p>
    <w:p>
      <w:pPr>
        <w:spacing w:after="160" w:line="264"/>
        <w:jc w:val="both"/>
      </w:pPr>
      <w:r>
        <w:t xml:space="preserve">and resources) do not serve a policy reader, and what this paper does instead</w:t>
      </w:r>
    </w:p>
    <w:p>
      <w:pPr>
        <w:spacing w:after="70"/>
        <w:ind w:left="280"/>
      </w:pPr>
      <w:r>
        <w:rPr>
          <w:sz w:val="19"/>
          <w:szCs w:val="19"/>
        </w:rPr>
        <w:t xml:space="preserve">The classification, defined by locus and by policy leverage</w:t>
      </w:r>
    </w:p>
    <w:p>
      <w:pPr>
        <w:spacing w:after="70"/>
        <w:ind w:left="280"/>
      </w:pPr>
      <w:r>
        <w:rPr>
          <w:sz w:val="19"/>
          <w:szCs w:val="19"/>
        </w:rPr>
        <w:t xml:space="preserve">FIGURE 1: the classification, with each motive placed by locus and by evidence strength</w:t>
      </w:r>
    </w:p>
    <w:p>
      <w:pPr>
        <w:pStyle w:val="Heading2"/>
        <w:spacing w:after="140" w:before="260"/>
      </w:pPr>
      <w:r>
        <w:rPr>
          <w:b/>
          <w:bCs/>
          <w:color w:val="04629A"/>
          <w:sz w:val="26"/>
          <w:szCs w:val="26"/>
        </w:rPr>
        <w:t xml:space="preserve">2.3 The reasons, in turn</w:t>
      </w:r>
    </w:p>
    <w:p>
      <w:pPr>
        <w:spacing w:after="70"/>
        <w:ind w:left="280"/>
      </w:pPr>
      <w:r>
        <w:rPr>
          <w:sz w:val="19"/>
          <w:szCs w:val="19"/>
        </w:rPr>
        <w:t xml:space="preserve">Each family of reasons discussed with its evidence, its cross-country variation and its</w:t>
      </w:r>
    </w:p>
    <w:p>
      <w:pPr>
        <w:spacing w:after="160" w:line="264"/>
        <w:jc w:val="both"/>
      </w:pPr>
      <w:r>
        <w:t xml:space="preserve">policy leverage, illustrated by systems where the mechanism is visible</w:t>
      </w:r>
    </w:p>
    <w:p>
      <w:pPr>
        <w:pStyle w:val="Heading2"/>
        <w:spacing w:after="140" w:before="260"/>
      </w:pPr>
      <w:r>
        <w:rPr>
          <w:b/>
          <w:bCs/>
          <w:color w:val="04629A"/>
          <w:sz w:val="26"/>
          <w:szCs w:val="26"/>
        </w:rPr>
        <w:t xml:space="preserve">2.4 Stated reasons, revealed choices and intentions</w:t>
      </w:r>
    </w:p>
    <w:p>
      <w:pPr>
        <w:spacing w:after="70"/>
        <w:ind w:left="280"/>
      </w:pPr>
      <w:r>
        <w:rPr>
          <w:sz w:val="19"/>
          <w:szCs w:val="19"/>
        </w:rPr>
        <w:t xml:space="preserve">The gap between what leavers say, what they do, and what they say they will do</w:t>
      </w:r>
    </w:p>
    <w:p>
      <w:pPr>
        <w:spacing w:after="70"/>
        <w:ind w:left="280"/>
      </w:pPr>
      <w:r>
        <w:rPr>
          <w:sz w:val="19"/>
          <w:szCs w:val="19"/>
        </w:rPr>
        <w:t xml:space="preserve">What this implies for reading any national survey of leaving intentions</w:t>
      </w:r>
    </w:p>
    <w:p>
      <w:pPr>
        <w:pStyle w:val="Heading2"/>
        <w:spacing w:after="140" w:before="260"/>
      </w:pPr>
      <w:r>
        <w:rPr>
          <w:b/>
          <w:bCs/>
          <w:color w:val="04629A"/>
          <w:sz w:val="26"/>
          <w:szCs w:val="26"/>
        </w:rPr>
        <w:t xml:space="preserve">2.5 What the leaving population becomes</w:t>
      </w:r>
    </w:p>
    <w:p>
      <w:pPr>
        <w:spacing w:after="70"/>
        <w:ind w:left="280"/>
      </w:pPr>
      <w:r>
        <w:rPr>
          <w:sz w:val="19"/>
          <w:szCs w:val="19"/>
        </w:rPr>
        <w:t xml:space="preserve">Destinations, the reserve of qualified people, and what re-entry policy inherits</w:t>
      </w:r>
    </w:p>
    <w:p>
      <w:pPr>
        <w:spacing w:after="70"/>
        <w:ind w:left="280"/>
      </w:pPr>
      <w:r>
        <w:rPr>
          <w:sz w:val="19"/>
          <w:szCs w:val="19"/>
        </w:rPr>
        <w:t xml:space="preserve">Hand-off to Section 3</w:t>
      </w:r>
    </w:p>
    <w:p>
      <w:pPr>
        <w:pStyle w:val="Heading1"/>
        <w:spacing w:after="200" w:before="300"/>
      </w:pPr>
      <w:r>
        <w:rPr>
          <w:b/>
          <w:bCs/>
          <w:color w:val="04629A"/>
          <w:sz w:val="32"/>
          <w:szCs w:val="32"/>
        </w:rPr>
        <w:t xml:space="preserve">3. Policies to bring former teachers back  [existing draft, to be revised after Section 2]</w:t>
      </w:r>
    </w:p>
    <w:p>
      <w:pPr>
        <w:pStyle w:val="Heading2"/>
        <w:spacing w:after="140" w:before="260"/>
      </w:pPr>
      <w:r>
        <w:rPr>
          <w:b/>
          <w:bCs/>
          <w:color w:val="04629A"/>
          <w:sz w:val="26"/>
          <w:szCs w:val="26"/>
        </w:rPr>
        <w:t xml:space="preserve">3.1 Permission: whether a former teacher may return</w:t>
      </w:r>
    </w:p>
    <w:p>
      <w:pPr>
        <w:pStyle w:val="Heading2"/>
        <w:spacing w:after="140" w:before="260"/>
      </w:pPr>
      <w:r>
        <w:rPr>
          <w:b/>
          <w:bCs/>
          <w:color w:val="04629A"/>
          <w:sz w:val="26"/>
          <w:szCs w:val="26"/>
        </w:rPr>
        <w:t xml:space="preserve">3.2 Price: what returning produces financially</w:t>
      </w:r>
    </w:p>
    <w:p>
      <w:pPr>
        <w:pStyle w:val="Heading2"/>
        <w:spacing w:after="140" w:before="260"/>
      </w:pPr>
      <w:r>
        <w:rPr>
          <w:b/>
          <w:bCs/>
          <w:color w:val="04629A"/>
          <w:sz w:val="26"/>
          <w:szCs w:val="26"/>
        </w:rPr>
        <w:t xml:space="preserve">3.3 The job: the shape of what is offered</w:t>
      </w:r>
    </w:p>
    <w:p>
      <w:pPr>
        <w:pStyle w:val="Heading2"/>
        <w:spacing w:after="140" w:before="260"/>
      </w:pPr>
      <w:r>
        <w:rPr>
          <w:b/>
          <w:bCs/>
          <w:color w:val="04629A"/>
          <w:sz w:val="26"/>
          <w:szCs w:val="26"/>
        </w:rPr>
        <w:t xml:space="preserve">3.4 Reach: how former teachers learn of the offer</w:t>
      </w:r>
    </w:p>
    <w:p>
      <w:pPr>
        <w:spacing w:after="70"/>
        <w:ind w:left="280"/>
      </w:pPr>
      <w:r>
        <w:rPr>
          <w:sz w:val="19"/>
          <w:szCs w:val="19"/>
        </w:rPr>
        <w:t xml:space="preserve">Tables: the four regulatory dials; published take-up with denominators</w:t>
      </w:r>
    </w:p>
    <w:p>
      <w:pPr>
        <w:spacing w:after="70"/>
        <w:ind w:left="280"/>
      </w:pPr>
      <w:r>
        <w:rPr>
          <w:sz w:val="19"/>
          <w:szCs w:val="19"/>
        </w:rPr>
        <w:t xml:space="preserve">Boxes: Georgia's statutory audit loop; Virginia's fiscal impact statement</w:t>
      </w:r>
    </w:p>
    <w:p>
      <w:pPr>
        <w:pStyle w:val="Heading1"/>
        <w:spacing w:after="200" w:before="300"/>
      </w:pPr>
      <w:r>
        <w:rPr>
          <w:b/>
          <w:bCs/>
          <w:color w:val="04629A"/>
          <w:sz w:val="32"/>
          <w:szCs w:val="32"/>
        </w:rPr>
        <w:t xml:space="preserve">4. Conclusions and recommendations  [existing draft, to be revised last]</w:t>
      </w:r>
    </w:p>
    <w:p>
      <w:pPr>
        <w:spacing w:after="70"/>
        <w:ind w:left="280"/>
      </w:pPr>
      <w:r>
        <w:rPr>
          <w:sz w:val="19"/>
          <w:szCs w:val="19"/>
        </w:rPr>
        <w:t xml:space="preserve">What the record supports, in the order the evidence supports it</w:t>
      </w:r>
    </w:p>
    <w:p>
      <w:pPr>
        <w:spacing w:after="70"/>
        <w:ind w:left="280"/>
      </w:pPr>
      <w:r>
        <w:rPr>
          <w:sz w:val="19"/>
          <w:szCs w:val="19"/>
        </w:rPr>
        <w:t xml:space="preserve">What education systems could do, on the modality ladder</w:t>
      </w:r>
    </w:p>
    <w:p>
      <w:pPr>
        <w:spacing w:after="70"/>
        <w:ind w:left="280"/>
      </w:pPr>
      <w:r>
        <w:rPr>
          <w:sz w:val="19"/>
          <w:szCs w:val="19"/>
        </w:rPr>
        <w:t xml:space="preserve">Where the evidence is missing, as a costed research agenda</w:t>
      </w:r>
    </w:p>
    <w:p>
      <w:pPr>
        <w:spacing w:after="70"/>
        <w:ind w:left="280"/>
      </w:pPr>
      <w:r>
        <w:rPr>
          <w:sz w:val="19"/>
          <w:szCs w:val="19"/>
        </w:rPr>
        <w:t xml:space="preserve">Table: who counts re-entry, and what has been published</w:t>
      </w:r>
    </w:p>
    <w:p>
      <w:pPr>
        <w:spacing w:after="160" w:line="264"/>
        <w:jc w:val="both"/>
      </w:pPr>
      <w:r>
        <w:t xml:space="preserve">REFERENCES NOTES (endnotes; sources stay in text)</w:t>
      </w:r>
    </w:p>
    <w:p>
      <w:pPr>
        <w:pageBreakBefore/>
        <w:spacing w:after="0"/>
      </w:pPr>
    </w:p>
    <w:p>
      <w:pPr>
        <w:pStyle w:val="Heading1"/>
        <w:spacing w:after="200" w:before="300"/>
      </w:pPr>
      <w:r>
        <w:rPr>
          <w:b/>
          <w:bCs/>
          <w:color w:val="04629A"/>
          <w:sz w:val="32"/>
          <w:szCs w:val="32"/>
        </w:rPr>
        <w:t xml:space="preserve">2. Why teachers leave</w:t>
      </w:r>
    </w:p>
    <w:p>
      <w:pPr>
        <w:pStyle w:val="Heading2"/>
        <w:spacing w:after="140" w:before="260"/>
      </w:pPr>
      <w:r>
        <w:rPr>
          <w:b/>
          <w:bCs/>
          <w:color w:val="04629A"/>
          <w:sz w:val="26"/>
          <w:szCs w:val="26"/>
        </w:rPr>
        <w:t xml:space="preserve">2.1 Four decades of research on teacher attrition</w:t>
      </w:r>
    </w:p>
    <w:p>
      <w:pPr>
        <w:spacing w:after="160" w:line="264"/>
        <w:jc w:val="both"/>
      </w:pPr>
      <w:r>
        <w:t xml:space="preserve">Education systems that seek to draw teachers back into the classroom need to know why those teachers left. Research on that question now spans four decades and several disciplines, and its main lines are no longer in dispute. Teachers leave in numbers that owe little to any shortage of qualified people and a good deal to the conditions of the schools they work in. Departure clusters at the two ends of a career, running high in the first years and rising again as retirement approaches, and it falls unevenly across schools, with the highest rates where pupils are poorest. Pay matters, though it matters less than public debate assumes and mainly at the point of entry; the people a teacher works with and the conditions of the work matter more; and what teachers say drove them out is not always what predicts who actually goes. Each of those findings rests on a different kind of study, and the differences decide how much weight each can carry.</w:t>
      </w:r>
    </w:p>
    <w:p>
      <w:pPr>
        <w:spacing w:after="160" w:line="264"/>
        <w:jc w:val="both"/>
      </w:pPr>
      <w:r>
        <w:t xml:space="preserve">The reading of turnover as an organisational matter rests on Ingersoll (2001), whose analysis of a nationally representative United States survey with a one-year follow-up found annual turnover of around 15% produced by qualified teachers departing for reasons other than retirement, and the organisational conditions of the school predicting departure once teacher and school characteristics were held constant. The design was cross-sectional and could not show that better conditions would reduce turnover, although the reframing held, and shortage came to be treated as a retention problem attached to schools.</w:t>
      </w:r>
    </w:p>
    <w:p>
      <w:pPr>
        <w:spacing w:after="160" w:line="264"/>
        <w:jc w:val="both"/>
      </w:pPr>
      <w:r>
        <w:t xml:space="preserve">Two reviews organised what the primary studies had found. Guarino, Santibañez and Daley (2006), covering 46 mainly American studies, established the U-shaped relationship between attrition and career stage that has survived every later test, with departure high in the first five years and rising again as retirement approaches, while judging the identification in the underlying compensation studies too weak to support a causal claim. Borman and Dowling (2008) pooled 34 studies across 63 moderators and reported that personal characteristics and school attributes moderate attrition independently, with collegial and administrative support the school-level conditions most consistently protective. Several of their demographic findings have since been overturned.</w:t>
      </w:r>
    </w:p>
    <w:p>
      <w:pPr>
        <w:spacing w:after="160" w:line="264"/>
        <w:jc w:val="both"/>
      </w:pPr>
      <w:r>
        <w:t xml:space="preserve">Nguyen et al. (2020) updated that meta-analysis across 120 studies and found the personal correlates weaker than the earlier reviews had claimed and the organisational ones stronger. Teachers over 28 had 30% lower odds of leaving their school than younger colleagues, better working conditions cut the odds by nearly a factor of two, an additional thousand dollars of salary barely moved the estimate, and neither class-size reduction nor additional classroom adults showed any association. Gundlach, Slemp and Hattie (2024) extend the exercise to some 70 antecedents and establish that the strength of an association differs systematically according to whether the outcome is intended or actual turnover.</w:t>
      </w:r>
    </w:p>
    <w:p>
      <w:pPr>
        <w:spacing w:after="160" w:line="264"/>
        <w:jc w:val="both"/>
      </w:pPr>
      <w:r>
        <w:t xml:space="preserve">The design that would settle most of these questions is still rare. Sims and Jerrim (2020) linked TALIS 2018 responses in England to administrative records of who actually left, so that the outcome was observed exit, and found leadership and pupil behaviour predicting it while self-reported workload did not. Comparable linkage exists in no other system.</w:t>
      </w:r>
    </w:p>
    <w:p>
      <w:pPr>
        <w:spacing w:after="160" w:line="264"/>
        <w:jc w:val="both"/>
      </w:pPr>
      <w:r>
        <w:t xml:space="preserve">The apparatus that organises all of this was not built for schools. Nguyen and Springer (2021) trace its descent from organisational-behaviour research written between 1958 and 1986, which begins with March and Simon (1958) and arrives at Cotton and Tuttle (1986), whose division of personal, work-related and external correlates every later education taxonomy inherits. A borrowed employee-turnover apparatus sees well what an employer records and an employee can be surveyed about, which is pay, supervision, hours and the composition of the workplace. A teacher who leaves because the work no longer permits what they believe teaching is for has neither a demand nor a resource problem in that vocabulary, and no box in those lists.</w:t>
      </w:r>
    </w:p>
    <w:p>
      <w:pPr>
        <w:spacing w:after="160" w:line="264"/>
        <w:jc w:val="both"/>
      </w:pPr>
      <w:r>
        <w:t xml:space="preserve">One asymmetry follows. See et al. (2020) weighted 120 experimental and quasi-experimental studies by strength of design and found that targeted money brings people into teaching without durably keeping them there, and that almost no rigorous evaluation exists for accountability, workload, working conditions, pupil behaviour or leadership support. Causal evidence sits on the lever the descriptive evidence ranks lowest.</w:t>
      </w:r>
    </w:p>
    <w:p>
      <w:pPr>
        <w:pStyle w:val="Heading2"/>
        <w:spacing w:after="140" w:before="260"/>
      </w:pPr>
      <w:r>
        <w:rPr>
          <w:b/>
          <w:bCs/>
          <w:color w:val="04629A"/>
          <w:sz w:val="26"/>
          <w:szCs w:val="26"/>
        </w:rPr>
        <w:t xml:space="preserve">2.2 Grouping the reasons by what they attach to</w:t>
      </w:r>
    </w:p>
    <w:p>
      <w:pPr>
        <w:spacing w:after="160" w:line="264"/>
        <w:jc w:val="both"/>
      </w:pPr>
      <w:r>
        <w:t xml:space="preserve">A paper about re-entry asks of every reason for leaving whether the condition that produced the exit still holds when a return is offered, and who would have to act to change it. The frameworks in general use answer neither, because each was built for another question.</w:t>
      </w:r>
    </w:p>
    <w:p>
      <w:pPr>
        <w:spacing w:after="160" w:line="264"/>
        <w:jc w:val="both"/>
      </w:pPr>
      <w:r>
        <w:t xml:space="preserve">Push and pull sorts reasons by the direction of the force acting on the person. Lee (1966), in the original form of the scheme, distinguished factors at the origin, factors at the destination, intervening obstacles and personal factors, and observed that one factor may repel one person and attract another. In the degraded two-term version it has no independent content, because anything correlated with leaving can be relabelled a push. The personal, school and external grouping sorts reasons by where a variable sits in a regression, and its boundaries will not travel, since salary sits among the external correlates only because districts set it in the United States (Nguyen et al., 2020).</w:t>
      </w:r>
    </w:p>
    <w:p>
      <w:pPr>
        <w:spacing w:after="160" w:line="264"/>
        <w:jc w:val="both"/>
      </w:pPr>
      <w:r>
        <w:t xml:space="preserve">Job demands and resources sorts working conditions by psychological function, into demands that deplete and resources that motivate, and supplies the mechanism the correlate lists lack (Demerouti et al., 2001). Its evidence, though, is almost wholly cross-sectional and about intention, and its categories cannot hold a moral reason for leaving. The leaver typologies classify something else again. Hom et al. (2012) cross the desire to leave with control over leaving and produce the reluctant stayer and the reluctant leaver, while Lee and Mitchell (1994) separate exits triggered by a shock from those that accumulate without one. Both discipline a list of reasons by saying which kind of exit each belongs to, and neither can supply the reasons.</w:t>
      </w:r>
    </w:p>
    <w:p>
      <w:pPr>
        <w:spacing w:after="160" w:line="264"/>
        <w:jc w:val="both"/>
      </w:pPr>
      <w:r>
        <w:t xml:space="preserve">Three things these schemes leave out matter for re-entry policy. They are the loss of professional meaning and standing, the difference between a departure chosen and one forced by circumstance, and whether the condition that produced the exit still exists when a return is offered.</w:t>
      </w:r>
    </w:p>
    <w:p>
      <w:pPr>
        <w:spacing w:after="160" w:line="264"/>
        <w:jc w:val="both"/>
      </w:pPr>
      <w:r>
        <w:t xml:space="preserve">Grouping reasons by what the motive attaches to keeps all three in view. The work itself covers purpose, autonomy, standing and exposure to conflict or legal risk; the load covers hours, intensity, administrative demands and pupil behaviour; the people covers school leadership and collegial support; the livelihood covers pay relative to outside options, pension design and contract security; and the life covers family formation and care, health, geography and career stage. Two properties order them. The first is the strength of the evidence linking a motive to observed exit, and not to what teachers say they will do. The second is who can act, since a motive owned by school leaders and one owned by a pension authority are not the same policy object, even where they are the same complaint (Figure 1). Placed this way, the motives with the strongest behavioural evidence sit with school leaders and employers, and those that dominate public debate sit where the evidence is mixed or ministries cannot act alone.</w:t>
      </w:r>
    </w:p>
    <w:p>
      <w:pPr>
        <w:spacing w:after="160" w:line="264"/>
        <w:jc w:val="both"/>
      </w:pPr>
      <w:r>
        <w:rPr>
          <w:b/>
          <w:bCs/>
        </w:rPr>
        <w:t xml:space="preserve">Figure 1. Reasons teachers leave, by the strength of the evidence on observed exit and by who can act</w:t>
      </w:r>
    </w:p>
    <w:p>
      <w:pPr>
        <w:spacing w:after="120" w:before="120"/>
        <w:jc w:val="center"/>
      </w:pPr>
      <w:r>
        <w:drawing>
          <wp:inline distT="0" distB="0" distL="0" distR="0">
            <wp:extent cx="5715000" cy="3619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619500"/>
                    </a:xfrm>
                    <a:prstGeom prst="rect">
                      <a:avLst/>
                    </a:prstGeom>
                  </pic:spPr>
                </pic:pic>
              </a:graphicData>
            </a:graphic>
          </wp:inline>
        </w:drawing>
      </w:r>
    </w:p>
    <w:p>
      <w:pPr>
        <w:spacing w:after="60"/>
      </w:pPr>
      <w:r>
        <w:rPr>
          <w:sz w:val="17"/>
          <w:szCs w:val="17"/>
        </w:rPr>
        <w:t xml:space="preserve">Note: Placement reflects this review of the evidence and is not derived from a common statistical model. The vertical axis records the strength of the evidence linking each motive to observed exit, and not to stated intention; the horizontal axis records the authority holding the primary instrument.</w:t>
      </w:r>
    </w:p>
    <w:p>
      <w:pPr>
        <w:spacing w:after="60"/>
      </w:pPr>
      <w:r>
        <w:rPr>
          <w:sz w:val="17"/>
          <w:szCs w:val="17"/>
        </w:rPr>
        <w:t xml:space="preserve">Source: Author's elaboration from the studies reviewed in Section 2.</w:t>
      </w:r>
    </w:p>
    <w:p>
      <w:pPr>
        <w:spacing w:after="160" w:line="264"/>
        <w:jc w:val="both"/>
      </w:pPr>
      <w:r>
        <w:t xml:space="preserve">Within any of these, a motive can operate as a choice or as a constraint, and the distinction decides what a return offer can expect. A teacher who left because no part-time post existed, or because a move followed a partner, remains available on terms the system controls. A teacher who left because the work lost its purpose does not come back for a better-designed timetable.</w:t>
      </w:r>
    </w:p>
    <w:p>
      <w:pPr>
        <w:pStyle w:val="Heading2"/>
        <w:spacing w:after="140" w:before="260"/>
      </w:pPr>
      <w:r>
        <w:rPr>
          <w:b/>
          <w:bCs/>
          <w:color w:val="04629A"/>
          <w:sz w:val="26"/>
          <w:szCs w:val="26"/>
        </w:rPr>
        <w:t xml:space="preserve">2.3 Purpose, load, people, livelihood and life</w:t>
      </w:r>
    </w:p>
    <w:p>
      <w:pPr>
        <w:spacing w:after="160" w:line="264"/>
        <w:jc w:val="both"/>
      </w:pPr>
      <w:r>
        <w:t xml:space="preserve">Where leavers are asked in their own words, the loss of professional meaning is the largest single category, and the one the variable taxonomies have no box for, although the interpretive tradition treats it as structural to teaching (Kelchtermans, 2017). Finland gives the clearest reading, because Finnish teachers hold unusual autonomy and are paid adequately, so the complaint that remains is about purpose. Räsänen et al. (2020) followed comprehensive-school teachers over five years and found half reporting turnover intentions, of whom the largest group, a quarter at each wave, named a lack of commitment to the goals that had guided their career choice, ahead of the school system, of workload and of interpersonal difficulty. A regional review of Spanish- and Portuguese-language research reaches the same place, and finds that what ends early careers in Latin America is the encounter with the daily political reality of school life (González-Escobar et al., 2020).</w:t>
      </w:r>
    </w:p>
    <w:p>
      <w:pPr>
        <w:spacing w:after="160" w:line="264"/>
        <w:jc w:val="both"/>
      </w:pPr>
      <w:r>
        <w:t xml:space="preserve">Professional standing belongs with purpose, because both concern the terms on which the work is done. Korea is the system where the mechanism is visible, since a national controversy over parental complaint and legal exposure gave teachers a name for it, and survey work attributes the rise in departures principally to the infringement of teachers' professional rights, with early retirements rising from 869 in 2005 to 6 594 in 2021 (KEDI, 2023). Student discipline is not the same category, because the threat described is from parents and the law.</w:t>
      </w:r>
    </w:p>
    <w:p>
      <w:pPr>
        <w:spacing w:after="160" w:line="264"/>
        <w:jc w:val="both"/>
      </w:pPr>
      <w:r>
        <w:t xml:space="preserve">Autonomy sits in this family and is the thinnest-evidenced motive within it. One English study finds influence over professional-development goals the dimension most strongly associated with intending to stay (Worth and Van den Brande, 2020), and no study anywhere estimates the effect of autonomy on observed exit.</w:t>
      </w:r>
    </w:p>
    <w:p>
      <w:pPr>
        <w:spacing w:after="160" w:line="264"/>
        <w:jc w:val="both"/>
      </w:pPr>
      <w:r>
        <w:t xml:space="preserve">Workload is the reason teachers give most often, wherever they are asked. Among Dutch teachers who had recently left, 47% named workload, stress and burden ahead of every other category (Van Casteren et al., 2023), and among Australian leavers it stands second behind school leadership (Brandenburg et al., 2024). Swedish former teachers, sampled from a register, put the work environment, stress and workload at the head of their reasons (Statistics Sweden, 2023).</w:t>
      </w:r>
    </w:p>
    <w:p>
      <w:pPr>
        <w:spacing w:after="160" w:line="264"/>
        <w:jc w:val="both"/>
      </w:pPr>
      <w:r>
        <w:t xml:space="preserve">The behavioural evidence does not support that ordering. Sims and Jerrim (2020) report that workload has an inconsistent relationship with attrition across specifications and no robust relationship with turnover or with job satisfaction, and that in one specification hours worked are associated with a 33% reduction in the odds of attrition, the opposite of the expected sign. The authors call their own result inconclusive. Leadership and pupil behaviour, entered in the same models, do predict observed exit. The reconciliation is probably compositional, since the same authors find the hours-and-wellbeing association non-linear and task-specific, with marking the source of work-related stress and total hours not (Jerrim and Sims, 2021).</w:t>
      </w:r>
    </w:p>
    <w:p>
      <w:pPr>
        <w:spacing w:after="160" w:line="264"/>
        <w:jc w:val="both"/>
      </w:pPr>
      <w:r>
        <w:t xml:space="preserve">Pupil behaviour is the load motive with the strongest behavioural evidence. A one-standard-deviation improvement in a school's discipline climate cuts an experienced English teacher's annual probability of leaving the profession from 1.0% to 0.5% (Sims and Jerrim, 2020), and across TALIS systems stress from student intimidation and from maintaining discipline is more closely associated with intending to leave than stress from workload, accountability or reform (OECD, 2025b). Physical resourcing behaves differently, since neither smaller classes nor additional classroom adults show any association with attrition in meta-analysis (Nguyen et al., 2020). The behavioural climate of a school retains teachers where its physical resourcing does not.</w:t>
      </w:r>
    </w:p>
    <w:p>
      <w:pPr>
        <w:spacing w:after="160" w:line="264"/>
        <w:jc w:val="both"/>
      </w:pPr>
      <w:r>
        <w:t xml:space="preserve">Wellbeing enters this family through burnout, where the two measurement traditions disagree. Meta-analyses of self-report scales make burnout the dominant predictor of wanting to leave, the first pooling 24 studies and the second 94 covering 39 508 teachers (Madigan and Kim, 2021; Li and Yao, 2022). Both rest on cross-sectional data and measure intention.</w:t>
      </w:r>
    </w:p>
    <w:p>
      <w:pPr>
        <w:spacing w:after="160" w:line="264"/>
        <w:jc w:val="both"/>
      </w:pPr>
      <w:r>
        <w:t xml:space="preserve">Population comparisons and objective measures find something different. Across eleven United Kingdom survey datasets there is little evidence that teachers have worse mental health than other occupational groups (Jerrim et al., 2020); biomarker data show no significant association between teaching and physical health in any model tested (Sims et al., 2022). People who leave report being happier in their work while showing no general improvement in mental health (Jerrim, Sims and Taylor, 2021). Teaching appears to be a job many are glad to leave without being one that damages them, a narrower proposition than the burnout literature is usually read as supporting.</w:t>
      </w:r>
    </w:p>
    <w:p>
      <w:pPr>
        <w:spacing w:after="160" w:line="264"/>
        <w:jc w:val="both"/>
      </w:pPr>
      <w:r>
        <w:t xml:space="preserve">School leadership is the most consistently replicated finding in the field and the least well identified. In New York City, teachers' perceptions of the school administration have the greatest influence on retention among measured contextual factors (Boyd et al., 2011); in North Carolina it is the most salient working-conditions dimension, although perceptions predict planned movement better than actual movement (Ladd, 2011). A panel design that identifies change within the same school over time finds improvements in leadership, in expectations, in relationships and in safety each independently associated with lower turnover (Kraft, Marinell and Shen-Wei Yee, 2016). In England the leadership factor halves an experienced teacher's annual probability of leaving the profession (Sims and Jerrim, 2020). No study anywhere estimates the effect of changing a school's leadership on retention.</w:t>
      </w:r>
    </w:p>
    <w:p>
      <w:pPr>
        <w:spacing w:after="160" w:line="264"/>
        <w:jc w:val="both"/>
      </w:pPr>
      <w:r>
        <w:t xml:space="preserve">What counts as leadership support varies with how schools are organised, which is why the same finding surfaces in different vocabulary. Norwegian work on beginning teachers finds teacher-principal trust and collective efficacy among the significant antecedents of turnover intention, and concludes that organisational factors carry the association while perceptions of one's own competence do not (Tiplic, Brandmo and Elstad, 2015). Danish leavers describe leaders who prioritised municipal targets over professional support, because the 2013 reform of teachers' working time made the leader the enforcer of a clock (Böwadt, Vaaben and Pedersen, 2016). German research points instead to the absence of team structure, because German schools organise teaching as solo work (Universität zu Köln and Katholische Hochschule NRW, 2026).</w:t>
      </w:r>
    </w:p>
    <w:p>
      <w:pPr>
        <w:spacing w:after="160" w:line="264"/>
        <w:jc w:val="both"/>
      </w:pPr>
      <w:r>
        <w:t xml:space="preserve">Collegiality is the field's clearest mismatch between what can be priced and what can be detected. In job-choice experiments a collegial atmosphere raises the probability of choosing a job by 33 percentage points, the largest single attribute effect in that literature (Sims, Lowes-Belk and Routledge, 2026), whereas the collaboration factor is unrelated to observed exit (Sims and Jerrim, 2020).</w:t>
      </w:r>
    </w:p>
    <w:p>
      <w:pPr>
        <w:spacing w:after="160" w:line="264"/>
        <w:jc w:val="both"/>
      </w:pPr>
      <w:r>
        <w:t xml:space="preserve">Induction and mentoring are where the correlational and the experimental literatures point in opposite directions. Meta-analysis of observational studies associates them with lower attrition among beginning teachers (Nguyen et al., 2020). The largest randomised trial, covering 17 districts and 1 009 teachers, found no effect on retention in any of three follow-up years (Glazerman et al., 2010), and the review weighting studies by design quality concludes that the stronger studies show no consistent positive effects and that several substitute intention for attrition as the outcome (See et al., 2020). Where designs disagree in this way, the experimental result governs.</w:t>
      </w:r>
    </w:p>
    <w:p>
      <w:pPr>
        <w:spacing w:after="160" w:line="264"/>
        <w:jc w:val="both"/>
      </w:pPr>
      <w:r>
        <w:t xml:space="preserve">Pay is the best-identified motive and the one whose policy reading is most contested. Four quasi-experiments agree that targeted money moves retention. A Norwegian wage premium of about 10%, assigned centrally to schools with a history of vacancies and identified off those that switched status, reduced the probability of a voluntary quit by 6 percentage points (Falch, 2011). A North Carolina bonus for certified mathematics and science teachers in high-poverty schools lowered turnover in the target group by about 17% (Clotfelter et al., 2008), and English payments of GBP 2 000 a year after tax made eligible mathematics and physics teachers 23% less likely to leave (Sims and Benhenda, 2022). Florida's loan forgiveness cut attrition among mathematics and science teachers by around a tenth, and had no detectable effect in the years it was underfunded, the more informative half of that result (Feng and Sass, 2018).</w:t>
      </w:r>
    </w:p>
    <w:p>
      <w:pPr>
        <w:spacing w:after="160" w:line="264"/>
        <w:jc w:val="both"/>
      </w:pPr>
      <w:r>
        <w:t xml:space="preserve">Read against the whole class of studies, the lever is narrower than the individual estimates suggest. See et al. (2020) find that incentives must be large enough to offset both the disadvantage of the school and the opportunity cost of a better-paid occupation before they do anything, and that the effect lasts only while the payment does. In observational data, though, the pooled association between salary and attrition is close to nothing (Nguyen et al., 2020). Leavers, moreover, do not on the whole leave for money. Danish register data show teachers leaving the </w:t>
      </w:r>
      <w:r>
        <w:rPr>
          <w:i/>
          <w:iCs/>
        </w:rPr>
        <w:t xml:space="preserve">folkeskole</w:t>
      </w:r>
      <w:r>
        <w:t xml:space="preserve"> for jobs paying about DKK 2 000 a month less, with a probability of sick leave 12 percentage points lower, which the authors read as buying conditions with earnings (ROCKWOOL Fonden, 2025).</w:t>
      </w:r>
    </w:p>
    <w:p>
      <w:pPr>
        <w:spacing w:after="160" w:line="264"/>
        <w:jc w:val="both"/>
      </w:pPr>
      <w:r>
        <w:t xml:space="preserve">Pension design is a distinct lever, because it fixes when leaving becomes financially attractive. Accrual in defined-benefit teacher plans is highly non-linear. It spikes in the mid-to-late fifties, then flattens or turns negative, so that the same rules pull a teacher towards a date and push them past it (Costrell and Podgursky, 2009), and teachers respond in a forward-looking way (Ni and Podgursky, 2016). How they value that deferred compensation is disputed. Fitzpatrick (2015) used an offer to purchase additional benefits at a stated price and concluded that employees would pay about 20 cents for a dollar of present-value pension wealth; Ni, Podgursky and Wang (2022) tracked the same cohort to retirement and found that most did buy the upgrade, and that those who declined faced a negative net benefit given their realised timing, so declining was rational. A stated-preference experiment puts the premium at 2% to 3% of salary (Fuchsman, McGee and Zamarro, 2023). The 20-cent estimate should not be reported as a settled parameter.</w:t>
      </w:r>
    </w:p>
    <w:p>
      <w:pPr>
        <w:spacing w:after="160" w:line="264"/>
        <w:jc w:val="both"/>
      </w:pPr>
      <w:r>
        <w:t xml:space="preserve">Contract security belongs here too and is measured only in aggregate, with 14% of teachers across TALIS systems holding contracts of a year or less (OECD, 2025b). No study prices the effect of pension design on teacher exit timing in any European system, which is a first-order gap for an OECD readership, given how much of the continent employs its teachers as civil servants.</w:t>
      </w:r>
    </w:p>
    <w:p>
      <w:pPr>
        <w:spacing w:after="160" w:line="264"/>
        <w:jc w:val="both"/>
      </w:pPr>
      <w:r>
        <w:t xml:space="preserve">How much of leaving belongs to the life course is a national parameter and not a constant. Across 19 OECD systems 51% of leavers resigned and the remainder retired, but more than 80% resigned in Denmark, England and Estonia, whereas retirements account for over half of departures in France, Greece, Ireland and Israel (OECD, 2025a), and in Japan retirement still accounts for about 53% of exits from public elementary schools (MEXT, 2024). The proposition that retirement is a minor part of the problem is an Anglophone one, and should be checked in each system before it is repeated.</w:t>
      </w:r>
    </w:p>
    <w:p>
      <w:pPr>
        <w:spacing w:after="160" w:line="264"/>
        <w:jc w:val="both"/>
      </w:pPr>
      <w:r>
        <w:t xml:space="preserve">Two demographic findings need care. The first concerns gender. Borman and Dowling (2008) reported women more likely to leave than men; Nguyen et al. (2020), pooling 37 studies, find no difference at all, and read the reversal as real historical change compounded by differences in composition across systems. The older result is still widely recited. Where a difference persists it appears to lie in the reasons and not in the prevalence, since Finnish men name a lack of commitment far more often than women, and Finnish women name workload and interpersonal strain far more often than men (Räsänen et al., 2020).</w:t>
      </w:r>
    </w:p>
    <w:p>
      <w:pPr>
        <w:spacing w:after="160" w:line="264"/>
        <w:jc w:val="both"/>
      </w:pPr>
      <w:r>
        <w:t xml:space="preserve">The second concerns family formation, where the evidence is old. That about two-thirds of exiting female teachers left the labour force entirely, with a newborn child the dominant factor, comes from a cohort of American women who left school in 1972 (Stinebrickner, 2002), and no recent administrative study in any OECD system estimates the effect of childbirth or care on teacher exit and return. The gap is immediate for a paper about re-entry, because a teacher on a career break and a teacher permanently gone are different policy targets and cannot at present be sized apart. Japan shows a life-course motive presenting as something other than exit, since more than 7 000 public-school staff were on mental-health sick leave in 2023, far more than resigned for that reason, because long hours convert into incapacity before departure (MEXT, 2024).</w:t>
      </w:r>
    </w:p>
    <w:p>
      <w:pPr>
        <w:pStyle w:val="Heading2"/>
        <w:spacing w:after="140" w:before="260"/>
      </w:pPr>
      <w:r>
        <w:rPr>
          <w:b/>
          <w:bCs/>
          <w:color w:val="04629A"/>
          <w:sz w:val="26"/>
          <w:szCs w:val="26"/>
        </w:rPr>
        <w:t xml:space="preserve">2.4 What teachers say, what they do and what they intend</w:t>
      </w:r>
    </w:p>
    <w:p>
      <w:pPr>
        <w:spacing w:after="160" w:line="264"/>
        <w:jc w:val="both"/>
      </w:pPr>
      <w:r>
        <w:t xml:space="preserve">Three kinds of evidence about the same decision give three different answers. Asked in their own words why they left, teachers rarely put pay first; asked to choose between hypothetical jobs, they respond to pay strongly; followed into administrative records, they turn out to have taken a pay cut.</w:t>
      </w:r>
    </w:p>
    <w:p>
      <w:pPr>
        <w:spacing w:after="160" w:line="264"/>
        <w:jc w:val="both"/>
      </w:pPr>
      <w:r>
        <w:t xml:space="preserve">The three reconcile if pay is a powerful attribute at the margin of choice and a weak narrative reason, so that people do not say they left for money and do respond to it when offered. What leavers say is informative about ordering within a system and misleading across systems. Pay ranks sixth among Dutch leavers, named by 22% of them (Van Casteren et al., 2023), and first among Polish teachers who had already left, in a union survey where thirteen of the twenty most burdensome factors were systemic (Związek Nauczycielstwa Polskiego, 2026). The rank of pay tracks the national wage level and not the causal structure, which is why a cross-country league table of stated reasons is not a comparison of causes.</w:t>
      </w:r>
    </w:p>
    <w:p>
      <w:pPr>
        <w:spacing w:after="160" w:line="264"/>
        <w:jc w:val="both"/>
      </w:pPr>
      <w:r>
        <w:t xml:space="preserve">Choice experiments price what open-response surveys cannot. Across twelve studies in eight OECD countries, a 10% increase in pay raises the probability of choosing a job by 5 to 12 percentage points (Sims, Lowes-Belk and Routledge, 2026). Dutch teachers working part time require a 23% increase in net hourly wages before accepting a full-time post, which puts a price on a proposal often made without one (Somers et al., 2024a).</w:t>
      </w:r>
    </w:p>
    <w:p>
      <w:pPr>
        <w:spacing w:after="160" w:line="264"/>
        <w:jc w:val="both"/>
      </w:pPr>
      <w:r>
        <w:t xml:space="preserve">Intention is the most used and the least reliable of the three. Nguyen et al. (2025) linked survey-measured intentions to observed turnover a year later across three waves of a nationally representative American survey of 102 970 teachers, and found that those intending to leave as soon as possible left at 32.5% against 6.8% for everyone else. Although the relative gap is wide, the absolute reading runs the other way, because two-thirds of those intending to leave were still teaching the following year, and the correlation between intent and behaviour is 0.15. Stated intention overstates realised one-year exit by a factor of roughly three to four where both are measured on the same population. English inspection gives the same ratio from the other end, with 30% of surveyed teachers reporting that they had considered leaving after their last inspection (Perryman et al., 2025) against a difference-in-differences estimate that an inadequate judgement raises turnover by 3.4 percentage points (Sims, 2016).</w:t>
      </w:r>
    </w:p>
    <w:p>
      <w:pPr>
        <w:spacing w:after="160" w:line="264"/>
        <w:jc w:val="both"/>
      </w:pPr>
      <w:r>
        <w:t xml:space="preserve">Two consequences follow for reading any national survey. Intention data locate dissatisfaction across countries and school types and do not forecast supply, so the 17% of non-retiring teachers who intend to leave within five years across TALIS systems (OECD, 2025b) cannot be set against an annual attrition rate of 6.5% (OECD, 2025a) as though the two measured one thing. And the reason a teacher gives is not a stable property of that teacher, since only 40% of Finnish teachers with turnover intentions named the same factor five years apart, although the intention persisted for 62% of them (Räsänen et al., 2020). A survey answer identifies what was salient on the day it was given.</w:t>
      </w:r>
    </w:p>
    <w:p>
      <w:pPr>
        <w:pStyle w:val="Heading2"/>
        <w:spacing w:after="140" w:before="260"/>
      </w:pPr>
      <w:r>
        <w:rPr>
          <w:b/>
          <w:bCs/>
          <w:color w:val="04629A"/>
          <w:sz w:val="26"/>
          <w:szCs w:val="26"/>
        </w:rPr>
        <w:t xml:space="preserve">2.5 Where leavers go, and who stays available</w:t>
      </w:r>
    </w:p>
    <w:p>
      <w:pPr>
        <w:spacing w:after="160" w:line="264"/>
        <w:jc w:val="both"/>
      </w:pPr>
      <w:r>
        <w:t xml:space="preserve">Most teachers who leave do not leave education. Linked administrative and tax records in the United States show more than half of leavers remaining in education broadly defined, about a fifth leaving the labour force entirely, and mean earnings still below their pre-exit level eight years afterwards (Brummet et al., 2024). Australian panel data give a similar first-year composition, with 22.1% in non-teaching roles within school education and 21.8% in other education, health care and social assistance work (Cuervo and Vera-Toscano, 2025). In England more than half of leavers other than retirees take education-sector jobs, at an average wage some 10% below comparable stayers (Worth, Bamford and Durbin, 2015). The modern former teacher is usually still employed and often still inside education, which makes the population reachable through employer and regulator records.</w:t>
      </w:r>
    </w:p>
    <w:p>
      <w:pPr>
        <w:spacing w:after="160" w:line="264"/>
        <w:jc w:val="both"/>
      </w:pPr>
      <w:r>
        <w:t xml:space="preserve">That population is large wherever anyone has counted it. Michigan holds 141 810 certified teachers of whom 61 252 were not teaching in a public school, and roughly half of those held expired certificates against 6% of active teachers (Lindsay, Gnedko-Berry and Wan, 2021). The Netherlands has roughly 62 000 qualified teachers working outside education, some four times its measured secondary shortage (Somers et al., 2024b).</w:t>
      </w:r>
    </w:p>
    <w:p>
      <w:pPr>
        <w:spacing w:after="160" w:line="264"/>
        <w:jc w:val="both"/>
      </w:pPr>
      <w:r>
        <w:t xml:space="preserve">What a return offer can expect depends on why the person went. Interviews with 63 Scottish teachers found most departures accumulating over months or years without a discrete trigger, and more than two-thirds of them leaving while their vocational commitment remained intact, because the conditions of the work had become untenable; a further group cut their hours or gave up promoted posts without leaving, which no standard classification records (Hulme et al., 2026). Where the exit was compelled in this sense, the person remains available. Four in five Dutch leavers said they could have been retained had certain things been different (Van Casteren et al., 2023), and about half of Swedish former teachers would consider returning, though what they ask for is more time to teach (Statistics Sweden, 2023).</w:t>
      </w:r>
    </w:p>
    <w:p>
      <w:pPr>
        <w:spacing w:after="160" w:line="264"/>
        <w:jc w:val="both"/>
      </w:pPr>
      <w:r>
        <w:t xml:space="preserve">A departure that resolved a failure of purpose is a different proposition, because the condition that produced it does not change when a timetable does. The instruments governments use to bring former teachers back address whether a return is permitted at all, what it pays, what the job on offer looks like, and whether the offer reaches the person it is meant for. That record is now long enough to read.</w:t>
      </w:r>
    </w:p>
    <w:p>
      <w:pPr>
        <w:pStyle w:val="Heading2"/>
        <w:spacing w:after="140" w:before="260"/>
      </w:pPr>
      <w:r>
        <w:rPr>
          <w:b/>
          <w:bCs/>
          <w:color w:val="04629A"/>
          <w:sz w:val="26"/>
          <w:szCs w:val="26"/>
        </w:rPr>
        <w:t xml:space="preserve">NEW REFERENCES TO ADD</w:t>
      </w:r>
    </w:p>
    <w:p>
      <w:pPr>
        <w:spacing w:after="70"/>
        <w:ind w:left="280"/>
      </w:pPr>
      <w:r>
        <w:t xml:space="preserve">Böwadt, P. R., N. K. Vaaben and R. Pedersen (2016), </w:t>
      </w:r>
      <w:r>
        <w:rPr>
          <w:i/>
          <w:iCs/>
        </w:rPr>
        <w:t xml:space="preserve">Hvorfor stopper lærerne i folkeskolen?</w:t>
      </w:r>
      <w:r>
        <w:t xml:space="preserve">, Professionshøjskolen UCC (now Københavns Professionshøjskole), Copenhagen, https://www.ucviden.dk/.</w:t>
      </w:r>
    </w:p>
    <w:p>
      <w:pPr>
        <w:spacing w:after="70"/>
        <w:ind w:left="280"/>
      </w:pPr>
      <w:r>
        <w:t xml:space="preserve">Borman, G. D. and N. M. Dowling (2008), "Teacher attrition and retention: A meta-analytic and narrative review of the research", </w:t>
      </w:r>
      <w:r>
        <w:rPr>
          <w:i/>
          <w:iCs/>
        </w:rPr>
        <w:t xml:space="preserve">Review of Educational Research</w:t>
      </w:r>
      <w:r>
        <w:t xml:space="preserve">, Vol. 78/3, pp. 367-409, https://doi.org/10.3102/0034654308321455.</w:t>
      </w:r>
    </w:p>
    <w:p>
      <w:pPr>
        <w:spacing w:after="70"/>
        <w:ind w:left="280"/>
      </w:pPr>
      <w:r>
        <w:t xml:space="preserve">Boyd, D. et al. (2011), "The influence of school administrators on teacher retention decisions", </w:t>
      </w:r>
      <w:r>
        <w:rPr>
          <w:i/>
          <w:iCs/>
        </w:rPr>
        <w:t xml:space="preserve">American Educational Research Journal</w:t>
      </w:r>
      <w:r>
        <w:t xml:space="preserve">, Vol. 48/2, pp. 303-333, https://doi.org/10.3102/0002831210380788.</w:t>
      </w:r>
    </w:p>
    <w:p>
      <w:pPr>
        <w:spacing w:after="70"/>
        <w:ind w:left="280"/>
      </w:pPr>
      <w:r>
        <w:t xml:space="preserve">Cotton, J. L. and J. M. Tuttle (1986), "Employee turnover: A meta-analysis and review with implications for research", </w:t>
      </w:r>
      <w:r>
        <w:rPr>
          <w:i/>
          <w:iCs/>
        </w:rPr>
        <w:t xml:space="preserve">Academy of Management Review</w:t>
      </w:r>
      <w:r>
        <w:t xml:space="preserve">, Vol. 11/1, pp. 55-70, https://doi.org/10.5465/amr.1986.4282625.</w:t>
      </w:r>
    </w:p>
    <w:p>
      <w:pPr>
        <w:spacing w:after="70"/>
        <w:ind w:left="280"/>
      </w:pPr>
      <w:r>
        <w:t xml:space="preserve">Demerouti, E. et al. (2001), "The Job Demands-Resources model of burnout", </w:t>
      </w:r>
      <w:r>
        <w:rPr>
          <w:i/>
          <w:iCs/>
        </w:rPr>
        <w:t xml:space="preserve">Journal of Applied Psychology</w:t>
      </w:r>
      <w:r>
        <w:t xml:space="preserve">, Vol. 86/3, pp. 499-512, https://doi.org/10.1037/0021-9010.86.3.499.</w:t>
      </w:r>
    </w:p>
    <w:p>
      <w:pPr>
        <w:spacing w:after="70"/>
        <w:ind w:left="280"/>
      </w:pPr>
      <w:r>
        <w:t xml:space="preserve">Falch, T. (2011), "Teacher mobility responses to wage changes: Evidence from a quasi-natural experiment", </w:t>
      </w:r>
      <w:r>
        <w:rPr>
          <w:i/>
          <w:iCs/>
        </w:rPr>
        <w:t xml:space="preserve">American Economic Review</w:t>
      </w:r>
      <w:r>
        <w:t xml:space="preserve">, Vol. 101/3, pp. 460-465, https://doi.org/10.1257/aer.101.3.460.</w:t>
      </w:r>
    </w:p>
    <w:p>
      <w:pPr>
        <w:spacing w:after="70"/>
        <w:ind w:left="280"/>
      </w:pPr>
      <w:r>
        <w:t xml:space="preserve">Fuchsman, D., J. B. McGee and G. Zamarro (2023), "Teachers' willingness to pay for retirement benefits: A national stated preferences experiment", </w:t>
      </w:r>
      <w:r>
        <w:rPr>
          <w:i/>
          <w:iCs/>
        </w:rPr>
        <w:t xml:space="preserve">Economics of Education Review</w:t>
      </w:r>
      <w:r>
        <w:t xml:space="preserve">, Vol. 92, 102349, https://doi.org/10.1016/j.econedurev.2022.102349.</w:t>
      </w:r>
    </w:p>
    <w:p>
      <w:pPr>
        <w:spacing w:after="70"/>
        <w:ind w:left="280"/>
      </w:pPr>
      <w:r>
        <w:t xml:space="preserve">González-Escobar, M. et al. (2020), "Abandono docente na América Latina: revisão da literatura", </w:t>
      </w:r>
      <w:r>
        <w:rPr>
          <w:i/>
          <w:iCs/>
        </w:rPr>
        <w:t xml:space="preserve">Cadernos de Pesquisa</w:t>
      </w:r>
      <w:r>
        <w:t xml:space="preserve">, Vol. 50/176, pp. 592-604, https://doi.org/10.1590/198053146706.</w:t>
      </w:r>
    </w:p>
    <w:p>
      <w:pPr>
        <w:spacing w:after="70"/>
        <w:ind w:left="280"/>
      </w:pPr>
      <w:r>
        <w:t xml:space="preserve">Guarino, C. M., L. Santibañez and G. A. Daley (2006), "Teacher recruitment and retention: A review of the recent empirical literature", </w:t>
      </w:r>
      <w:r>
        <w:rPr>
          <w:i/>
          <w:iCs/>
        </w:rPr>
        <w:t xml:space="preserve">Review of Educational Research</w:t>
      </w:r>
      <w:r>
        <w:t xml:space="preserve">, Vol. 76/2, pp. 173-208, https://doi.org/10.3102/00346543076002173.</w:t>
      </w:r>
    </w:p>
    <w:p>
      <w:pPr>
        <w:spacing w:after="70"/>
        <w:ind w:left="280"/>
      </w:pPr>
      <w:r>
        <w:t xml:space="preserve">Gundlach, H. A. D., G. R. Slemp and J. Hattie (2024), "A meta-analysis of the antecedents of teacher turnover and retention", </w:t>
      </w:r>
      <w:r>
        <w:rPr>
          <w:i/>
          <w:iCs/>
        </w:rPr>
        <w:t xml:space="preserve">Educational Research Review</w:t>
      </w:r>
      <w:r>
        <w:t xml:space="preserve">, Vol. 44, 100606, https://doi.org/10.1016/j.edurev.2024.100606.</w:t>
      </w:r>
    </w:p>
    <w:p>
      <w:pPr>
        <w:spacing w:after="70"/>
        <w:ind w:left="280"/>
      </w:pPr>
      <w:r>
        <w:t xml:space="preserve">Hom, P. W. et al. (2012), "Reviewing employee turnover: Focusing on proximal withdrawal states and an expanded criterion", </w:t>
      </w:r>
      <w:r>
        <w:rPr>
          <w:i/>
          <w:iCs/>
        </w:rPr>
        <w:t xml:space="preserve">Psychological Bulletin</w:t>
      </w:r>
      <w:r>
        <w:t xml:space="preserve">, Vol. 138/5, pp. 831-858, https://doi.org/10.1037/a0027983.</w:t>
      </w:r>
    </w:p>
    <w:p>
      <w:pPr>
        <w:spacing w:after="70"/>
        <w:ind w:left="280"/>
      </w:pPr>
      <w:r>
        <w:t xml:space="preserve">Hulme, M. et al. (2026), "Teacher turnover in Scotland: Reluctant leavers, downscaling, and the limits of voluntary exit", </w:t>
      </w:r>
      <w:r>
        <w:rPr>
          <w:i/>
          <w:iCs/>
        </w:rPr>
        <w:t xml:space="preserve">Oxford Review of Education</w:t>
      </w:r>
      <w:r>
        <w:t xml:space="preserve">, https://doi.org/10.1080/03054985.2026.2709882.</w:t>
      </w:r>
    </w:p>
    <w:p>
      <w:pPr>
        <w:spacing w:after="70"/>
        <w:ind w:left="280"/>
      </w:pPr>
      <w:r>
        <w:t xml:space="preserve">Ingersoll, R. M. (2001), "Teacher turnover and teacher shortages: An organizational analysis", </w:t>
      </w:r>
      <w:r>
        <w:rPr>
          <w:i/>
          <w:iCs/>
        </w:rPr>
        <w:t xml:space="preserve">American Educational Research Journal</w:t>
      </w:r>
      <w:r>
        <w:t xml:space="preserve">, Vol. 38/3, pp. 499-534, https://doi.org/10.3102/00028312038003499.</w:t>
      </w:r>
    </w:p>
    <w:p>
      <w:pPr>
        <w:spacing w:after="70"/>
        <w:ind w:left="280"/>
      </w:pPr>
      <w:r>
        <w:t xml:space="preserve">Jerrim, J. and S. Sims (2021), "When is high workload bad for teacher wellbeing? Accounting for the non-linear contribution of specific teaching tasks", </w:t>
      </w:r>
      <w:r>
        <w:rPr>
          <w:i/>
          <w:iCs/>
        </w:rPr>
        <w:t xml:space="preserve">Teaching and Teacher Education</w:t>
      </w:r>
      <w:r>
        <w:t xml:space="preserve">, Vol. 105, 103395. [Volume and article number to be confirmed.]</w:t>
      </w:r>
    </w:p>
    <w:p>
      <w:pPr>
        <w:spacing w:after="70"/>
        <w:ind w:left="280"/>
      </w:pPr>
      <w:r>
        <w:t xml:space="preserve">Jerrim, J. et al. (2020), "How does the mental health and wellbeing of teachers compare to other professions? Evidence from eleven survey datasets", </w:t>
      </w:r>
      <w:r>
        <w:rPr>
          <w:i/>
          <w:iCs/>
        </w:rPr>
        <w:t xml:space="preserve">Review of Education</w:t>
      </w:r>
      <w:r>
        <w:t xml:space="preserve">, Vol. 8/3, pp. 659-689, https://doi.org/10.1002/rev3.3228.</w:t>
      </w:r>
    </w:p>
    <w:p>
      <w:pPr>
        <w:spacing w:after="70"/>
        <w:ind w:left="280"/>
      </w:pPr>
      <w:r>
        <w:t xml:space="preserve">Jerrim, J., S. Sims and H. Taylor (2021), "I quit! Is there an association between leaving teaching and improvements in mental health?", </w:t>
      </w:r>
      <w:r>
        <w:rPr>
          <w:i/>
          <w:iCs/>
        </w:rPr>
        <w:t xml:space="preserve">British Educational Research Journal</w:t>
      </w:r>
      <w:r>
        <w:t xml:space="preserve">, Vol. 47/5, pp. 1226-1248, https://doi.org/10.1002/berj.3720.</w:t>
      </w:r>
    </w:p>
    <w:p>
      <w:pPr>
        <w:spacing w:after="70"/>
        <w:ind w:left="280"/>
      </w:pPr>
      <w:r>
        <w:t xml:space="preserve">KEDI (2023), </w:t>
      </w:r>
      <w:r>
        <w:rPr>
          <w:i/>
          <w:iCs/>
        </w:rPr>
        <w:t xml:space="preserve">Survey Evidence on Teacher Attrition and the Infringement of Teachers' Rights</w:t>
      </w:r>
      <w:r>
        <w:t xml:space="preserve">, Korean Educational Development Institute, Jincheon. [Reference reached this review through secondary reporting; full bibliographic details to be completed before publication.]</w:t>
      </w:r>
    </w:p>
    <w:p>
      <w:pPr>
        <w:spacing w:after="70"/>
        <w:ind w:left="280"/>
      </w:pPr>
      <w:r>
        <w:t xml:space="preserve">Kelchtermans, G. (2017), "'Should I stay or should I go?': Unpacking teacher attrition/retention as an educational issue", </w:t>
      </w:r>
      <w:r>
        <w:rPr>
          <w:i/>
          <w:iCs/>
        </w:rPr>
        <w:t xml:space="preserve">Teachers and Teaching</w:t>
      </w:r>
      <w:r>
        <w:t xml:space="preserve">, Vol. 23/8, pp. 961-977, https://doi.org/10.1080/13540602.2017.1379793.</w:t>
      </w:r>
    </w:p>
    <w:p>
      <w:pPr>
        <w:spacing w:after="70"/>
        <w:ind w:left="280"/>
      </w:pPr>
      <w:r>
        <w:t xml:space="preserve">Kraft, M. A., W. H. Marinell and D. Shen-Wei Yee (2016), "School organizational contexts, teacher turnover, and student achievement: Evidence from panel data", </w:t>
      </w:r>
      <w:r>
        <w:rPr>
          <w:i/>
          <w:iCs/>
        </w:rPr>
        <w:t xml:space="preserve">American Educational Research Journal</w:t>
      </w:r>
      <w:r>
        <w:t xml:space="preserve">, Vol. 53/5, pp. 1411-1449, https://doi.org/10.3102/0002831216667478.</w:t>
      </w:r>
    </w:p>
    <w:p>
      <w:pPr>
        <w:spacing w:after="70"/>
        <w:ind w:left="280"/>
      </w:pPr>
      <w:r>
        <w:t xml:space="preserve">Ladd, H. F. (2011), "Teachers' perceptions of their working conditions: How predictive of planned and actual teacher movement?", </w:t>
      </w:r>
      <w:r>
        <w:rPr>
          <w:i/>
          <w:iCs/>
        </w:rPr>
        <w:t xml:space="preserve">Educational Evaluation and Policy Analysis</w:t>
      </w:r>
      <w:r>
        <w:t xml:space="preserve">, Vol. 33/2, pp. 235-261, https://doi.org/10.3102/0162373711398128.</w:t>
      </w:r>
    </w:p>
    <w:p>
      <w:pPr>
        <w:spacing w:after="70"/>
        <w:ind w:left="280"/>
      </w:pPr>
      <w:r>
        <w:t xml:space="preserve">Lee, E. S. (1966), "A theory of migration", </w:t>
      </w:r>
      <w:r>
        <w:rPr>
          <w:i/>
          <w:iCs/>
        </w:rPr>
        <w:t xml:space="preserve">Demography</w:t>
      </w:r>
      <w:r>
        <w:t xml:space="preserve">, Vol. 3/1, pp. 47-57, https://doi.org/10.2307/2060063.</w:t>
      </w:r>
    </w:p>
    <w:p>
      <w:pPr>
        <w:spacing w:after="70"/>
        <w:ind w:left="280"/>
      </w:pPr>
      <w:r>
        <w:t xml:space="preserve">Lee, T. W. and T. R. Mitchell (1994), "An alternative approach: The unfolding model of voluntary employee turnover", </w:t>
      </w:r>
      <w:r>
        <w:rPr>
          <w:i/>
          <w:iCs/>
        </w:rPr>
        <w:t xml:space="preserve">Academy of Management Review</w:t>
      </w:r>
      <w:r>
        <w:t xml:space="preserve">, Vol. 19/1, pp. 51-89, https://doi.org/10.5465/amr.1994.9410122008.</w:t>
      </w:r>
    </w:p>
    <w:p>
      <w:pPr>
        <w:spacing w:after="70"/>
        <w:ind w:left="280"/>
      </w:pPr>
      <w:r>
        <w:t xml:space="preserve">Li, R. and M. Yao (2022), "What promotes teachers' turnover intention? Evidence from a meta-analysis", </w:t>
      </w:r>
      <w:r>
        <w:rPr>
          <w:i/>
          <w:iCs/>
        </w:rPr>
        <w:t xml:space="preserve">Educational Research Review</w:t>
      </w:r>
      <w:r>
        <w:t xml:space="preserve">, Vol. 37, 100477, https://doi.org/10.1016/j.edurev.2022.100477.</w:t>
      </w:r>
    </w:p>
    <w:p>
      <w:pPr>
        <w:spacing w:after="70"/>
        <w:ind w:left="280"/>
      </w:pPr>
      <w:r>
        <w:t xml:space="preserve">Madigan, D. J. and L. E. Kim (2021), "Towards an understanding of teacher attrition: A meta-analysis of burnout, job satisfaction, and teachers' intentions to quit", </w:t>
      </w:r>
      <w:r>
        <w:rPr>
          <w:i/>
          <w:iCs/>
        </w:rPr>
        <w:t xml:space="preserve">Teaching and Teacher Education</w:t>
      </w:r>
      <w:r>
        <w:t xml:space="preserve">, Vol. 105, 103425, https://doi.org/10.1016/j.tate.2021.103425.</w:t>
      </w:r>
    </w:p>
    <w:p>
      <w:pPr>
        <w:spacing w:after="70"/>
        <w:ind w:left="280"/>
      </w:pPr>
      <w:r>
        <w:t xml:space="preserve">March, J. G. and H. A. Simon (1958), </w:t>
      </w:r>
      <w:r>
        <w:rPr>
          <w:i/>
          <w:iCs/>
        </w:rPr>
        <w:t xml:space="preserve">Organizations</w:t>
      </w:r>
      <w:r>
        <w:t xml:space="preserve">, Wiley, New York.</w:t>
      </w:r>
    </w:p>
    <w:p>
      <w:pPr>
        <w:spacing w:after="70"/>
        <w:ind w:left="280"/>
      </w:pPr>
      <w:r>
        <w:t xml:space="preserve">MEXT (2024), </w:t>
      </w:r>
      <w:r>
        <w:rPr>
          <w:i/>
          <w:iCs/>
        </w:rPr>
        <w:t xml:space="preserve">令和4年度学校教員統計調査（確定値）</w:t>
      </w:r>
      <w:r>
        <w:t xml:space="preserve"> [School Teachers Survey FY2022, confirmed results], Ministry of Education, Culture, Sports, Science and Technology, Tokyo, https://www.mext.go.jp/b_menu/toukei/chousa01/kyouin/kekka/k_detail/1395309_00005.htm.</w:t>
      </w:r>
    </w:p>
    <w:p>
      <w:pPr>
        <w:spacing w:after="70"/>
        <w:ind w:left="280"/>
      </w:pPr>
      <w:r>
        <w:t xml:space="preserve">Ni, S. and M. Podgursky (2016), "How teachers respond to pension system incentives: New estimates and policy applications", </w:t>
      </w:r>
      <w:r>
        <w:rPr>
          <w:i/>
          <w:iCs/>
        </w:rPr>
        <w:t xml:space="preserve">Journal of Labor Economics</w:t>
      </w:r>
      <w:r>
        <w:t xml:space="preserve">, Vol. 34/4, pp. 1075-1104, https://doi.org/10.1086/686263.</w:t>
      </w:r>
    </w:p>
    <w:p>
      <w:pPr>
        <w:spacing w:after="70"/>
        <w:ind w:left="280"/>
      </w:pPr>
      <w:r>
        <w:t xml:space="preserve">Ni, S., M. Podgursky and F. Wang (2022), "How much are public school teachers willing to pay for their retirement benefits? Comment", </w:t>
      </w:r>
      <w:r>
        <w:rPr>
          <w:i/>
          <w:iCs/>
        </w:rPr>
        <w:t xml:space="preserve">American Economic Journal: Economic Policy</w:t>
      </w:r>
      <w:r>
        <w:t xml:space="preserve">, Vol. 14/3, pp. 478-493, https://doi.org/10.1257/pol.20200763.</w:t>
      </w:r>
    </w:p>
    <w:p>
      <w:pPr>
        <w:spacing w:after="70"/>
        <w:ind w:left="280"/>
      </w:pPr>
      <w:r>
        <w:t xml:space="preserve">Nguyen, T. D. and M. G. Springer (2021), "A conceptual framework of teacher turnover: A systematic review of the empirical international literature and insights from the employee turnover literature", </w:t>
      </w:r>
      <w:r>
        <w:rPr>
          <w:i/>
          <w:iCs/>
        </w:rPr>
        <w:t xml:space="preserve">Educational Review</w:t>
      </w:r>
      <w:r>
        <w:t xml:space="preserve">, Vol. 75/5, pp. 993-1028, https://doi.org/10.1080/00131911.2021.1940103.</w:t>
      </w:r>
    </w:p>
    <w:p>
      <w:pPr>
        <w:spacing w:after="70"/>
        <w:ind w:left="280"/>
      </w:pPr>
      <w:r>
        <w:t xml:space="preserve">Perryman, J. et al. (2025), "'A tipping point' in teacher retention and accountability: The case of inspection", </w:t>
      </w:r>
      <w:r>
        <w:rPr>
          <w:i/>
          <w:iCs/>
        </w:rPr>
        <w:t xml:space="preserve">British Journal of Educational Studies</w:t>
      </w:r>
      <w:r>
        <w:t xml:space="preserve">, Vol. 73/2, pp. 181-200, https://doi.org/10.1080/00071005.2024.2439791.</w:t>
      </w:r>
    </w:p>
    <w:p>
      <w:pPr>
        <w:spacing w:after="70"/>
        <w:ind w:left="280"/>
      </w:pPr>
      <w:r>
        <w:t xml:space="preserve">Räsänen, K. et al. (2020), "Why leave the teaching profession? A longitudinal approach to the prevalence and persistence of teacher turnover intentions", </w:t>
      </w:r>
      <w:r>
        <w:rPr>
          <w:i/>
          <w:iCs/>
        </w:rPr>
        <w:t xml:space="preserve">Social Psychology of Education</w:t>
      </w:r>
      <w:r>
        <w:t xml:space="preserve">, Vol. 23/4, pp. 837-859, https://doi.org/10.1007/s11218-020-09567-x.</w:t>
      </w:r>
    </w:p>
    <w:p>
      <w:pPr>
        <w:spacing w:after="70"/>
        <w:ind w:left="280"/>
      </w:pPr>
      <w:r>
        <w:t xml:space="preserve">ROCKWOOL Fonden (2025), </w:t>
      </w:r>
      <w:r>
        <w:rPr>
          <w:i/>
          <w:iCs/>
        </w:rPr>
        <w:t xml:space="preserve">Folkeskolelærere, der forlader deres job, går ned i løn og søger mod job med færre sygemeldinger</w:t>
      </w:r>
      <w:r>
        <w:t xml:space="preserve">, ROCKWOOL Fondens Forskningsenhed, Copenhagen, https://rockwoolfonden.dk/. [Lead author: J. N. Arendt; full working-paper reference to be confirmed.]</w:t>
      </w:r>
    </w:p>
    <w:p>
      <w:pPr>
        <w:spacing w:after="70"/>
        <w:ind w:left="280"/>
      </w:pPr>
      <w:r>
        <w:t xml:space="preserve">See, B. H. et al. (2020), "Teacher recruitment and retention: A critical review of international evidence of most promising interventions", </w:t>
      </w:r>
      <w:r>
        <w:rPr>
          <w:i/>
          <w:iCs/>
        </w:rPr>
        <w:t xml:space="preserve">Education Sciences</w:t>
      </w:r>
      <w:r>
        <w:t xml:space="preserve">, Vol. 10/10, 262, https://doi.org/10.3390/educsci10100262.</w:t>
      </w:r>
    </w:p>
    <w:p>
      <w:pPr>
        <w:spacing w:after="70"/>
        <w:ind w:left="280"/>
      </w:pPr>
      <w:r>
        <w:t xml:space="preserve">Sims, S. (2016), </w:t>
      </w:r>
      <w:r>
        <w:rPr>
          <w:i/>
          <w:iCs/>
        </w:rPr>
        <w:t xml:space="preserve">High-stakes Accountability and Teacher Turnover: How Do Different School Inspection Judgements Affect Teachers' Decisions to Leave Their School?</w:t>
      </w:r>
      <w:r>
        <w:t xml:space="preserve">, Department of Quantitative Social Science Working Paper No. 16-14, UCL Institute of Education, London, https://ideas.repec.org/p/qss/dqsswp/1614.html.</w:t>
      </w:r>
    </w:p>
    <w:p>
      <w:pPr>
        <w:spacing w:after="70"/>
        <w:ind w:left="280"/>
      </w:pPr>
      <w:r>
        <w:t xml:space="preserve">Sims, S. and J. Jerrim (2020), </w:t>
      </w:r>
      <w:r>
        <w:rPr>
          <w:i/>
          <w:iCs/>
        </w:rPr>
        <w:t xml:space="preserve">TALIS 2018: Teacher Working Conditions, Turnover and Attrition</w:t>
      </w:r>
      <w:r>
        <w:t xml:space="preserve">, Statistical Working Paper, Department for Education, London, https://www.gov.uk/government/publications/talis-2018-teacher-working-conditions-turnover-and-attrition.</w:t>
      </w:r>
    </w:p>
    <w:p>
      <w:pPr>
        <w:spacing w:after="70"/>
        <w:ind w:left="280"/>
      </w:pPr>
      <w:r>
        <w:t xml:space="preserve">Sims, S. et al. (2022), "Is teaching bad for your health? New evidence from biomarker data", </w:t>
      </w:r>
      <w:r>
        <w:rPr>
          <w:i/>
          <w:iCs/>
        </w:rPr>
        <w:t xml:space="preserve">Oxford Review of Education</w:t>
      </w:r>
      <w:r>
        <w:t xml:space="preserve">, Vol. 48/1, pp. 78-97, https://doi.org/10.1080/03054985.2021.1908246.</w:t>
      </w:r>
    </w:p>
    <w:p>
      <w:pPr>
        <w:spacing w:after="70"/>
        <w:ind w:left="280"/>
      </w:pPr>
      <w:r>
        <w:t xml:space="preserve">Statistics Sweden (2023), </w:t>
      </w:r>
      <w:r>
        <w:rPr>
          <w:i/>
          <w:iCs/>
        </w:rPr>
        <w:t xml:space="preserve">Lärare utanför yrket 2022/2023</w:t>
      </w:r>
      <w:r>
        <w:t xml:space="preserve">, Statistiska centralbyrån, Stockholm, https://www.scb.se/.</w:t>
      </w:r>
    </w:p>
    <w:p>
      <w:pPr>
        <w:spacing w:after="70"/>
        <w:ind w:left="280"/>
      </w:pPr>
      <w:r>
        <w:t xml:space="preserve">Tiplic, D., C. Brandmo and E. Elstad (2015), "Antecedents of Norwegian beginning teachers' turnover intentions", </w:t>
      </w:r>
      <w:r>
        <w:rPr>
          <w:i/>
          <w:iCs/>
        </w:rPr>
        <w:t xml:space="preserve">Cambridge Journal of Education</w:t>
      </w:r>
      <w:r>
        <w:t xml:space="preserve">, Vol. 45/4, pp. 451-474, https://doi.org/10.1080/0305764X.2014.987642.</w:t>
      </w:r>
    </w:p>
    <w:p>
      <w:pPr>
        <w:spacing w:after="70"/>
        <w:ind w:left="280"/>
      </w:pPr>
      <w:r>
        <w:t xml:space="preserve">Universität zu Köln and Katholische Hochschule NRW (2026), </w:t>
      </w:r>
      <w:r>
        <w:rPr>
          <w:i/>
          <w:iCs/>
        </w:rPr>
        <w:t xml:space="preserve">Teamresilienz und organisationale Rahmenbedingungen im Lehrer:innenberuf</w:t>
      </w:r>
      <w:r>
        <w:t xml:space="preserve">, study of 1 178 teachers in North Rhine-Westphalia presented at didacta 2026. [Reference reached this review through secondary reporting; the published version should be obtained before citation.]</w:t>
      </w:r>
    </w:p>
    <w:p>
      <w:pPr>
        <w:spacing w:after="70"/>
        <w:ind w:left="280"/>
      </w:pPr>
      <w:r>
        <w:t xml:space="preserve">Van Casteren, W. et al. (2023), </w:t>
      </w:r>
      <w:r>
        <w:rPr>
          <w:i/>
          <w:iCs/>
        </w:rPr>
        <w:t xml:space="preserve">Vertrekredenen leraren en docenten in het po, vo en mbo</w:t>
      </w:r>
      <w:r>
        <w:t xml:space="preserve">, ResearchNed, Nijmegen, commissioned by the Ministry of Education, Culture and Science, https://www.voion.nl/publicaties/vertrekredenen-leraren-en-docenten-in-het-po-vo-en-mbo/.</w:t>
      </w:r>
    </w:p>
    <w:p>
      <w:pPr>
        <w:spacing w:after="70"/>
        <w:ind w:left="280"/>
      </w:pPr>
      <w:r>
        <w:t xml:space="preserve">Worth, J. and J. Van den Brande (2020), </w:t>
      </w:r>
      <w:r>
        <w:rPr>
          <w:i/>
          <w:iCs/>
        </w:rPr>
        <w:t xml:space="preserve">Teacher Autonomy: How Does It Relate to Job Satisfaction and Retention?</w:t>
      </w:r>
      <w:r>
        <w:t xml:space="preserve">, National Foundation for Educational Research, Slough, https://www.nfer.ac.uk/publications/teacher-autonomy-how-does-it-relate-to-job-satisfaction-and-retention.</w:t>
      </w:r>
    </w:p>
    <w:p>
      <w:pPr>
        <w:spacing w:after="70"/>
        <w:ind w:left="280"/>
      </w:pPr>
      <w:r>
        <w:t xml:space="preserve">Związek Nauczycielstwa Polskiego / University of Warsaw (2026), </w:t>
      </w:r>
      <w:r>
        <w:rPr>
          <w:i/>
          <w:iCs/>
        </w:rPr>
        <w:t xml:space="preserve">Badanie warunków pracy i stresu zawodowego nauczycieli</w:t>
      </w:r>
      <w:r>
        <w:t xml:space="preserve">, ZNP, Warsaw. [Survey of 1 748 teachers in 200 institutions, February-April 2026; full report reference to be confirmed.]</w:t>
      </w:r>
    </w:p>
    <w:sectPr>
      <w:headerReference w:type="default" r:id="rId7"/>
      <w:footerReference w:type="default" r:id="rId8"/>
      <w:pgSz w:w="11906" w:h="16838" w:orient="portrait"/>
      <w:pgMar w:top="1417" w:right="1417" w:bottom="141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6"/>
        <w:szCs w:val="16"/>
      </w:rPr>
      <w:t xml:space="preserve">FORMER TEACHERS — SECTION 2 DRAFT AND PAPER SKELETON, AUGUST 2026</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95959"/>
        <w:sz w:val="18"/>
        <w:szCs w:val="18"/>
      </w:rPr>
      <w:fldChar w:fldCharType="begin"/>
      <w:instrText xml:space="preserve">PAGE</w:instrText>
      <w:fldChar w:fldCharType="separate"/>
      <w:fldChar w:fldCharType="end"/>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aramond" w:cs="Garamond" w:eastAsia="Garamond" w:hAnsi="Garamond"/>
        <w:sz w:val="23"/>
        <w:szCs w:val="23"/>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6ac650b75bf4b5f34d5ce0e6cf64805ba4b3fb42.undefined"/><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2026-08-24T11:36:46.509Z</dcterms:created>
  <dcterms:modified xsi:type="dcterms:W3CDTF">2026-08-24T11:36:46.525Z</dcterms:modified>
</cp:coreProperties>
</file>

<file path=docProps/custom.xml><?xml version="1.0" encoding="utf-8"?>
<Properties xmlns="http://schemas.openxmlformats.org/officeDocument/2006/custom-properties" xmlns:vt="http://schemas.openxmlformats.org/officeDocument/2006/docPropsVTypes"/>
</file>