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520" w:hRule="exact"/>
        </w:trPr>
        <w:tc>
          <w:tcPr>
            <w:tcW w:type="dxa" w:w="9072"/>
            <w:tcBorders>
              <w:top w:val="none" w:color="04629A" w:sz="0"/>
              <w:left w:val="none" w:color="04629A" w:sz="0"/>
              <w:bottom w:val="none" w:color="04629A" w:sz="0"/>
              <w:right w:val="none" w:color="04629A" w:sz="0"/>
            </w:tcBorders>
            <w:shd w:fill="04629A" w:val="clear"/>
          </w:tcPr>
          <w:p>
            <w:r>
              <w:t xml:space="preserve"/>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60" w:hRule="exact"/>
        </w:trPr>
        <w:tc>
          <w:tcPr>
            <w:tcW w:type="dxa" w:w="9072"/>
            <w:tcBorders>
              <w:top w:val="none" w:color="8CC841" w:sz="0"/>
              <w:left w:val="none" w:color="8CC841" w:sz="0"/>
              <w:bottom w:val="none" w:color="8CC841" w:sz="0"/>
              <w:right w:val="none" w:color="8CC841" w:sz="0"/>
            </w:tcBorders>
            <w:shd w:fill="8CC841" w:val="clear"/>
          </w:tcPr>
          <w:p>
            <w:r>
              <w:t xml:space="preserve"/>
            </w:r>
          </w:p>
        </w:tc>
      </w:tr>
    </w:tbl>
    <w:p>
      <w:pPr>
        <w:spacing w:before="2200"/>
      </w:pPr>
      <w:r>
        <w:rPr>
          <w:caps/>
          <w:color w:val="595959"/>
          <w:spacing w:val="40"/>
          <w:sz w:val="24"/>
          <w:szCs w:val="24"/>
        </w:rPr>
        <w:t xml:space="preserve">WORKING PAPER</w:t>
      </w:r>
    </w:p>
    <w:p>
      <w:pPr>
        <w:spacing w:before="300"/>
      </w:pPr>
      <w:r>
        <w:rPr>
          <w:b/>
          <w:bCs/>
          <w:color w:val="04629A"/>
          <w:sz w:val="52"/>
          <w:szCs w:val="52"/>
        </w:rPr>
        <w:t xml:space="preserve">Former Teachers: Barriers, Incentives and Policy Lessons for Re-entry</w:t>
      </w:r>
    </w:p>
    <w:p>
      <w:pPr>
        <w:spacing w:before="400"/>
      </w:pPr>
      <w:r>
        <w:rPr>
          <w:sz w:val="28"/>
          <w:szCs w:val="28"/>
        </w:rPr>
        <w:t xml:space="preserve">[Author names]</w:t>
      </w:r>
    </w:p>
    <w:p>
      <w:pPr>
        <w:spacing w:before="120"/>
      </w:pPr>
      <w:r>
        <w:rPr>
          <w:color w:val="595959"/>
          <w:sz w:val="24"/>
          <w:szCs w:val="24"/>
        </w:rPr>
        <w:t xml:space="preserve">Universidad de Alicante</w:t>
      </w:r>
    </w:p>
    <w:p>
      <w:pPr>
        <w:spacing w:before="120"/>
      </w:pPr>
      <w:r>
        <w:rPr>
          <w:color w:val="595959"/>
          <w:sz w:val="24"/>
          <w:szCs w:val="24"/>
        </w:rPr>
        <w:t xml:space="preserve">August 2026</w:t>
      </w:r>
    </w:p>
    <w:p>
      <w:pPr>
        <w:spacing w:before="2600"/>
      </w:pPr>
      <w:r>
        <w:rPr>
          <w:i/>
          <w:iCs/>
          <w:color w:val="595959"/>
          <w:sz w:val="20"/>
          <w:szCs w:val="20"/>
        </w:rPr>
        <w:t xml:space="preserve">Draft for discussion and comment.</w:t>
      </w:r>
    </w:p>
    <w:p>
      <w:pPr>
        <w:pageBreakBefore/>
        <w:spacing w:after="300"/>
      </w:pPr>
      <w:r>
        <w:rPr>
          <w:b/>
          <w:bCs/>
          <w:color w:val="4E81BD"/>
          <w:sz w:val="24"/>
          <w:szCs w:val="24"/>
        </w:rPr>
        <w:t xml:space="preserve">WORKING PAPER SERIES</w:t>
      </w:r>
    </w:p>
    <w:p>
      <w:pPr>
        <w:spacing w:after="160" w:line="264" w:lineRule="auto"/>
        <w:jc w:val="both"/>
      </w:pPr>
      <w:r>
        <w:t xml:space="preserve">This working paper presents preliminary research and analysis for discussion and comment. The opinions expressed and the arguments employed herein are those of the author(s) alone and do not necessarily reflect the official views of any institution with which they are affiliated.</w:t>
      </w:r>
    </w:p>
    <w:p>
      <w:pPr>
        <w:spacing w:after="160" w:line="264" w:lineRule="auto"/>
        <w:jc w:val="both"/>
      </w:pPr>
      <w:r>
        <w:t xml:space="preserve">The paper follows the structure, citation conventions and presentational style of the OECD Education Working Papers series for ease of comparison with that literature. It is not an OECD publication, has not been reviewed or endorsed by the OECD, and should not be reported as representing the views of the OECD or of its member countries.</w:t>
      </w:r>
    </w:p>
    <w:p>
      <w:pPr>
        <w:spacing w:after="160" w:line="264" w:lineRule="auto"/>
        <w:jc w:val="both"/>
      </w:pPr>
      <w:r>
        <w:t xml:space="preserve">Comments on this draft are welcome and may be sent to the authors.</w:t>
      </w:r>
    </w:p>
    <w:p>
      <w:pPr>
        <w:sectPr>
          <w:pgSz w:w="11906" w:h="16838" w:orient="portrait"/>
          <w:pgMar w:top="1417" w:right="1417" w:bottom="1417" w:left="1417" w:header="708" w:footer="708" w:gutter="0"/>
          <w:pgNumType/>
          <w:docGrid w:linePitch="360"/>
        </w:sectPr>
      </w:pPr>
    </w:p>
    <w:p>
      <w:pPr>
        <w:pStyle w:val="Heading1"/>
      </w:pPr>
      <w:r>
        <w:t xml:space="preserve">Acknowledgements</w:t>
      </w:r>
    </w:p>
    <w:p>
      <w:pPr>
        <w:spacing w:after="160" w:line="264" w:lineRule="auto"/>
        <w:jc w:val="both"/>
      </w:pPr>
      <w:r>
        <w:rPr>
          <w:i/>
          <w:iCs/>
          <w:color w:val="595959"/>
        </w:rPr>
        <w:t xml:space="preserve">[This working paper was prepared by the authors for the Former Teachers project. Acknowledgements to colleagues, reviewers and data providers to be added before circulation.]</w:t>
      </w:r>
    </w:p>
    <w:p>
      <w:pPr>
        <w:pStyle w:val="Heading1"/>
        <w:pageBreakBefore/>
      </w:pPr>
      <w:r>
        <w:t xml:space="preserve">Abstract</w:t>
      </w:r>
    </w:p>
    <w:p>
      <w:pPr>
        <w:spacing w:after="160" w:line="264" w:lineRule="auto"/>
        <w:jc w:val="both"/>
      </w:pPr>
      <w:r>
        <w:t xml:space="preserve">Many education systems, prompted by recruitment pressure and changing career patterns, are looking again at the teachers they have qualified but no longer employ. These former teachers are a distinct policy population, yet the figures describing them are rarely measurements, and the rules pricing their return were mostly written for other purposes. This policy paper examines how education systems have sought to bring former teachers back, and what verifiably happened. It is structured around three questions: who former teachers are, what they gained by leaving, and what programmes and regulation have delivered. Drawing on programme evaluations, audit reports, legislation and administrative statistics from some twenty education systems, it identifies the pension, salary and certification rules that price a return, and the offers of hours rather than posts that former teachers accept. It concludes that re-entry is a modest but real margin of teacher supply, to be priced, counted and judged, and considers how policy makers can manage a channel they already depend on.</w:t>
      </w:r>
    </w:p>
    <w:p>
      <w:pPr>
        <w:pStyle w:val="Heading1"/>
        <w:spacing w:before="300"/>
      </w:pPr>
      <w:r>
        <w:t xml:space="preserve">Résumé</w:t>
      </w:r>
    </w:p>
    <w:p>
      <w:pPr>
        <w:spacing w:after="160" w:line="264" w:lineRule="auto"/>
        <w:jc w:val="both"/>
      </w:pPr>
      <w:r>
        <w:t xml:space="preserve">De nombreux systèmes éducatifs, sous l'effet des difficultés de recrutement et de l'évolution des parcours professionnels, se tournent à nouveau vers les enseignants qu'ils ont formés mais qu'ils n'emploient plus. Ces anciens enseignants constituent une population à part entière pour l'action publique ; pourtant, les chiffres qui la décrivent sont rarement des mesures, et les règles qui fixent le prix de leur retour ont, pour la plupart, été écrites à d'autres fins. Ce document d'orientation examine comment les systèmes éducatifs ont cherché à faire revenir les anciens enseignants, et ce qui s'est effectivement produit. Il s'articule autour de trois questions : qui sont les anciens enseignants, ce qu'ils ont gagné en partant, et ce que les programmes et la réglementation ont produit. À partir d'évaluations de programmes, de rapports d'audit, de textes législatifs et de statistiques administratives couvrant une vingtaine de systèmes éducatifs, il met en évidence les règles de pension, de rémunération et de certification qui fixent le prix du retour, ainsi que les offres d'heures plutôt que de postes que les anciens enseignants acceptent. Il conclut que le retour en poste constitue une marge modeste mais réelle de l'offre d'enseignants, à tarifer, compter et évaluer, et examine comment les décideurs peuvent piloter un canal dont ils dépendent déjà.</w:t>
      </w:r>
    </w:p>
    <w:p>
      <w:pPr>
        <w:pageBreakBefore/>
        <w:spacing w:after="240"/>
      </w:pPr>
      <w:r>
        <w:rPr>
          <w:b/>
          <w:bCs/>
          <w:color w:val="4E81BD"/>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before="360"/>
      </w:pPr>
      <w:r>
        <w:rPr>
          <w:b/>
          <w:bCs/>
          <w:color w:val="4E81BD"/>
          <w:sz w:val="21"/>
          <w:szCs w:val="21"/>
        </w:rPr>
        <w:t xml:space="preserve">TABLES</w:t>
      </w:r>
    </w:p>
    <w:p>
      <w:pPr>
        <w:spacing w:after="60"/>
      </w:pPr>
      <w:r>
        <w:rPr>
          <w:sz w:val="21"/>
          <w:szCs w:val="21"/>
        </w:rPr>
        <w:t xml:space="preserve">Table 1.1. Headline reserve figures and the deductions their own registers can compute</w:t>
      </w:r>
    </w:p>
    <w:p>
      <w:pPr>
        <w:spacing w:after="60"/>
      </w:pPr>
      <w:r>
        <w:rPr>
          <w:sz w:val="21"/>
          <w:szCs w:val="21"/>
        </w:rPr>
        <w:t xml:space="preserve">Table 2.1. Share of resigning teachers with less than five years of service, 2022/23</w:t>
      </w:r>
    </w:p>
    <w:p>
      <w:pPr>
        <w:spacing w:after="60"/>
      </w:pPr>
      <w:r>
        <w:rPr>
          <w:sz w:val="21"/>
          <w:szCs w:val="21"/>
        </w:rPr>
        <w:t xml:space="preserve">Table 3.1. What each system counted: published take-up of re-entry instruments, with the outcome definition, intensity and denominator of every count</w:t>
      </w:r>
    </w:p>
    <w:p>
      <w:pPr>
        <w:spacing w:after="60"/>
      </w:pPr>
      <w:r>
        <w:rPr>
          <w:sz w:val="21"/>
          <w:szCs w:val="21"/>
        </w:rPr>
        <w:t xml:space="preserve">Table 3.2. The four regulatory dials that price a return, by system</w:t>
      </w:r>
    </w:p>
    <w:p>
      <w:pPr>
        <w:spacing w:after="60"/>
      </w:pPr>
      <w:r>
        <w:rPr>
          <w:sz w:val="21"/>
          <w:szCs w:val="21"/>
        </w:rPr>
        <w:t xml:space="preserve">Table 4.1. Who counts re-entry: the counting body behind each measure's published record</w:t>
      </w:r>
    </w:p>
    <w:p>
      <w:pPr>
        <w:spacing w:after="120" w:before="240"/>
      </w:pPr>
      <w:r>
        <w:rPr>
          <w:b/>
          <w:bCs/>
          <w:color w:val="4E81BD"/>
          <w:sz w:val="21"/>
          <w:szCs w:val="21"/>
        </w:rPr>
        <w:t xml:space="preserve">BOXES</w:t>
      </w:r>
    </w:p>
    <w:p>
      <w:pPr>
        <w:spacing w:after="60"/>
      </w:pPr>
      <w:r>
        <w:rPr>
          <w:sz w:val="21"/>
          <w:szCs w:val="21"/>
        </w:rPr>
        <w:t xml:space="preserve">Box 3.1. Removing the pension-salary trade-off entirely: North Carolina's return-to-work window, 1999-2009</w:t>
      </w:r>
    </w:p>
    <w:p>
      <w:pPr>
        <w:spacing w:after="60"/>
      </w:pPr>
      <w:r>
        <w:rPr>
          <w:sz w:val="21"/>
          <w:szCs w:val="21"/>
        </w:rPr>
        <w:t xml:space="preserve">Box 3.2. Writing the audit into the statute: Georgia's sunset, audit and renewal loop</w:t>
      </w:r>
    </w:p>
    <w:p>
      <w:pPr>
        <w:pageBreakBefore/>
        <w:spacing w:after="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8"/>
              <w:left w:val="single" w:color="4E81BD" w:sz="8"/>
              <w:bottom w:val="single" w:color="4E81BD" w:sz="8"/>
              <w:right w:val="single" w:color="4E81BD" w:sz="8"/>
            </w:tcBorders>
            <w:shd w:fill="EEECE1" w:val="clear"/>
            <w:tcMar>
              <w:top w:type="dxa" w:w="200"/>
              <w:left w:type="dxa" w:w="220"/>
              <w:bottom w:type="dxa" w:w="160"/>
              <w:right w:type="dxa" w:w="220"/>
            </w:tcMar>
          </w:tcPr>
          <w:p>
            <w:pPr>
              <w:spacing w:after="200"/>
            </w:pPr>
            <w:r>
              <w:rPr>
                <w:b/>
                <w:bCs/>
                <w:color w:val="4E81BD"/>
                <w:sz w:val="28"/>
                <w:szCs w:val="28"/>
              </w:rPr>
              <w:t xml:space="preserve">Key Take-Aways</w:t>
            </w:r>
          </w:p>
          <w:p>
            <w:pPr>
              <w:pStyle w:val="ListParagraph"/>
              <w:numPr>
                <w:ilvl w:val="0"/>
                <w:numId w:val="2"/>
              </w:numPr>
              <w:spacing w:after="120" w:line="252" w:lineRule="auto"/>
              <w:jc w:val="both"/>
            </w:pPr>
            <w:r>
              <w:rPr>
                <w:b/>
                <w:bCs/>
                <w:sz w:val="22"/>
                <w:szCs w:val="22"/>
              </w:rPr>
              <w:t xml:space="preserve">Former teachers are a population a register can already count.</w:t>
            </w:r>
            <w:r>
              <w:rPr>
                <w:sz w:val="22"/>
                <w:szCs w:val="22"/>
              </w:rPr>
              <w:t xml:space="preserve"> The headline reserve figures in circulation describe the rules of the registers that produced them; a series netted for service history, licence status, recency of practice, subject, age and region is an honest upper bound that any ministry examined in this paper could publish within the year.</w:t>
            </w:r>
          </w:p>
          <w:p>
            <w:pPr>
              <w:pStyle w:val="ListParagraph"/>
              <w:numPr>
                <w:ilvl w:val="0"/>
                <w:numId w:val="2"/>
              </w:numPr>
              <w:spacing w:after="120" w:line="252" w:lineRule="auto"/>
              <w:jc w:val="both"/>
            </w:pPr>
            <w:r>
              <w:rPr>
                <w:b/>
                <w:bCs/>
                <w:sz w:val="22"/>
                <w:szCs w:val="22"/>
              </w:rPr>
              <w:t xml:space="preserve">The price of return is set by the state, and mostly outside education ministries.</w:t>
            </w:r>
            <w:r>
              <w:rPr>
                <w:sz w:val="22"/>
                <w:szCs w:val="22"/>
              </w:rPr>
              <w:t xml:space="preserve"> The salary step a returner lands on, and whether a pension and a salary can be drawn together, are fixed in pension and civil-service law; totalling and publishing that price is the cheapest first move an education ministry can make.</w:t>
            </w:r>
          </w:p>
          <w:p>
            <w:pPr>
              <w:pStyle w:val="ListParagraph"/>
              <w:numPr>
                <w:ilvl w:val="0"/>
                <w:numId w:val="2"/>
              </w:numPr>
              <w:spacing w:after="120" w:line="252" w:lineRule="auto"/>
              <w:jc w:val="both"/>
            </w:pPr>
            <w:r>
              <w:rPr>
                <w:b/>
                <w:bCs/>
                <w:sz w:val="22"/>
                <w:szCs w:val="22"/>
              </w:rPr>
              <w:t xml:space="preserve">Offers of hours, not posts, match the trade leavers made.</w:t>
            </w:r>
            <w:r>
              <w:rPr>
                <w:sz w:val="22"/>
                <w:szCs w:val="22"/>
              </w:rPr>
              <w:t xml:space="preserve"> Former teachers bought shorter hours and more control over their time at a cost in earnings they accepted, so the offers that recruit them in numbers are denominated in days and part-time contracts attached to identified vacancies.</w:t>
            </w:r>
          </w:p>
          <w:p>
            <w:pPr>
              <w:pStyle w:val="ListParagraph"/>
              <w:numPr>
                <w:ilvl w:val="0"/>
                <w:numId w:val="2"/>
              </w:numPr>
              <w:spacing w:after="120" w:line="252" w:lineRule="auto"/>
              <w:jc w:val="both"/>
            </w:pPr>
            <w:r>
              <w:rPr>
                <w:b/>
                <w:bCs/>
                <w:sz w:val="22"/>
                <w:szCs w:val="22"/>
              </w:rPr>
              <w:t xml:space="preserve">What former teachers can be asked to do is a designed role at a specified dose.</w:t>
            </w:r>
            <w:r>
              <w:rPr>
                <w:sz w:val="22"/>
                <w:szCs w:val="22"/>
              </w:rPr>
              <w:t xml:space="preserve"> The deployment that specified its role and dose is also the one that was properly measured; the classroom value of returning craft remains an open question that linked administrative data and dosed trials could settle.</w:t>
            </w:r>
          </w:p>
          <w:p>
            <w:pPr>
              <w:pStyle w:val="ListParagraph"/>
              <w:numPr>
                <w:ilvl w:val="0"/>
                <w:numId w:val="2"/>
              </w:numPr>
              <w:spacing w:after="120" w:line="252" w:lineRule="auto"/>
              <w:jc w:val="both"/>
            </w:pPr>
            <w:r>
              <w:rPr>
                <w:b/>
                <w:bCs/>
                <w:sz w:val="22"/>
                <w:szCs w:val="22"/>
              </w:rPr>
              <w:t xml:space="preserve">Programmes deliver destination and survival; institutions deliver volume.</w:t>
            </w:r>
            <w:r>
              <w:rPr>
                <w:sz w:val="22"/>
                <w:szCs w:val="22"/>
              </w:rPr>
              <w:t xml:space="preserve"> Branded initiatives add a small margin to a return channel that already runs through ordinary hiring, and the record's large-scale returns followed changes to pension and staffing institutions rather than to messaging.</w:t>
            </w:r>
          </w:p>
          <w:p>
            <w:pPr>
              <w:pStyle w:val="ListParagraph"/>
              <w:numPr>
                <w:ilvl w:val="0"/>
                <w:numId w:val="2"/>
              </w:numPr>
              <w:spacing w:after="120" w:line="252" w:lineRule="auto"/>
              <w:jc w:val="both"/>
            </w:pPr>
            <w:r>
              <w:rPr>
                <w:b/>
                <w:bCs/>
                <w:sz w:val="22"/>
                <w:szCs w:val="22"/>
              </w:rPr>
              <w:t xml:space="preserve">Evidence in this field is created at the drafting stage.</w:t>
            </w:r>
            <w:r>
              <w:rPr>
                <w:sz w:val="22"/>
                <w:szCs w:val="22"/>
              </w:rPr>
              <w:t xml:space="preserve"> Wherever a re-entry measure produces recurring numbers, a body outside the sponsoring ministry held a standing duty to count; writing that duty into the instrument, with a sunset timed to the decision it serves, is what lets the next review know more than this one.</w:t>
            </w:r>
          </w:p>
        </w:tc>
      </w:tr>
    </w:tbl>
    <w:p>
      <w:pPr>
        <w:pStyle w:val="Heading1"/>
        <w:pageBreakBefore/>
      </w:pPr>
      <w:r>
        <w:t xml:space="preserve">1. Introduction: a population and the count that measures it</w:t>
      </w:r>
    </w:p>
    <w:p>
      <w:pPr>
        <w:spacing w:after="160" w:line="264" w:lineRule="auto"/>
        <w:jc w:val="both"/>
      </w:pPr>
      <w:r>
        <w:t xml:space="preserve">Every education system has qualified more people to teach than it currently employs. The difference between the two is not an abstraction but a set of named individuals, held on registers that ministries already maintain, with a qualification date, a service history and, in most systems, a certificate status attached. As recruitment has grown more difficult across OECD countries, these registers have been read with new interest, and their headline totals circulate in public debate as estimates of a reserve awaiting recall. This paper opens with a practical question. What would it take to turn such a register into a count a ministry can act on?</w:t>
      </w:r>
    </w:p>
    <w:p>
      <w:pPr>
        <w:spacing w:after="160" w:line="264" w:lineRule="auto"/>
        <w:jc w:val="both"/>
      </w:pPr>
      <w:r>
        <w:t xml:space="preserve">The answer begins from the population rather than from the number. The people on those registers are a distinct policy object. They hold a licence the state issued, they accumulated their experience in the state's own classrooms, and the barriers that now separate them from a school were mostly written by the state itself, in pension law, certification rules and salary scales. Former teachers therefore merit analysis in their own right, for who they are and what they carry, and not chiefly for what they might contribute to closing staffing gaps; re-entry is a modest margin of any response to recruitment pressure, and this paper says so at the outset rather than discovering it at the end.</w:t>
      </w:r>
    </w:p>
    <w:p>
      <w:pPr>
        <w:pStyle w:val="Heading2"/>
      </w:pPr>
      <w:r>
        <w:t xml:space="preserve">1.1. A population defined by what it carries</w:t>
      </w:r>
    </w:p>
    <w:p>
      <w:pPr>
        <w:spacing w:after="160" w:line="264" w:lineRule="auto"/>
        <w:jc w:val="both"/>
      </w:pPr>
      <w:r>
        <w:rPr>
          <w:b/>
          <w:bCs/>
        </w:rPr>
        <w:t xml:space="preserve">Former teachers arrive already licensed or relicensable, immediately deployable without consuming an initial training place, and fluent in how schools actually run.</w:t>
      </w:r>
    </w:p>
    <w:p>
      <w:pPr>
        <w:spacing w:after="160" w:line="264" w:lineRule="auto"/>
        <w:jc w:val="both"/>
      </w:pPr>
      <w:r>
        <w:t xml:space="preserve">That claim deserves careful statement, because it is easy to overclaim. Much of what former teachers would carry back overlaps with what systems already prize in their veteran staff, knowledge of the curriculum as it is actually taught and the standing to support colleagues newer than themselves. Yet what the record establishes is deployability and institutional fluency; the classroom value of accumulated craft remains an open question, since no study in this evidence base links a returner to the outcomes of the classes they teach or the colleagues they work beside. The paper treats that as a gap in what has been measured rather than as a verdict on what returners are worth, and it returns in the final chapter to the linkage that would settle it.</w:t>
      </w:r>
    </w:p>
    <w:p>
      <w:pPr>
        <w:spacing w:after="160" w:line="264" w:lineRule="auto"/>
        <w:jc w:val="both"/>
      </w:pPr>
      <w:r>
        <w:t xml:space="preserve">Return is meanwhile a routine channel wherever anyone counts it, supplying a third or more of new entrants in a given year in the systems that measure their inflows (Department for Education, 2023; Sutcher, Darling-Hammond and Carver-Thomas, 2016); Chapter 3 treats this unprogrammed flow as the baseline against which any programme must be judged. Governments are already running a re-entry system; the question is whether they are running it deliberately.</w:t>
      </w:r>
    </w:p>
    <w:p>
      <w:pPr>
        <w:spacing w:after="160" w:line="264" w:lineRule="auto"/>
        <w:jc w:val="both"/>
      </w:pPr>
      <w:r>
        <w:t xml:space="preserve">In descriptive terms the population contains three groups: retirees, whose exit was largely actuarial; people who stepped out of paid work altogether, most often into care or family responsibilities; and job switchers who took their qualification into another sector. The linked records that exist suggest the third group is smaller than commonly assumed. In the United States, for example, more than half of leavers remain in education broadly defined, about a fifth exit the labour force entirely, and fewer than a quarter take jobs outside education (Brummet et al., 2024). Earlier cohort evidence points the same way, with most exiting women leaving the labour force rather than changing employer (Stinebrickner, 2002). Destination describes where former teachers went, and little more.</w:t>
      </w:r>
    </w:p>
    <w:p>
      <w:pPr>
        <w:spacing w:after="160" w:line="264" w:lineRule="auto"/>
        <w:jc w:val="both"/>
      </w:pPr>
      <w:r>
        <w:t xml:space="preserve">Two other distinctions carry the analysis, and both are visible in the registers. The first is whether a person ever served. Qualified people who never entered a classroom have no craft, no curriculum experience and no mentoring capacity to bring back, and under the premise of this paper they are not members of the population, whatever they represent for a supply model. The second is where a person stands relative to pensionable age, because that boundary decides which body of law prices their return. For those past it, pension and service-crediting rules set the offer; for those before it, salary scales and certification rules do.</w:t>
      </w:r>
    </w:p>
    <w:p>
      <w:pPr>
        <w:pStyle w:val="Heading2"/>
      </w:pPr>
      <w:r>
        <w:t xml:space="preserve">1.2. What the headline figures measure</w:t>
      </w:r>
    </w:p>
    <w:p>
      <w:pPr>
        <w:spacing w:after="160" w:line="264" w:lineRule="auto"/>
        <w:jc w:val="both"/>
      </w:pPr>
      <w:r>
        <w:rPr>
          <w:b/>
          <w:bCs/>
        </w:rPr>
        <w:t xml:space="preserve">Published reserve figures measure the rule of the register that produced them, and the deductions separating a register rule from a population all run in the same direction.</w:t>
      </w:r>
    </w:p>
    <w:p>
      <w:pPr>
        <w:spacing w:after="160" w:line="264" w:lineRule="auto"/>
        <w:jc w:val="both"/>
      </w:pPr>
      <w:r>
        <w:t xml:space="preserve">The systems that have published their own internals show what each rule does (Table 1.1). In England, for example, nearly a third of the headline pool of qualified teachers outside state service has never been in service at all, a group the department already holds as a separate series (Worth, 2023, citing DfE), so a substantial share of the quoted number has nothing to return to. A register that links certificates to employment shows the same pattern from the inside. In Michigan, seven in ten of the certified non-teachers had not taught in a public school at any point in the previous five years, and close to half held expired certificates, against a small minority of serving teachers (Lindsay, Gnedko-Berry and Wan, 2021). Neither figure is an error; each is an accurate count of whatever its register rule defines.</w:t>
      </w:r>
    </w:p>
    <w:p>
      <w:pPr>
        <w:spacing w:after="160" w:line="264" w:lineRule="auto"/>
        <w:jc w:val="both"/>
      </w:pPr>
      <w:r>
        <w:t xml:space="preserve">A single system can produce two reserves in the same year once two rules are applied. In the Netherlands, a count restricted to people qualified since the turn of the century put the reserve at just over 62 000 (Somers, Groot and van Merode, 2024b). A series counting every qualification holder at least two years out of the sector, retirees excluded, put it near 98 000 (DUO, 2026). The gap between the two figures is the gap between the two rules, since the first truncates the qualification cohorts it counts and the second does not. Even a single rule, moreover, reads out shares of the qualified stock so different between primary and secondary education (Table 1.1) that no one percentage describes a national reserve, which is a further reason to publish the series by sector rather than as a headline.</w:t>
      </w:r>
    </w:p>
    <w:p>
      <w:pPr>
        <w:spacing w:after="160" w:line="264" w:lineRule="auto"/>
        <w:jc w:val="both"/>
      </w:pPr>
      <w:r>
        <w:t xml:space="preserve">In one system the ambiguity was even carried into the legislation designed to reverse it. The Dutch returner subsidy defined its target as a teacher who had interrupted, or had not begun, a career in primary education (Ministerie van OCW, 2017), so the instrument's own legal definition of a returner covered people with nothing to return from. A supply planner may reasonably object that the never served are convertible people and belong in a count of potential recruits. They are, and they do, for a supply model; for a paper about what former teachers carry back, they sit outside the population, and the two series should at the very least be published apart.</w:t>
      </w:r>
    </w:p>
    <w:p>
      <w:pPr>
        <w:keepNext/>
        <w:spacing w:after="120" w:before="200"/>
      </w:pPr>
      <w:r>
        <w:rPr>
          <w:b/>
          <w:bCs/>
          <w:color w:val="4E81BD"/>
          <w:sz w:val="23"/>
          <w:szCs w:val="23"/>
        </w:rPr>
        <w:t xml:space="preserve">Table 1.1. Headline reserve figures and the deductions their own registers can compute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69"/>
        <w:gridCol w:w="1710"/>
        <w:gridCol w:w="2186"/>
        <w:gridCol w:w="2097"/>
        <w:gridCol w:w="1510"/>
      </w:tblGrid>
      <w:tr>
        <w:trPr>
          <w:tblHeader/>
        </w:trPr>
        <w:tc>
          <w:tcPr>
            <w:tcW w:type="dxa" w:w="1569"/>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Register (system)</w:t>
            </w:r>
          </w:p>
        </w:tc>
        <w:tc>
          <w:tcPr>
            <w:tcW w:type="dxa" w:w="1710"/>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Headline figure as published</w:t>
            </w:r>
          </w:p>
        </w:tc>
        <w:tc>
          <w:tcPr>
            <w:tcW w:type="dxa" w:w="2186"/>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Rule that produced it</w:t>
            </w:r>
          </w:p>
        </w:tc>
        <w:tc>
          <w:tcPr>
            <w:tcW w:type="dxa" w:w="2097"/>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Deductions computable in the same register</w:t>
            </w:r>
          </w:p>
        </w:tc>
        <w:tc>
          <w:tcPr>
            <w:tcW w:type="dxa" w:w="1510"/>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Netted figure</w:t>
            </w:r>
          </w:p>
        </w:tc>
      </w:tr>
      <w:tr>
        <w:trPr>
          <w:tblHeader w:val="false"/>
        </w:trPr>
        <w:tc>
          <w:tcPr>
            <w:tcW w:type="dxa" w:w="15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Database of Qualified Teachers and pension records (England)</w:t>
            </w:r>
          </w:p>
        </w:tc>
        <w:tc>
          <w:tcPr>
            <w:tcW w:type="dxa" w:w="171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~366 000 with qualified teacher status not in state service, working age (2018)</w:t>
            </w:r>
          </w:p>
        </w:tc>
        <w:tc>
          <w:tcPr>
            <w:tcW w:type="dxa" w:w="21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All qualified-teacher-status holders of working age not currently in service</w:t>
            </w:r>
          </w:p>
        </w:tc>
        <w:tc>
          <w:tcPr>
            <w:tcW w:type="dxa" w:w="20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106 000 never in service (already held as a separate series); last-taught date; age</w:t>
            </w:r>
          </w:p>
        </w:tc>
        <w:tc>
          <w:tcPr>
            <w:tcW w:type="dxa" w:w="151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260 000 previously served; further deductions not computed by the publisher</w:t>
            </w:r>
          </w:p>
        </w:tc>
      </w:tr>
      <w:tr>
        <w:trPr>
          <w:tblHeader w:val="false"/>
        </w:trPr>
        <w:tc>
          <w:tcPr>
            <w:tcW w:type="dxa" w:w="15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Certification files linked to employment records (Michigan, United States)</w:t>
            </w:r>
          </w:p>
        </w:tc>
        <w:tc>
          <w:tcPr>
            <w:tcW w:type="dxa" w:w="171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61 252 certified teachers not teaching in a public school (2017/18)</w:t>
            </w:r>
          </w:p>
        </w:tc>
        <w:tc>
          <w:tcPr>
            <w:tcW w:type="dxa" w:w="21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All holders of a teaching certificate not employed in a public school</w:t>
            </w:r>
          </w:p>
        </w:tc>
        <w:tc>
          <w:tcPr>
            <w:tcW w:type="dxa" w:w="20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70% with no public-school teaching in the previous five years; 44–49% expired certificates (6% among serving teachers); age; endorsement area</w:t>
            </w:r>
          </w:p>
        </w:tc>
        <w:tc>
          <w:tcPr>
            <w:tcW w:type="dxa" w:w="151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 computed by the publisher</w:t>
            </w:r>
          </w:p>
        </w:tc>
      </w:tr>
      <w:tr>
        <w:trPr>
          <w:tblHeader w:val="false"/>
        </w:trPr>
        <w:tc>
          <w:tcPr>
            <w:tcW w:type="dxa" w:w="15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CBS qualification registers (Netherlands)</w:t>
            </w:r>
          </w:p>
        </w:tc>
        <w:tc>
          <w:tcPr>
            <w:tcW w:type="dxa" w:w="171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just over 62 000 (published 2024)</w:t>
            </w:r>
          </w:p>
        </w:tc>
        <w:tc>
          <w:tcPr>
            <w:tcW w:type="dxa" w:w="21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Qualified 2000–2021, a cohort truncation the authors state makes the figure an undercount of the full qualified stock; working in another sector, unemployed or in study</w:t>
            </w:r>
          </w:p>
        </w:tc>
        <w:tc>
          <w:tcPr>
            <w:tcW w:type="dxa" w:w="20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Sector; age</w:t>
            </w:r>
          </w:p>
        </w:tc>
        <w:tc>
          <w:tcPr>
            <w:tcW w:type="dxa" w:w="151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 computed by the publisher</w:t>
            </w:r>
          </w:p>
        </w:tc>
      </w:tr>
      <w:tr>
        <w:trPr>
          <w:tblHeader w:val="false"/>
        </w:trPr>
        <w:tc>
          <w:tcPr>
            <w:tcW w:type="dxa" w:w="156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DUO register series (Netherlands)</w:t>
            </w:r>
          </w:p>
        </w:tc>
        <w:tc>
          <w:tcPr>
            <w:tcW w:type="dxa" w:w="171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34 000 primary + 64 000 secondary/vocational (1 October 2024)</w:t>
            </w:r>
          </w:p>
        </w:tc>
        <w:tc>
          <w:tcPr>
            <w:tcW w:type="dxa" w:w="21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Qualified, at least two years out of the sector; retirees, agency workers and the incapacitated excluded</w:t>
            </w:r>
          </w:p>
        </w:tc>
        <w:tc>
          <w:tcPr>
            <w:tcW w:type="dxa" w:w="20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Principal deductions already applied by the rule; equal to 22% (primary) and 43% (secondary/vocational) of the qualified stock</w:t>
            </w:r>
          </w:p>
        </w:tc>
        <w:tc>
          <w:tcPr>
            <w:tcW w:type="dxa" w:w="151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Partially netted by construction; published as an annual series</w:t>
            </w:r>
          </w:p>
        </w:tc>
      </w:tr>
    </w:tbl>
    <w:p>
      <w:pPr>
        <w:spacing w:after="120"/>
      </w:pPr>
    </w:p>
    <w:p>
      <w:pPr>
        <w:spacing w:after="60"/>
        <w:jc w:val="left"/>
      </w:pPr>
      <w:r>
        <w:rPr>
          <w:sz w:val="18"/>
          <w:szCs w:val="18"/>
        </w:rPr>
        <w:t xml:space="preserve">Note: Every deduction listed moves the count downward, so a fully netted column would be an honest upper bound on the population of former teachers, while the headline column records the rule of the register that produced it. The cohort truncation in the CBS rule works in the opposite direction and is therefore recorded with the rule, not among the deductions. Figures are as published by each authority and are not comparable across systems.</w:t>
      </w:r>
    </w:p>
    <w:p>
      <w:pPr>
        <w:spacing w:after="60"/>
        <w:jc w:val="left"/>
      </w:pPr>
      <w:r>
        <w:rPr>
          <w:sz w:val="18"/>
          <w:szCs w:val="18"/>
        </w:rPr>
        <w:t xml:space="preserve">Source: Worth (2023, citing DfE); Lindsay, Gnedko-Berry and Wan (2021); Somers, Groot and van Merode (2024b); DUO (2026).</w:t>
      </w:r>
    </w:p>
    <w:p>
      <w:pPr>
        <w:pStyle w:val="Heading2"/>
      </w:pPr>
      <w:r>
        <w:t xml:space="preserve">1.3. The count a ministry can publish</w:t>
      </w:r>
    </w:p>
    <w:p>
      <w:pPr>
        <w:spacing w:after="160" w:line="264" w:lineRule="auto"/>
        <w:jc w:val="both"/>
      </w:pPr>
      <w:r>
        <w:rPr>
          <w:b/>
          <w:bCs/>
        </w:rPr>
        <w:t xml:space="preserve">A netted reserve series is a definitional and administrative product, and every register examined in this paper already holds the data to publish one within the year.</w:t>
      </w:r>
    </w:p>
    <w:p>
      <w:pPr>
        <w:spacing w:after="160" w:line="264" w:lineRule="auto"/>
        <w:jc w:val="both"/>
      </w:pPr>
      <w:r>
        <w:t xml:space="preserve">The specification is short enough to state in full. A register that records service history can separate the served from the never served; one that records certification can distinguish valid from restorable from lapsed; last-taught dates separate recent leavers from those a decade or more away; and subject and phase can be set against vacancies, age against pensionable age, residence against region. Each of the six cuts moves the count downward and none moves it up, which is why the direction of the error in headline figures is known even where its magnitude is not. No system examined here publishes the resulting series, and any of them could.</w:t>
      </w:r>
    </w:p>
    <w:p>
      <w:pPr>
        <w:spacing w:after="160" w:line="264" w:lineRule="auto"/>
        <w:jc w:val="both"/>
      </w:pPr>
      <w:r>
        <w:t xml:space="preserve">A ministry that has been quoting a reserve is, in other words, a definition and a query away from quoting a measurement.</w:t>
      </w:r>
    </w:p>
    <w:p>
      <w:pPr>
        <w:spacing w:after="160" w:line="264" w:lineRule="auto"/>
        <w:jc w:val="both"/>
      </w:pPr>
      <w:r>
        <w:t xml:space="preserve">An upper bound is all the netted series would be, and the paper claims nothing more for it. Willingness, geography, subject fit and the price of return all bind after the register does, so even a netted count measures the population rather than forecasting a supply; the case for it is simply that a defensible upper bound beats an indefensible one. The OECD has already named the underlying gap, observing that many education systems may lack accurate data on the number and characteristics of potential returnees (OECD, 2024). The specification above is this paper's answer to that observation.</w:t>
      </w:r>
    </w:p>
    <w:p>
      <w:pPr>
        <w:spacing w:after="160" w:line="264" w:lineRule="auto"/>
        <w:jc w:val="both"/>
      </w:pPr>
      <w:r>
        <w:t xml:space="preserve">The same registers can also say how the population left, and that fact selects the instrument. Across OECD countries with data, about half (51%) of the fully qualified teachers who left the profession in the most recent year measured resigned rather than retired. Resignations exceed 80% of departures in some systems, notably Denmark, England and Estonia, while retirements account for most departures in others, including France, Greece, Ireland and Israel (OECD, 2025). A system whose leavers resigned mid-career faces a working-age population priced by salary scales and working conditions; a system whose leavers retired faces a population priced by pension law. The exit split is therefore the first diagnostic to run, before any programme is designed.</w:t>
      </w:r>
    </w:p>
    <w:p>
      <w:pPr>
        <w:pStyle w:val="Heading2"/>
      </w:pPr>
      <w:r>
        <w:t xml:space="preserve">1.4. What this paper does</w:t>
      </w:r>
    </w:p>
    <w:p>
      <w:pPr>
        <w:spacing w:after="160" w:line="264" w:lineRule="auto"/>
        <w:jc w:val="both"/>
      </w:pPr>
      <w:r>
        <w:rPr>
          <w:b/>
          <w:bCs/>
        </w:rPr>
        <w:t xml:space="preserve">This paper treats re-entry policy as a standing administrative function of government, and reads it from the record governments themselves have produced.</w:t>
      </w:r>
    </w:p>
    <w:p>
      <w:pPr>
        <w:spacing w:after="160" w:line="264" w:lineRule="auto"/>
        <w:jc w:val="both"/>
      </w:pPr>
      <w:r>
        <w:t xml:space="preserve">The strand is an established one. Former teachers have been treated as a potentially important source of recruits in OECD teacher policy for two decades (OECD, 2005), and supporting the re-entry of teachers who left the profession appears among the supply levers in the Organisation's current policy stocktake (OECD, 2024).</w:t>
      </w:r>
    </w:p>
    <w:p>
      <w:pPr>
        <w:spacing w:after="160" w:line="264" w:lineRule="auto"/>
        <w:jc w:val="both"/>
      </w:pPr>
      <w:r>
        <w:t xml:space="preserve">What this paper adds is a compilation with an argument. Drawing on programme evaluations, audit findings, legislation and administrative statistics from some twenty education systems, it asks what governments have offered former teachers, what price their own rules attached to return, and what verifiably happened.</w:t>
      </w:r>
    </w:p>
    <w:p>
      <w:pPr>
        <w:spacing w:after="160" w:line="264" w:lineRule="auto"/>
        <w:jc w:val="both"/>
      </w:pPr>
      <w:r>
        <w:t xml:space="preserve">Chapter 2 asks what the people who left actually bought when they went, and what former teachers can be asked to do on their return. Chapter 3, the centre of the paper, examines the international experience with re-entry programmes and with the pension, licensure and re-employment rules that govern return. Chapter 4 converts the record into lessons and recommendations, ending with the two measurements on which better policy most depends, a reserve netted to a stated specification and a returner linked to the classes and colleagues they work with. Throughout, cases appear as evidence for propositions, and the argument is meant to be legible without any single one of them. The examples illustrate types of instrument rather than representing the national systems they are drawn from, and nothing in what follows categorises countries or systems.</w:t>
      </w:r>
    </w:p>
    <w:p>
      <w:pPr>
        <w:pStyle w:val="Heading1"/>
        <w:pageBreakBefore/>
      </w:pPr>
      <w:r>
        <w:t xml:space="preserve">2. What former teachers bought, and what they can be asked to do</w:t>
      </w:r>
    </w:p>
    <w:p>
      <w:pPr>
        <w:spacing w:after="160" w:line="264" w:lineRule="auto"/>
        <w:jc w:val="both"/>
      </w:pPr>
      <w:r>
        <w:t xml:space="preserve">Chapter 1 defined the population and the count that measures it. This chapter turns to the people themselves and asks what they actually got when they left, and at what price they got it. The question is a commercial one. Every re-entry offer competes with an alternative the former teacher has already chosen, so a ministry drafting such an offer is bidding against a purchase, and it needs to know what the purchase was.</w:t>
      </w:r>
    </w:p>
    <w:p>
      <w:pPr>
        <w:spacing w:after="160" w:line="264" w:lineRule="auto"/>
        <w:jc w:val="both"/>
      </w:pPr>
      <w:r>
        <w:t xml:space="preserve">The chapter makes two arguments. The first is that leavers, in the main, bought time, in the form of fewer hours and more control over them, at a cost in earnings they were willing to bear. That is why the offers that recruit former teachers in any numbers are offers of days rather than posts. The second is that a returner's contribution to a school is a designed role at a specified dose, and that the trial evidence on such roles reflects how tightly each role was drawn before it reflects anything about the people who filled it. Both arguments are read from behaviour rather than from testimony wherever the record allows it.</w:t>
      </w:r>
    </w:p>
    <w:p>
      <w:pPr>
        <w:pStyle w:val="Heading2"/>
      </w:pPr>
      <w:r>
        <w:t xml:space="preserve">2.1. What leaving bought</w:t>
      </w:r>
    </w:p>
    <w:p>
      <w:pPr>
        <w:spacing w:after="160" w:line="264" w:lineRule="auto"/>
        <w:jc w:val="both"/>
      </w:pPr>
      <w:r>
        <w:rPr>
          <w:b/>
          <w:bCs/>
        </w:rPr>
        <w:t xml:space="preserve">Former teachers bought fewer hours and more control over their time when they left, at a cost in earnings they were prepared to accept.</w:t>
      </w:r>
    </w:p>
    <w:p>
      <w:pPr>
        <w:spacing w:after="160" w:line="264" w:lineRule="auto"/>
        <w:jc w:val="both"/>
      </w:pPr>
      <w:r>
        <w:t xml:space="preserve">The panel evidence that follows the same individuals across the exit shows the purchase directly. In Australia, where household data span two decades, those who left teaching report job satisfaction 0.13 standard deviations higher than stayers one year after exit and 0.19 higher after three (Cuervo and Vera-Toscano, 2025). Their weekly wages, meanwhile, run 6.2% and then 9.4% below the final year in post, and their hourly wages stay lower for a decade. Satisfaction that rises as earnings fall is the signature of a trade, not of a misfortune. On the evidence of their own subsequent behaviour, most leavers got what they paid for.</w:t>
      </w:r>
    </w:p>
    <w:p>
      <w:pPr>
        <w:spacing w:after="160" w:line="264" w:lineRule="auto"/>
        <w:jc w:val="both"/>
      </w:pPr>
      <w:r>
        <w:t xml:space="preserve">Where post-exit earnings can be observed elsewhere, the same terms recur. English leavers accept a wage cut of roughly a tenth against comparable stayers in exchange for shorter hours and higher job satisfaction (Worth, Bamford and Durbin, 2015), and very few American leavers move to jobs paying more than teaching did (Scafidi, Sjoquist and Stinebrickner, 2006). Linked administrative records in the United States find more than half of leavers still working in education broadly defined, with mean earnings remaining slightly below pre-exit levels years later (Brummet et al., 2024).</w:t>
      </w:r>
    </w:p>
    <w:p>
      <w:pPr>
        <w:spacing w:after="160" w:line="264" w:lineRule="auto"/>
        <w:jc w:val="both"/>
      </w:pPr>
      <w:r>
        <w:t xml:space="preserve">Stated preferences tell the same story from the other side. Dutch teachers outside the classroom rate several conditions of their current jobs more favourably than serving teachers rate theirs, and name lower work pressure, more control over working hours and more autonomy ahead of salary when asked what would bring them back (Somers et al., 2024a). In three quite different labour markets, then, the ledger of leaving shows time gained and money knowingly given up.</w:t>
      </w:r>
    </w:p>
    <w:p>
      <w:pPr>
        <w:spacing w:after="160" w:line="264" w:lineRule="auto"/>
        <w:jc w:val="both"/>
      </w:pPr>
      <w:r>
        <w:t xml:space="preserve">For part of the population the purchase was a stage of life rather than a better job. In the classic cohort evidence, around two thirds of exiting female teachers left the labour force entirely, and the presence of a newborn child predicted exit more strongly than pay did (Stinebrickner, 2002). That cohort is historical, and parental leave and female labour supply have changed since, but recent panel data still place more than a quarter of leavers outside the labour force a year after exit, before retirements are counted (Cuervo and Vera-Toscano, 2025). The price of this group's return moves with childcare, the school calendar and the availability of part-time posts, well before any salary scale is consulted.</w:t>
      </w:r>
    </w:p>
    <w:p>
      <w:pPr>
        <w:spacing w:after="160" w:line="264" w:lineRule="auto"/>
        <w:jc w:val="both"/>
      </w:pPr>
      <w:r>
        <w:t xml:space="preserve">One qualification matters too much for a footnote. The panel estimates above are computed on a sample that excludes people who left permanently and never returned, so they are strongest as evidence about temporary exit, about leavers who kept a foot in the door. The limitation is also an explanation, because the segment for whom exit was explicitly temporary turns out to be the segment that converts best when an offer arrives, as the evidence below confirms.</w:t>
      </w:r>
    </w:p>
    <w:p>
      <w:pPr>
        <w:spacing w:after="160" w:line="264" w:lineRule="auto"/>
        <w:jc w:val="both"/>
      </w:pPr>
      <w:r>
        <w:t xml:space="preserve">The population a re-entry offer addresses is therefore mostly employed, mostly still close to education, and mostly no richer than it was. What it holds that it did not hold before is time.</w:t>
      </w:r>
    </w:p>
    <w:p>
      <w:pPr>
        <w:pStyle w:val="Heading2"/>
      </w:pPr>
      <w:r>
        <w:t xml:space="preserve">2.2. What would reverse the trade?</w:t>
      </w:r>
    </w:p>
    <w:p>
      <w:pPr>
        <w:spacing w:after="160" w:line="264" w:lineRule="auto"/>
        <w:jc w:val="both"/>
      </w:pPr>
      <w:r>
        <w:rPr>
          <w:b/>
          <w:bCs/>
        </w:rPr>
        <w:t xml:space="preserve">Behaviour observed after exit points to conditions as the price of return; the one large survey that asked former teachers directly points to salary.</w:t>
      </w:r>
    </w:p>
    <w:p>
      <w:pPr>
        <w:spacing w:after="160" w:line="264" w:lineRule="auto"/>
        <w:jc w:val="both"/>
      </w:pPr>
      <w:r>
        <w:t xml:space="preserve">The two readings are reported here as a genuine split in the evidence, not a disagreement to be smoothed away. The survey arm has real weight. Among certificate-holders outside the classrooms of the one American state to survey them at scale, a third (33%) placed a higher salary among their three most important reasons for not teaching (Lindsay, Gnedko-Berry and Wan, 2021). A salary increase was also the incentive to return selected most often, ahead of pension, benefit and loan-forgiveness measures that were themselves financial. No revealed-preference study in this evidence base covers the population at comparable scale, so the arm cannot be discounted merely for pointing the other way.</w:t>
      </w:r>
    </w:p>
    <w:p>
      <w:pPr>
        <w:spacing w:after="160" w:line="264" w:lineRule="auto"/>
        <w:jc w:val="both"/>
      </w:pPr>
      <w:r>
        <w:t xml:space="preserve">Applying the same scepticism to both arms narrows the disagreement without dissolving it. The conditions-first reading rests on observed post-exit trajectories in three separate labour markets. The salary-first reading rests on a single survey with a response rate below one in three, which its own authors describe as not representative, answered from a menu of incentives dominated by financial items (Lindsay, Gnedko-Berry and Wan, 2021). Stated willingness is also cheap in every direction. In the one national registration survey that asks, over half of registered teachers not working in schools say they would consider returning under the right circumstances, while roughly one in twenty is actively looking (AITSL, 2025). A costless signal at unspecified terms is not an estimate of supply.</w:t>
      </w:r>
    </w:p>
    <w:p>
      <w:pPr>
        <w:spacing w:after="160" w:line="264" w:lineRule="auto"/>
        <w:jc w:val="both"/>
      </w:pPr>
      <w:r>
        <w:t xml:space="preserve">How people left also shapes what would bring them back, and the exit split introduced in Chapter 1 selects the relevant dial before any survey is fielded. Leavers whose exit was a life event return when circumstances change rather than when advertising improves, and many in the classic cohort eventually did return (Stinebrickner, 2002); mid-career resigners are priced by workload and control; retirees are priced by pension law, whatever their stated views on salary.</w:t>
      </w:r>
    </w:p>
    <w:p>
      <w:pPr>
        <w:spacing w:after="160" w:line="264" w:lineRule="auto"/>
        <w:jc w:val="both"/>
      </w:pPr>
      <w:r>
        <w:t xml:space="preserve">What the split settles is where a ministry should look first, not what it will find. Post-exit earnings trajectories are a register product, so which reading fits a given system is knowable from data the state already holds, and establishing it costs less than running a programme calibrated to a misread preference. A system whose leavers reveal a conditions-first exit buys little by offering money against that preference; a system whose former teachers state a price has at least been told which dial to test.</w:t>
      </w:r>
    </w:p>
    <w:p>
      <w:pPr>
        <w:spacing w:after="160" w:line="264" w:lineRule="auto"/>
        <w:jc w:val="both"/>
      </w:pPr>
      <w:r>
        <w:t xml:space="preserve">Chapter 3 returns to both dials with the programme record in hand.</w:t>
      </w:r>
    </w:p>
    <w:p>
      <w:pPr>
        <w:pStyle w:val="Heading2"/>
      </w:pPr>
      <w:r>
        <w:t xml:space="preserve">2.3. Selling days rather than posts</w:t>
      </w:r>
    </w:p>
    <w:p>
      <w:pPr>
        <w:spacing w:after="160" w:line="264" w:lineRule="auto"/>
        <w:jc w:val="both"/>
      </w:pPr>
      <w:r>
        <w:rPr>
          <w:b/>
          <w:bCs/>
        </w:rPr>
        <w:t xml:space="preserve">Every system that recruits former teachers at any scale sells them hours rather than posts, and the fit is causal, because an offer of days lets returners keep the trade they made.</w:t>
      </w:r>
    </w:p>
    <w:p>
      <w:pPr>
        <w:spacing w:after="160" w:line="264" w:lineRule="auto"/>
        <w:jc w:val="both"/>
      </w:pPr>
      <w:r>
        <w:t xml:space="preserve">The standing regulatory routes converge on this product from very different starting points. In New Zealand, the statutory on-ramp is twenty half-days of relief teaching a year without a current practising certificate (New Zealand Legislation, 2020), and in Ontario a retired teacher may work fifty days a year before pension consequences begin (Ontario Teachers' Pension Plan, 2026). In Ireland, the annual supply measure suspends the limit on substitute work by teachers already on career break (Department of Education and Youth, 2025). None of these rules was derived from a preference study. Each defines a small, divisible quantity of teaching, and that is the quantity the market clears.</w:t>
      </w:r>
    </w:p>
    <w:p>
      <w:pPr>
        <w:spacing w:after="160" w:line="264" w:lineRule="auto"/>
        <w:jc w:val="both"/>
      </w:pPr>
      <w:r>
        <w:t xml:space="preserve">The convergence has a seller-side logic as well as a buyer-side one. A day of relief teaching is a transaction a principal can complete alone, without an establishment post, a placement on the salary scale or a year-long commitment, and the thresholds in the rules above sit precisely where pension or certification consequences would otherwise begin. Each instrument, in effect, defines the largest quantity of teaching a former teacher can supply without re-engaging the machinery they left; what happens when that machinery is engaged anyway is the business of Chapter 3.</w:t>
      </w:r>
    </w:p>
    <w:p>
      <w:pPr>
        <w:spacing w:after="160" w:line="264" w:lineRule="auto"/>
        <w:jc w:val="both"/>
      </w:pPr>
      <w:r>
        <w:t xml:space="preserve">Absorption tells the same story as regulation, because where returners land in numbers, they land in part-time and casual work. In the one Japanese prefecture studied in depth, retirees make up roughly 60% of part-time adjunct hires (Sakuma and Shimazaki, 2024), and the returners recruited through direct outreach in New South Wales were placed into casual and temporary engagements (NSW Government, 2024). The Portuguese returner statute goes further and pro-rates its pay by teaching hours (Decreto-Lei n.º 51/2024, Art. 5). The pattern predates the current generation of programmes. Returners already made up about a quarter of the full-time inflow into UK maintained schools at the turn of the century, but more than half of the part-time inflow (OECD, 2005).</w:t>
      </w:r>
    </w:p>
    <w:p>
      <w:pPr>
        <w:spacing w:after="160" w:line="264" w:lineRule="auto"/>
        <w:jc w:val="both"/>
      </w:pPr>
      <w:r>
        <w:t xml:space="preserve">Hours are the channel through which return has always run, not a concession the recent programmes invented.</w:t>
      </w:r>
    </w:p>
    <w:p>
      <w:pPr>
        <w:spacing w:after="160" w:line="264" w:lineRule="auto"/>
        <w:jc w:val="both"/>
      </w:pPr>
      <w:r>
        <w:t xml:space="preserve">The demand side matches. When registrants for England's returner pilot were segmented by motivation, the most return-committed group, the career breakers, made up 11% of registrants and returned at about double the rate of the other four types (Buchanan et al., 2018; Worth and Sharp, 2018). What its members wanted was part-time work that schools rarely advertise. The scarce input in that market was an advertised part-time post, and interest was never the binding constraint.</w:t>
      </w:r>
    </w:p>
    <w:p>
      <w:pPr>
        <w:spacing w:after="160" w:line="264" w:lineRule="auto"/>
        <w:jc w:val="both"/>
      </w:pPr>
      <w:r>
        <w:t xml:space="preserve">Two systems drew the operational conclusion independently, which is some evidence that it is the right one. England's successor programme tied funded returner places to schools with identified vacancies, correcting a pilot that had prepared people for posts that did not exist (NCTL, 2017). New Zealand, for its part, waives its refresher requirement for returners who already hold an offer of work, so that the rule never delays a returner a school actually wants (Teaching Council of Aotearoa New Zealand, 2026). Both designs treat the identified vacancy, with the hours attached to it, as the unit in which re-entry policy deals.</w:t>
      </w:r>
    </w:p>
    <w:p>
      <w:pPr>
        <w:spacing w:after="160" w:line="264" w:lineRule="auto"/>
        <w:jc w:val="both"/>
      </w:pPr>
      <w:r>
        <w:t xml:space="preserve">The proposition has a boundary. No system examined here has offered a full-time post on genuinely changed conditions, with a protected timetable and a capped administrative load, so the revealed preference for small quantities is partly a preference expressed on the only menu available. The salary-first survey stands as contrary evidence throughout. The obvious test, advertised part-time contracts with protected timetables, has been named since 2018 and tried nowhere (Worth and Sharp, 2018).</w:t>
      </w:r>
    </w:p>
    <w:p>
      <w:pPr>
        <w:spacing w:after="160" w:line="264" w:lineRule="auto"/>
        <w:jc w:val="both"/>
      </w:pPr>
      <w:r>
        <w:t xml:space="preserve">There is also one true exception to the rule that scale comes in days. A single system filled establishment posts with former teachers at scale, and it did so by letting a full pension stack on a full salary, an institutional change whose price and consequences belong to Chapter 3 (Jarrold-Grapes and Mahler, 2024).</w:t>
      </w:r>
    </w:p>
    <w:p>
      <w:pPr>
        <w:pStyle w:val="Heading2"/>
      </w:pPr>
      <w:r>
        <w:t xml:space="preserve">2.4. The designed role and the state of its measurement</w:t>
      </w:r>
    </w:p>
    <w:p>
      <w:pPr>
        <w:spacing w:after="160" w:line="264" w:lineRule="auto"/>
        <w:jc w:val="both"/>
      </w:pPr>
      <w:r>
        <w:rPr>
          <w:b/>
          <w:bCs/>
        </w:rPr>
        <w:t xml:space="preserve">What former teachers can usefully be asked to do is a designed role at a specified dose, and the asymmetry in today's trial evidence is an asymmetry of measurement effort; the deployment that was specified is also the one that was measured.</w:t>
      </w:r>
    </w:p>
    <w:p>
      <w:pPr>
        <w:spacing w:after="160" w:line="264" w:lineRule="auto"/>
        <w:jc w:val="both"/>
      </w:pPr>
      <w:r>
        <w:t xml:space="preserve">The channel that absorbs most returners asks least of what they carry. Relief and casual work buys presence in a classroom rather than continuity with a class, a hand in induction or a mentoring relationship, and the record that shows where former teachers are absorbed has never been asked what is gained or lost by absorbing them there. The comparison is unattempted rather than expensive; any system that linked returner records to the classes they teach and the colleagues they work beside could make it.</w:t>
      </w:r>
    </w:p>
    <w:p>
      <w:pPr>
        <w:spacing w:after="160" w:line="264" w:lineRule="auto"/>
        <w:jc w:val="both"/>
      </w:pPr>
      <w:r>
        <w:t xml:space="preserve">What the population carries also differs across systems more than the policy debate allows. Among the seven OECD countries with seniority data on resigning teachers, one in three resigners on average had less than five years of service (OECD, 2025). The share ranges from about one in six in Denmark to around two thirds in Israel (Table 2.1). Leaver pools thus differ radically in accumulated experience; a pool can be rich in accumulated craft or largely early-career. A designed role has to be designed against the pool a system actually has, which is a further reason the netted, subdivided count of Chapter 1 comes first.</w:t>
      </w:r>
    </w:p>
    <w:p>
      <w:pPr>
        <w:keepNext/>
        <w:spacing w:after="120" w:before="200"/>
      </w:pPr>
      <w:r>
        <w:rPr>
          <w:b/>
          <w:bCs/>
          <w:color w:val="4E81BD"/>
          <w:sz w:val="23"/>
          <w:szCs w:val="23"/>
        </w:rPr>
        <w:t xml:space="preserve">Table 2.1. Share of resigning teachers with less than five years of service, 2022/23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75"/>
        <w:gridCol w:w="4497"/>
      </w:tblGrid>
      <w:tr>
        <w:trPr>
          <w:tblHeader/>
        </w:trPr>
        <w:tc>
          <w:tcPr>
            <w:tcW w:type="dxa" w:w="457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Country</w:t>
            </w:r>
          </w:p>
        </w:tc>
        <w:tc>
          <w:tcPr>
            <w:tcW w:type="dxa" w:w="4497"/>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Share of resigning teachers with less than five years of service</w:t>
            </w:r>
          </w:p>
        </w:tc>
      </w:tr>
      <w:tr>
        <w:trPr>
          <w:tblHeader w:val="false"/>
        </w:trPr>
        <w:tc>
          <w:tcPr>
            <w:tcW w:type="dxa" w:w="45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Denmark</w:t>
            </w:r>
          </w:p>
        </w:tc>
        <w:tc>
          <w:tcPr>
            <w:tcW w:type="dxa" w:w="44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16%</w:t>
            </w:r>
          </w:p>
        </w:tc>
      </w:tr>
      <w:tr>
        <w:trPr>
          <w:tblHeader w:val="false"/>
        </w:trPr>
        <w:tc>
          <w:tcPr>
            <w:tcW w:type="dxa" w:w="45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Sweden</w:t>
            </w:r>
          </w:p>
        </w:tc>
        <w:tc>
          <w:tcPr>
            <w:tcW w:type="dxa" w:w="44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23%</w:t>
            </w:r>
          </w:p>
        </w:tc>
      </w:tr>
      <w:tr>
        <w:trPr>
          <w:tblHeader w:val="false"/>
        </w:trPr>
        <w:tc>
          <w:tcPr>
            <w:tcW w:type="dxa" w:w="45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Estonia</w:t>
            </w:r>
          </w:p>
        </w:tc>
        <w:tc>
          <w:tcPr>
            <w:tcW w:type="dxa" w:w="44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30%</w:t>
            </w:r>
          </w:p>
        </w:tc>
      </w:tr>
      <w:tr>
        <w:trPr>
          <w:tblHeader w:val="false"/>
        </w:trPr>
        <w:tc>
          <w:tcPr>
            <w:tcW w:type="dxa" w:w="45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Poland</w:t>
            </w:r>
          </w:p>
        </w:tc>
        <w:tc>
          <w:tcPr>
            <w:tcW w:type="dxa" w:w="44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32%</w:t>
            </w:r>
          </w:p>
        </w:tc>
      </w:tr>
      <w:tr>
        <w:trPr>
          <w:tblHeader w:val="false"/>
        </w:trPr>
        <w:tc>
          <w:tcPr>
            <w:tcW w:type="dxa" w:w="45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Slovak Republic</w:t>
            </w:r>
          </w:p>
        </w:tc>
        <w:tc>
          <w:tcPr>
            <w:tcW w:type="dxa" w:w="44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40%</w:t>
            </w:r>
          </w:p>
        </w:tc>
      </w:tr>
      <w:tr>
        <w:trPr>
          <w:tblHeader w:val="false"/>
        </w:trPr>
        <w:tc>
          <w:tcPr>
            <w:tcW w:type="dxa" w:w="45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Austria</w:t>
            </w:r>
          </w:p>
        </w:tc>
        <w:tc>
          <w:tcPr>
            <w:tcW w:type="dxa" w:w="44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58%</w:t>
            </w:r>
          </w:p>
        </w:tc>
      </w:tr>
      <w:tr>
        <w:trPr>
          <w:tblHeader w:val="false"/>
        </w:trPr>
        <w:tc>
          <w:tcPr>
            <w:tcW w:type="dxa" w:w="45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Israel</w:t>
            </w:r>
          </w:p>
        </w:tc>
        <w:tc>
          <w:tcPr>
            <w:tcW w:type="dxa" w:w="44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68%</w:t>
            </w:r>
          </w:p>
        </w:tc>
      </w:tr>
      <w:tr>
        <w:trPr>
          <w:tblHeader w:val="false"/>
        </w:trPr>
        <w:tc>
          <w:tcPr>
            <w:tcW w:type="dxa" w:w="457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Average of the seven countries</w:t>
            </w:r>
          </w:p>
        </w:tc>
        <w:tc>
          <w:tcPr>
            <w:tcW w:type="dxa" w:w="44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34%</w:t>
            </w:r>
          </w:p>
        </w:tc>
      </w:tr>
    </w:tbl>
    <w:p>
      <w:pPr>
        <w:spacing w:after="120"/>
      </w:pPr>
    </w:p>
    <w:p>
      <w:pPr>
        <w:spacing w:after="60"/>
        <w:jc w:val="left"/>
      </w:pPr>
      <w:r>
        <w:rPr>
          <w:sz w:val="18"/>
          <w:szCs w:val="18"/>
        </w:rPr>
        <w:t xml:space="preserve">Note: Data refer to fully qualified teachers who left the profession by resigning in the 2022/23 school year, in the seven OECD countries with seniority data on resigning teachers. Figures for Austria and Israel are approximate.</w:t>
      </w:r>
    </w:p>
    <w:p>
      <w:pPr>
        <w:spacing w:after="60"/>
        <w:jc w:val="left"/>
      </w:pPr>
      <w:r>
        <w:rPr>
          <w:sz w:val="18"/>
          <w:szCs w:val="18"/>
        </w:rPr>
        <w:t xml:space="preserve">Source: OECD (2025), </w:t>
      </w:r>
      <w:r>
        <w:rPr>
          <w:i/>
          <w:iCs/>
          <w:sz w:val="18"/>
          <w:szCs w:val="18"/>
        </w:rPr>
        <w:t xml:space="preserve">Education at a Glance 2025: OECD Indicators</w:t>
      </w:r>
      <w:r>
        <w:rPr>
          <w:sz w:val="18"/>
          <w:szCs w:val="18"/>
        </w:rPr>
        <w:t xml:space="preserve">.</w:t>
      </w:r>
    </w:p>
    <w:p>
      <w:pPr>
        <w:spacing w:after="160" w:line="264" w:lineRule="auto"/>
        <w:jc w:val="both"/>
      </w:pPr>
      <w:r>
        <w:t xml:space="preserve">At the specified end of the spectrum, the role was scripted, dosed and tested at scale, and the workforce that delivered it is the nearest kin to former teachers anywhere in the trial literature. A structured mathematics protocol for at-risk first-graders, taught in small groups for forty minutes, three times a week, over seventeen weeks, was delivered by more than eighty tutors recruited from local pools of retired and substitute teachers. Across nearly a thousand first-graders in dozens of schools in four urban districts, it reproduced an effect first obtained with graduate students, at +0.34 standard deviations on a standardised early-mathematics test (Gersten et al., 2015; Rolfhus et al., 2012; Fuchs et al., 2005). The design purchased fidelity to a protocol rather than professional judgement, and it measured what it purchased.</w:t>
      </w:r>
    </w:p>
    <w:p>
      <w:pPr>
        <w:spacing w:after="160" w:line="264" w:lineRule="auto"/>
        <w:jc w:val="both"/>
      </w:pPr>
      <w:r>
        <w:t xml:space="preserve">At the discretionary end, the single trial is small and the dose was largely left to the mentoring pair. Recently retired master educators, screened by interview for a record of excellence and deliberately given no role in evaluating the teachers they mentored, averaged more than two decades in their district's high-need schools. The 77 probationary teachers in 11 schools of one district were assigned at random to receive one for two years, with both arms keeping the district's business-as-usual buddy mentoring, so that the trial estimates the added value of the retired mentor over standard support (DeCesare, McClelland and Randel, 2017). The study meets What Works Clearinghouse standards without reservations, and under those standards its effects are indeterminate in all three reviewed domains, reading, mathematics and teacher retention (What Works Clearinghouse, 2019). Its first-year mathematics result did not survive the report's own multiple-comparison adjustment, and its retention point estimates ran the wrong way. Its one encouraging dose finding, a doubling of the odds that a mentee stayed with each additional ten hours of mentoring, is exploratory and non-causal by the report's own account.</w:t>
      </w:r>
    </w:p>
    <w:p>
      <w:pPr>
        <w:spacing w:after="160" w:line="264" w:lineRule="auto"/>
        <w:jc w:val="both"/>
      </w:pPr>
      <w:r>
        <w:t xml:space="preserve">That is one trial of an unspecified dose set against one trial of a specified one. An indeterminate rating under trial standards is a statement about evidential power, not a negative result, and a small trial that set no dose is no verdict on twenty years of practice.</w:t>
      </w:r>
    </w:p>
    <w:p>
      <w:pPr>
        <w:spacing w:after="160" w:line="264" w:lineRule="auto"/>
        <w:jc w:val="both"/>
      </w:pPr>
      <w:r>
        <w:t xml:space="preserve">The attribution problems run in the other direction as well, and they deserve stating once, plainly. The tutors in the positive trial were retired and substitute teachers, with no published split between the two. The tutoring meta-analysis finds the largest effects for teacher and paraprofessional tutors but does not isolate retired educators as a class (Nickow, Oreopoulos and Quan, 2024). The longest-running deployment of older adults as school reading tutors, for its part, is evidence about older volunteers, since being a former teacher is not among its eligibility conditions (Morrow-Howell et al., 2009). That programme still earns its place here, because its randomised volunteer arm found health gains for the tutors themselves, in physical activity in a pilot trial and in brain volume within a neuroimaging subsample (Fried et al., 2004; Carlson et al., 2015). A result of that kind invites a health ministry's budget into a conversation education ministries mostly conduct alone.</w:t>
      </w:r>
    </w:p>
    <w:p>
      <w:pPr>
        <w:spacing w:after="160" w:line="264" w:lineRule="auto"/>
        <w:jc w:val="both"/>
      </w:pPr>
      <w:r>
        <w:t xml:space="preserve">In the meantime, the case for former teachers rests on what the evidence does establish. A former teacher arrives with a valid or restorable licence and is deployable without consuming an initial teacher education place. They also combine fluency in how schools run with a position outside the school's evaluation hierarchy, a trust advantage the mentoring trial's own report identifies and that neither a new graduate nor a serving head of department can offer (DeCesare, McClelland and Randel, 2017). The mechanism such roles would harness is itself documented, since teachers improve measurably when the quality of their colleagues rises, with the gains largest for the least experienced (Jackson and Bruegmann, 2009). But that mechanism works through sustained proximity, and dose is not a detail. The largest randomised trial of comprehensive teacher induction found no effects after one year of support, and a positive achievement effect only in the third year, among teachers who had received two full years of it (Glazerman et al., 2010).</w:t>
      </w:r>
    </w:p>
    <w:p>
      <w:pPr>
        <w:spacing w:after="160" w:line="264" w:lineRule="auto"/>
        <w:jc w:val="both"/>
      </w:pPr>
      <w:r>
        <w:t xml:space="preserve">Availability does not bind either design. The doses that matter in this literature run to a few dozen hours or sessions a year, with student gains concentrated among pupils who received at least that much (Morrow-Howell et al., 2009), while the caps that constrain retiree work run to hundreds of hours. A system that engages former teachers for token hours should therefore expect no measured effect, and one that buys a serious dose is buying well inside what its own rules already permit.</w:t>
      </w:r>
    </w:p>
    <w:p>
      <w:pPr>
        <w:spacing w:after="160" w:line="264" w:lineRule="auto"/>
        <w:jc w:val="both"/>
      </w:pPr>
      <w:r>
        <w:t xml:space="preserve">What is missing is the linkage that would settle the craft question. No study in this evidence base connects a returner to the outcomes of a class or of a colleague. Even the authors of the largest documented return episode, several thousand experienced retirees back in full-time posts, state that they could not attempt the estimate for want of vacancy data and a counterfactual (Jarrold-Grapes and Mahler, 2024). The exposure runs both ways. Linked data could show returners outperforming novices in comparable posts, which would strengthen a premise this paper has declined to assert, or underperforming them, which would narrow the rationale to the licence, the deployability and the fluency. The craft rationale therefore stands as an open question with a price attached, a linkage study and a trial of a designed role at a specified dose, and Chapter 4 converts both into requests.</w:t>
      </w:r>
    </w:p>
    <w:p>
      <w:pPr>
        <w:spacing w:after="160" w:line="264" w:lineRule="auto"/>
        <w:jc w:val="both"/>
      </w:pPr>
      <w:r>
        <w:t xml:space="preserve">What this chapter hands forward is a specification of the product former teachers have shown they will buy. It is denominated in hours, attached wherever possible to an identified vacancy, and, for the designed roles, delivered at a dose someone has chosen on purpose. Chapter 3 reads two decades of programmes and regulation against that specification, asking of each system what it offered, what price its own rules attached to return, and who set that price.</w:t>
      </w:r>
    </w:p>
    <w:p>
      <w:pPr>
        <w:pStyle w:val="Heading1"/>
        <w:pageBreakBefore/>
      </w:pPr>
      <w:r>
        <w:t xml:space="preserve">3. Re-entry policy in practice: international experience</w:t>
      </w:r>
    </w:p>
    <w:p>
      <w:pPr>
        <w:spacing w:after="160" w:line="264" w:lineRule="auto"/>
        <w:jc w:val="both"/>
      </w:pPr>
      <w:r>
        <w:t xml:space="preserve">Governments have been offering former teachers a job, in one form or another, for at least two decades. This chapter asks of every such offer the questions Chapter 2 prepared. Who was addressed, what exactly was on the table, and what price did the state's own rules attach to accepting it? The last question matters most, because the price of return is rarely written where the offer is. It sits in pension law, civil-service crediting rules and salary scales, and most of it was set by departments with no responsibility for teacher supply.</w:t>
      </w:r>
    </w:p>
    <w:p>
      <w:pPr>
        <w:spacing w:after="160" w:line="264" w:lineRule="auto"/>
        <w:jc w:val="both"/>
      </w:pPr>
      <w:r>
        <w:t xml:space="preserve">Read this way, the international record is less a gallery of programmes than a ledger of charges. The first section reads the programmes, asking of each who it addressed, what it offered and what verifiably happened. The second reads the rules, as four dials that together price a return, and asks who holds each dial. The two sections reach the same place from opposite ends. Interest from former teachers was rarely the scarce resource anywhere; what varied was whether anything behind the offer had actually changed.</w:t>
      </w:r>
    </w:p>
    <w:p>
      <w:pPr>
        <w:pStyle w:val="Heading2"/>
      </w:pPr>
      <w:r>
        <w:t xml:space="preserve">3.1. Programmes: who was addressed, what was offered and what verifiably happened</w:t>
      </w:r>
    </w:p>
    <w:p>
      <w:pPr>
        <w:spacing w:after="160" w:line="264" w:lineRule="auto"/>
        <w:jc w:val="both"/>
      </w:pPr>
      <w:r>
        <w:rPr>
          <w:b/>
          <w:bCs/>
        </w:rPr>
        <w:t xml:space="preserve">What re-entry programmes deliver is a destination and a survival rate, and they deliver volume only where a government changed an institution rather than a message.</w:t>
      </w:r>
    </w:p>
    <w:p>
      <w:pPr>
        <w:spacing w:after="160" w:line="264" w:lineRule="auto"/>
        <w:jc w:val="both"/>
      </w:pPr>
      <w:r>
        <w:t xml:space="preserve">Return is already a standing channel before any programme touches it. Roughly 17 000 teachers return to English state schools in a year, about a third of all new entrants (Department for Education, 2023), and re-entrants have made up between roughly a third and a half of new hires in the United States (Sutcher, Darling-Hammond and Carver-Thomas, 2016).</w:t>
      </w:r>
    </w:p>
    <w:p>
      <w:pPr>
        <w:spacing w:after="160" w:line="264" w:lineRule="auto"/>
        <w:jc w:val="both"/>
      </w:pPr>
      <w:r>
        <w:t xml:space="preserve">This unprogrammed flow, produced by standing rules and ordinary hiring, is the baseline against which every branded initiative has to be judged. A programme does not create the channel; it bids for a margin on top of it.</w:t>
      </w:r>
    </w:p>
    <w:p>
      <w:pPr>
        <w:spacing w:after="160" w:line="264" w:lineRule="auto"/>
        <w:jc w:val="both"/>
      </w:pPr>
      <w:r>
        <w:t xml:space="preserve">The programmes assembled here addressed one of three populations, and the choice shaped the product more than the outcome. Some wrote to recent leavers held in the employer's own records, an approach that permits a personal offer because the system knows whom it is addressing. Some invited the whole register-visible qualified stock, which permits scale but not selection. Some addressed retirees through pension rolls, the population most systems can see even without a register. Each choice fixes what can credibly be offered; none of them, on this record, fixed how many came back.</w:t>
      </w:r>
    </w:p>
    <w:p>
      <w:pPr>
        <w:spacing w:after="160" w:line="264" w:lineRule="auto"/>
        <w:jc w:val="both"/>
      </w:pPr>
      <w:r>
        <w:t xml:space="preserve">What was offered falls into three families. The first is information and process, an adviser, a bundled re-licensure route, a single point of contact. The second is money, usually small and usually attached to something other than the returner's pay, a subsidy to the hiring school or an allowance against a named friction. The third is a redesigned role, tutoring or mentoring rather than a full class. What almost no programme offered was a change in the price of return itself, which stayed where the rules of the next section had set it.</w:t>
      </w:r>
    </w:p>
    <w:p>
      <w:pPr>
        <w:spacing w:after="160" w:line="264" w:lineRule="auto"/>
        <w:jc w:val="both"/>
      </w:pPr>
      <w:r>
        <w:t xml:space="preserve">What verifiably happened is assembled in Table 3.1, and its outcome definitions differ in every row, which is why this paper reproduces each count only with the intensity of the post and the denominator its publisher measured against. Within that discipline, one regularity survives. Wherever a full account exists, a programmed instrument moved a fraction of one per cent of its eligible pool in a year. The audited Austrian count is 1 062 returned retirees across six school years, in a workforce of roughly 123 000, with intakes that peaked and then fell (Rechnungshof, 2025). Near-universal outreach does not escape the band. With thirteen of sixteen German Länder actively recruiting pensioners, just over 5 000 were teaching nationwide, under 1% of the workforce (Deutsches Schulportal, 2023). The one Land that wrote to some 7 000 retirees in a school year attributes about 550 filled posts to its whole short-term package of retiree recruitment, service extensions and part-time top-ups, not to the letters alone (Hessisches Ministerium für Kultus, Bildung und Chancen, 2024).</w:t>
      </w:r>
    </w:p>
    <w:p>
      <w:pPr>
        <w:spacing w:after="160" w:line="264" w:lineRule="auto"/>
        <w:jc w:val="both"/>
      </w:pPr>
      <w:r>
        <w:t xml:space="preserve">Two cases broke the band, and both did so by changing an institution. One state let retirees draw a full salary on top of a full pension and staffed permanent posts in the thousands over a decade (Box 3.1). One system makes re-employment after mandatory retirement the default staffing route, and retirees there supply the bulk of part-time adjunct hires in the prefecture studied in depth (Sakuma and Shimazaki, 2024; see Chapter 2). The second case also shows the ceiling on any retiree-based channel, since only about 35% of age-based elementary retirees there now seek full-time re-employment, and every retiree pool ages on its own schedule. Where the addressable population is retirees, part of what reads as policy failure is a stock that is old and self-limiting, and this paper does not attribute to design what demography may explain.</w:t>
      </w:r>
    </w:p>
    <w:p>
      <w:pPr>
        <w:keepNext/>
        <w:spacing w:after="120" w:before="200"/>
      </w:pPr>
      <w:r>
        <w:rPr>
          <w:b/>
          <w:bCs/>
          <w:color w:val="4E81BD"/>
          <w:sz w:val="23"/>
          <w:szCs w:val="23"/>
        </w:rPr>
        <w:t xml:space="preserve">Table 3.1. What each system counted: published take-up of re-entry instruments, with the outcome definition, intensity and denominator of every count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20"/>
        <w:gridCol w:w="1724"/>
        <w:gridCol w:w="1626"/>
        <w:gridCol w:w="1665"/>
        <w:gridCol w:w="1352"/>
        <w:gridCol w:w="1285"/>
      </w:tblGrid>
      <w:tr>
        <w:trPr>
          <w:tblHeader/>
        </w:trPr>
        <w:tc>
          <w:tcPr>
            <w:tcW w:type="dxa" w:w="1420"/>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Instrument (system, period)</w:t>
            </w:r>
          </w:p>
        </w:tc>
        <w:tc>
          <w:tcPr>
            <w:tcW w:type="dxa" w:w="172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Who was addressed</w:t>
            </w:r>
          </w:p>
        </w:tc>
        <w:tc>
          <w:tcPr>
            <w:tcW w:type="dxa" w:w="1626"/>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Outcome as the publisher defined it</w:t>
            </w:r>
          </w:p>
        </w:tc>
        <w:tc>
          <w:tcPr>
            <w:tcW w:type="dxa" w:w="166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Verified count</w:t>
            </w:r>
          </w:p>
        </w:tc>
        <w:tc>
          <w:tcPr>
            <w:tcW w:type="dxa" w:w="1352"/>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Intensity of the post</w:t>
            </w:r>
          </w:p>
        </w:tc>
        <w:tc>
          <w:tcPr>
            <w:tcW w:type="dxa" w:w="128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Denominator the count is measured against</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 to Teaching pilot (England, 2015-16)</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Qualified teachers not in post, open national registration</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In a permanent post in a target subject in a state-funded secondary school by the November 2016 workforce census</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5 729 registered; 354 supported; 27 in target posts (62 in any state-funded post)</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Permanent posts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Self-selected registrants; no population denominator</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Return-to-teaching adviser service (England, 2019/20-2020/21, subject-restricted phase)</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Former teachers of mathematics, physics and modern foreign languages who requested an adviser</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Returns recorded by the department; other subjects and unreported returns not captured</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~128 recorded returns over two years; over 600 advised</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Not recorded</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None published</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Teachers Re-Engage (New South Wales, 2023-24)</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Teachers who resigned from the public system in the previous five years, contacted from employer records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Placed in casual or temporary work</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&gt;1 500 contacted; &gt;260 expressed interest; 145 placed (~60% from retirement)</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Casual and temporary work, spread across &gt;600 schools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Contacted recent leavers</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Herintreders subsidy (Netherlands, 2017-20)</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Primary school boards appointing a qualified teacher out of teaching for at least twelve months (or never started)</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EUR 2 500 grants paid to boards for induction and guidance of an appointee of six months or more</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Just over 100 grants in 2018; nearly 200 cumulative by late 2019; final uptake unpublished</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Appointments of at least six months, any fraction of a post</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Budget for 500; estimated primary-sector silent reserve of at least 31 000</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Länder retiree recruitment (Germany, 2022/23)</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Recently retired teachers, contacted directly in most Länder</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Pensioners teaching, as surveyed</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Just over 5 000 nationwide; ~550 posts in Hesse from a combined short-term package after ~7 000 letters</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Flexible hours, lifted earnings limits and salary supplements of around 10% offered; contract forms not standardised in the survey</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Workforce ~800 000; retiree stock 457 000 (2021)</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Retiree re-employment (Austria, 2018/19-2023/24)</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Retired teachers, contacted by regional education directorates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Retired teachers who resumed teaching, audited by the Court of Audit</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1 062 across six school years, peaking 2021/22-2022/23 and falling thereafter</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New fixed-term contracts, often at reduced hours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Workforce ~123 000</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Decreto-Lei 51/2024, Article 5 (Portugal, 2024/25)</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Teachers retired five years or less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Accepted for a fixed-term returner contract</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79-80 applied; 63 accepted; 55 placed in the first wave (average age ~68)</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Fixed-term; pay pro-rated by teaching hours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Government quota of 200</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HB 385 (Georgia, United States, FY2023-FY2025)</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Retirees with 30 years' creditable service, retired at least one year, in regionally defined high-need subjects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Full-time rehires employed for at least one school year, counted by mandated audit</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635 cumulative; ~350 in any given year</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Full-time posts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Workforce ~125 000; ~6 000 vacant or not-fully-certified posts</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Return-to-work window (North Carolina, United States, 1999-2009)</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All state-retired teachers (restrictions in the first year only)</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Retirees in full-time posts drawing salary and pension concurrently</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~3 500 over the decade; just over 35% of the previously retirement-eligible returning by 2009</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Full-time posts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~169 000 teachers in the study sample</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Return-to-work routes (New Mexico, United States, FY2023)</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Educational retirees, four statutory routes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Working retirees registered with the pension board, by route</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2 792 in total; newest no-limits route 154 in its first year</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From a quarter-post or less to unlimited, by route</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~48 000 potentially eligible retirees</w:t>
            </w:r>
          </w:p>
        </w:tc>
      </w:tr>
      <w:tr>
        <w:trPr>
          <w:tblHeader w:val="false"/>
        </w:trPr>
        <w:tc>
          <w:tcPr>
            <w:tcW w:type="dxa" w:w="142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Silver Age plans (China, 2018-)</w:t>
            </w:r>
          </w:p>
        </w:tc>
        <w:tc>
          <w:tcPr>
            <w:tcW w:type="dxa" w:w="172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Retired principals, teaching-research staff, special-grade and senior teachers, generally aged 65 or under</w:t>
            </w:r>
          </w:p>
        </w:tc>
        <w:tc>
          <w:tcPr>
            <w:tcW w:type="dxa" w:w="162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Cumulative recruits, self-reported; no independent audit</w:t>
            </w:r>
          </w:p>
        </w:tc>
        <w:tc>
          <w:tcPr>
            <w:tcW w:type="dxa" w:w="166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&gt;20 000 by mid-2023 under the predecessor schemes</w:t>
            </w:r>
          </w:p>
        </w:tc>
        <w:tc>
          <w:tcPr>
            <w:tcW w:type="dxa" w:w="135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Minimum one school year; teaching plus demonstration and mentoring roles</w:t>
            </w:r>
          </w:p>
        </w:tc>
        <w:tc>
          <w:tcPr>
            <w:tcW w:type="dxa" w:w="128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None published</w:t>
            </w:r>
          </w:p>
        </w:tc>
      </w:tr>
    </w:tbl>
    <w:p>
      <w:pPr>
        <w:spacing w:after="120"/>
      </w:pPr>
    </w:p>
    <w:p>
      <w:pPr>
        <w:spacing w:after="60"/>
        <w:jc w:val="left"/>
      </w:pPr>
      <w:r>
        <w:rPr>
          <w:sz w:val="18"/>
          <w:szCs w:val="18"/>
        </w:rPr>
        <w:t xml:space="preserve">Note: The outcome counted differs in every row, from a permanent shortage-subject post to a casual placement to a subsidy grant, so the rows cannot be ranked against one another and no such reading is intended. Funnel stages are as each authority reported them and are not comparable across programmes.</w:t>
      </w:r>
    </w:p>
    <w:p>
      <w:pPr>
        <w:spacing w:after="60"/>
        <w:jc w:val="left"/>
      </w:pPr>
      <w:r>
        <w:rPr>
          <w:sz w:val="18"/>
          <w:szCs w:val="18"/>
        </w:rPr>
        <w:t xml:space="preserve">Source: Buchanan et al. (2018); UK Parliament (2022); Walker (2022); NSW Government (2024); Ministerie van OCW (2017; 2019a; 2019b); Tweede Kamer (2019); Deutsches Schulportal (2023); Hessisches Ministerium für Kultus, Bildung und Chancen (2024); Rechnungshof (2025); Decreto-Lei n.º 51/2024; Diário de Notícias (2024); Renascença (2024); Georgia Department of Audits and Accounts (2025); Jarrold-Grapes and Mahler (2024); New Mexico Educational Retirement Board (2023); MOE and MOF (2018); MOE et al. (2023); State Council (2023).</w:t>
      </w:r>
    </w:p>
    <w:p>
      <w:pPr>
        <w:spacing w:after="160" w:line="264" w:lineRule="auto"/>
        <w:jc w:val="both"/>
      </w:pPr>
      <w:r>
        <w:t xml:space="preserve">Where a programme was independently evaluated, the binding constraints turned out to be operational, and they were named as such by the evaluators. In England, the one pilot in this record with a full independent evaluation, registrations ran to nearly double the target while placements ran to a small fraction of it. The evaluation attributes the gap to the timing of support relative to the hiring cycle, to recruitment difficulties, to the suitability of some participants and to the scarcity of practical teaching opportunities in partner schools (Buchanan et al., 2018). Interest was abundant throughout; what the programme could not manufacture was a vacancy at the moment the returner was ready. The successor programme drew the conclusion already noted in Chapter 2 and tied every funded place to a school with an identified vacancy (NCTL, 2017), which remains the most direct fix in the record for the most commonly documented failure.</w:t>
      </w:r>
    </w:p>
    <w:p>
      <w:pPr>
        <w:spacing w:after="160" w:line="264" w:lineRule="auto"/>
        <w:jc w:val="both"/>
      </w:pPr>
      <w:r>
        <w:t xml:space="preserve">Outreach, meanwhile, is a channel that transmits a changed offer rather than an instrument that creates one. The cheapest documented approach anywhere in this record is direct contact from the employer's own records with accreditation, approval to teach and background checks bundled into a single conversation, and in New South Wales that approach placed its returners into casual and temporary work within months (NSW Government, 2024). The letters went out weeks after a major pay settlement, and the department's standing page for returners still leads with the pay rise (NSW Department of Education, 2026), so the outreach is best read as the messenger of a repriced offer, and it is sold here on its cheapness, not on a conversion rate the evidence cannot establish. Its funnel was published once, in a May 2024 release, and does not appear in the following annual report (NSW Department of Education, 2025).</w:t>
      </w:r>
    </w:p>
    <w:p>
      <w:pPr>
        <w:spacing w:after="160" w:line="264" w:lineRule="auto"/>
        <w:jc w:val="both"/>
      </w:pPr>
      <w:r>
        <w:t xml:space="preserve">An instrument that pays for a stage downstream of the binding one is deadweight by construction. The Dutch returner subsidy illustrates the mechanism cleanly, because it paid school boards for the induction and guidance of returners they had already appointed, which is the stage after the constraint. The budget provided for 500 returners against a silent reserve estimated in the tens of thousands, the money went substantially unspent, the annual ceilings were lowered on extension explicitly because the budget was not being exhausted, and the scheme lapsed without a published evaluation (Ministerie van OCW, 2017; 2019a; Tweede Kamer, 2019). The regional successor schemes then recorded the constraint from the other side, with several regions reporting more applications from side-entrants and returners than schools could place (De Jong et al., 2022). The Dutch record supports the direction of an absorption constraint but not its magnitude, because the finding is a single self-reported row covering side-entrants and returners jointly, in a process evaluation of schemes spanning additional sectors beyond the subsidy's. The regional partnerships hold the numbers that would settle it.</w:t>
      </w:r>
    </w:p>
    <w:p>
      <w:pPr>
        <w:spacing w:after="160" w:line="264" w:lineRule="auto"/>
        <w:jc w:val="both"/>
      </w:pPr>
      <w:r>
        <w:t xml:space="preserve">Money can also be pointed at a friction rather than at a preference, and the distinction separates two instruments that look alike. An allowance paid to a retiree for relocating to a named category of county, with housing and travel supplied in kind, compensates an itemisable cost of the specific service being bought; the Chinese silver-age schemes are built this way, conditioning an annual allowance of CNY 20 000 on service in poverty-lifted, ethnic-minority and border counties and attaching demonstration and mentoring duties to the role, though their cumulative recruit counts are self-reported and no independent audit exists (MOE and MOF, 2018; MOE et al., 2023; State Council, 2023). Money offered flat against a revealed preference for not returning is a different instrument, and Chapter 2 set out why the preference usually wins. The programmes that specified a role and a dose, the tutoring deployments of Chapter 2, are in turn the only ones in this record whose product was ever measured against a comparison group; specification is what converts a programme from an announcement into a measurable purchase.</w:t>
      </w:r>
    </w:p>
    <w:p>
      <w:pPr>
        <w:spacing w:after="160" w:line="264" w:lineRule="auto"/>
        <w:jc w:val="both"/>
      </w:pPr>
      <w:r>
        <w:t xml:space="preserve">Destination is the first of the two outcomes a programme can actually deliver, and the record on it is thin but consistent. Where the pension penalty was removed without any targeting mandate, returners went disproportionately to schools with more disadvantaged intakes, though the gradient was modest and more than half returned to the school they had left, so part of it is inherited attachment rather than steered movement (Jarrold-Grapes and Mahler, 2024; Box 3.1). Targeting by condition attaches money to the destination itself, as the Chinese county conditions do; targeting by narrowing came later elsewhere, as when the Portuguese government restricted the stay-on supplement paid under the same decree as its returner route to shortage zones, conceding that the blanket version "in many cases was not justified" (RTP, 2026).</w:t>
      </w:r>
    </w:p>
    <w:p>
      <w:pPr>
        <w:spacing w:after="160" w:line="264" w:lineRule="auto"/>
        <w:jc w:val="both"/>
      </w:pPr>
      <w:r>
        <w:t xml:space="preserve">Targeting by prohibition is the one variant with an audited failure, examined in the next section, where screens meant to steer hires blocked them instead.</w:t>
      </w:r>
    </w:p>
    <w:p>
      <w:pPr>
        <w:spacing w:after="160" w:line="264" w:lineRule="auto"/>
        <w:jc w:val="both"/>
      </w:pPr>
      <w:r>
        <w:t xml:space="preserve">Survival is the second deliverable, and only one system can currently report it. Linked English data show 32% of one returner cohort out of service again four years later, with a further 2% retired, against 29% of the same year's newly qualified cohort, and the odds of a returner leaving after the first year back run 60% above average (Buchanan et al., 2018). The gap is small and the cost ranges overlap, so the finding does not price returners against novices. What it settles is the denominator, since a hire that does not survive its first year buys very little, and the honest unit of account for any programme in Table 3.1 is cost per retained teacher-year, at one and three years, rather than cost per placement.</w:t>
      </w:r>
    </w:p>
    <w:p>
      <w:pPr>
        <w:spacing w:after="160" w:line="264" w:lineRule="auto"/>
        <w:jc w:val="both"/>
      </w:pPr>
      <w:r>
        <w:t xml:space="preserve">The programmes, then, deliver what they were designed to touch, a contact, a stage of conversion, occasionally a destination, and their volumes stay inside a narrow band unless something institutional moves behind them. What moves behind them is the subject of the next section, and none of it is administered by the people who run the programmes.</w:t>
      </w:r>
    </w:p>
    <w:p>
      <w:pPr>
        <w:pStyle w:val="Heading2"/>
      </w:pPr>
      <w:r>
        <w:t xml:space="preserve">3.2. Regulation: the four dials that price a return</w:t>
      </w:r>
    </w:p>
    <w:p>
      <w:pPr>
        <w:spacing w:after="160" w:line="264" w:lineRule="auto"/>
        <w:jc w:val="both"/>
      </w:pPr>
      <w:r>
        <w:rPr>
          <w:b/>
          <w:bCs/>
        </w:rPr>
        <w:t xml:space="preserve">A system's re-entry policy is the sum of the charges its own rules levy on a returner, and the most consequential charge, the salary step a returner lands on, is set in most systems inadvertently, in pension and civil-service law, by departments that do not answer for teacher supply.</w:t>
      </w:r>
    </w:p>
    <w:p>
      <w:pPr>
        <w:spacing w:after="160" w:line="264" w:lineRule="auto"/>
        <w:jc w:val="both"/>
      </w:pPr>
      <w:r>
        <w:t xml:space="preserve">Four dials do the pricing. The pay dial fixes the step a returner is placed on and whether pension and salary may be drawn together. The exclusion dial decides who may return at all, through service thresholds, waiting periods and subject or region screens. The intensity dial caps how much teaching may be sold before the pension reprices. The licence dial governs lapse, refresh and waiver. Table 3.2 sets out where each dial sits in thirteen systems, and the striking regularity of the table is jurisdictional, since almost none of these settings lives in education law.</w:t>
      </w:r>
    </w:p>
    <w:p>
      <w:pPr>
        <w:spacing w:after="160" w:line="264" w:lineRule="auto"/>
        <w:jc w:val="both"/>
      </w:pPr>
      <w:r>
        <w:rPr>
          <w:b/>
          <w:bCs/>
        </w:rPr>
        <w:t xml:space="preserve">The pay dial is the one dial that separates the record's one mass return from its many small ones.</w:t>
      </w:r>
      <w:r>
        <w:t xml:space="preserve"> The clearest natural setting is Austrian, and it was never designed as re-entry policy, which is precisely the point. Federal law excludes from prior-service crediting any period that already generates a pension, so a teacher who retired as a civil servant returns on a full pension plus the profession's starting salary. A former contract teacher, whose service is credited, broadly recovers pre-retirement pay (BMBWF, 2023). Two identical classroom careers thus attract offers most of a salary scale apart, on the basis of an employment status chosen decades earlier, because a crediting rule written for the whole federal service happens to fall on teachers too. In England the same dial is being moved by nobody at all, since abatement attaches only to final-salary retirement benefits and will dissolve of its own accord as career-average membership matures (Teachers' Pensions, n.d.).</w:t>
      </w:r>
    </w:p>
    <w:p>
      <w:pPr>
        <w:spacing w:after="160" w:line="264" w:lineRule="auto"/>
        <w:jc w:val="both"/>
      </w:pPr>
      <w:r>
        <w:t xml:space="preserve">One government wrote the low setting deliberately. The Portuguese returner route lets a teacher retired five years or less come back on a fixed-term contract, keeping the pension, with additional pay indexed to the first step of the career scale and pro-rated by teaching hours (Decreto-Lei n.º 51/2024, Art. 5). Sixty-three people accepted against a quota of 200 (Diário de Notícias, 2024; Renascença, 2024). The price cannot be read entirely cleanly, because the application window lasted twelve days, placements began in January, and the applicants averaged about 68 years of age, so process and demography share the explanation with pay. What can be said is that the offer asked veterans to return at the price of novices, and very few did.</w:t>
      </w:r>
    </w:p>
    <w:p>
      <w:pPr>
        <w:spacing w:after="160" w:line="264" w:lineRule="auto"/>
        <w:jc w:val="both"/>
      </w:pPr>
      <w:r>
        <w:t xml:space="preserve">The opposite setting produced the only large-scale return in the record. Where retirees could hold a full-time post at full salary while drawing a full pension, on the order of half as much again as a regular full-time teacher's income, roughly 3 500 returned over a decade, more than half the schools in the sample hired at least one, and the returners averaged over thirty years of experience (Jarrold-Grapes and Mahler, 2024; Box 3.1). The mechanism that separates the settings is not mysterious. Teachers have been shown to value current cash at roughly five times deferred pension wealth (Fitzpatrick, 2015), so an offer that protects the pension while resetting current pay to the entry step withholds exactly the currency returners respond to, and preserves the one they discount.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3"/>
                <w:szCs w:val="23"/>
              </w:rPr>
              <w:t xml:space="preserve">Box 3.1. Removing the pension-salary trade-off entirely: North Carolina's return-to-work window, 1999-2009</w:t>
            </w:r>
          </w:p>
          <w:p>
            <w:pPr>
              <w:spacing w:after="120" w:line="252" w:lineRule="auto"/>
              <w:jc w:val="both"/>
            </w:pPr>
            <w:r>
              <w:rPr>
                <w:sz w:val="22"/>
                <w:szCs w:val="22"/>
              </w:rPr>
              <w:t xml:space="preserve">For a decade, one American state suspended the ordinary trade-off between a teacher's pension and a teacher's salary. Before 1999, a retired teacher in North Carolina who returned full-time forfeited pension and retiree health benefits, and part-time work was capped at earnings of half the previous salary. The return-to-work window lifted the cap, allowing a retiree to hold a full-time post at full salary while drawing the full pension, an income on the order of half as much again as a regular full-time teacher's. In its first year the window was confined to low-performing schools with a certification match, as interim instructors or substitutes; those restrictions were lifted in June 2000, after which no targeting mandate applied.</w:t>
            </w:r>
          </w:p>
          <w:p>
            <w:pPr>
              <w:spacing w:after="120" w:line="252" w:lineRule="auto"/>
              <w:jc w:val="both"/>
            </w:pPr>
            <w:r>
              <w:rPr>
                <w:sz w:val="22"/>
                <w:szCs w:val="22"/>
              </w:rPr>
              <w:t xml:space="preserve">About 3 500 teachers returned under the window, some 2.1% of the roughly 169 000 teachers observed, and over 1 500 schools, more than half the sample, hired at least one. By 2009, just over 35% of teachers who had been retirement-eligible in the previous year were returning to full-time work. Returning teachers averaged 31 years of experience, were more likely than other teachers to be Black and to teach mathematics, and worked in schools with 3.71 percentage points more economically disadvantaged and 4.86 percentage points more Black students than other teachers' schools; 30% taught in the most disadvantaged quartile of schools against 21% in the least. The gradient arose without steering, though 54% returned to the school they had left, so part of it reflects where those teachers had always worked.</w:t>
            </w:r>
          </w:p>
          <w:p>
            <w:pPr>
              <w:spacing w:after="120" w:line="252" w:lineRule="auto"/>
              <w:jc w:val="both"/>
            </w:pPr>
            <w:r>
              <w:rPr>
                <w:sz w:val="22"/>
                <w:szCs w:val="22"/>
              </w:rPr>
              <w:t xml:space="preserve">The study's cost framing matters for any imitator: the pension annuity is paid whether or not the retiree returns, so the marginal cost of the rehire is the salary difference against a novice, less the novice's benefits. What the authors could not do is also instructive. With no vacancy data and no counterfactual, no effect on student outcomes or on the shortage itself could be estimated, and the window expired in autumn 2009 with the question unanswered.</w:t>
            </w:r>
          </w:p>
          <w:p>
            <w:pPr>
              <w:spacing w:after="40"/>
            </w:pPr>
            <w:r>
              <w:rPr>
                <w:sz w:val="18"/>
                <w:szCs w:val="18"/>
              </w:rPr>
              <w:t xml:space="preserve">Source: Jarrold-Grapes and Mahler (2024).</w:t>
            </w:r>
          </w:p>
        </w:tc>
      </w:tr>
    </w:tbl>
    <w:p>
      <w:pPr>
        <w:spacing w:after="160"/>
      </w:pPr>
    </w:p>
    <w:p>
      <w:pPr>
        <w:spacing w:after="160" w:line="264" w:lineRule="auto"/>
        <w:jc w:val="both"/>
      </w:pPr>
      <w:r>
        <w:t xml:space="preserve">Three cases carry the pay dial, and honesty requires saying what they cannot carry. They differ in pension regime, era, product and age profile as well as in the step a returner lands on, and nowhere has the step been varied while anything else was held constant. The discriminating test exists and is cheap. The Austrian audit could disaggregate its returners by former employment status, comparing the cohort forced onto the starting salary with the cohort whose service was credited. Even that comparison would price the pay rule together with everything else that distinguishes a career civil servant from a contract teacher, so a null result would be more informative than a positive one.</w:t>
      </w:r>
    </w:p>
    <w:p>
      <w:pPr>
        <w:spacing w:after="160" w:line="264" w:lineRule="auto"/>
        <w:jc w:val="both"/>
      </w:pPr>
      <w:r>
        <w:rPr>
          <w:b/>
          <w:bCs/>
        </w:rPr>
        <w:t xml:space="preserve">The exclusion dial has the record's cleanest measurement, because one legislature ordered an audit of its own screens.</w:t>
      </w:r>
      <w:r>
        <w:t xml:space="preserve"> Eligibility conditions are additive in law and multiplicative in effect: a service threshold, a mandatory break and a subject-and-region test must all be cleared, each is set independently of the others, and the population that survives all three can be a small fraction of the population any one of them would pass. In Georgia, where the rehire statute stacked a 30-year service requirement, a one-year break and a centrally determined list of the three highest-need subjects per region, full-time rehires stayed below one per cent of the workforce while almost half (45%) of surveyed school systems reported at least one hire the statutory provisions had blocked (Georgia Department of Audits and Accounts, 2025). Box 3.2 traces the loop from statute to audit to renewal.</w:t>
      </w:r>
    </w:p>
    <w:p>
      <w:pPr>
        <w:spacing w:after="160" w:line="264" w:lineRule="auto"/>
        <w:jc w:val="both"/>
      </w:pPr>
      <w:r>
        <w:t xml:space="preserve">The audit is also the only employer-side counterfactual in this record, and what employers named as the obstacle was not money. The retirees they did rehire earned a veteran wage the systems were evidently willing to pay (Box 3.2); what stopped further hires were the service rule, the waiting year and the subject methodology (Georgia Department of Audits and Accounts, 2025). The pay dial and the exclusion dial are therefore genuinely distinct charges, and a system can set one generously while the other quietly does the rationing.</w:t>
      </w:r>
    </w:p>
    <w:p>
      <w:pPr>
        <w:spacing w:after="160" w:line="264" w:lineRule="auto"/>
        <w:jc w:val="both"/>
      </w:pPr>
      <w:r>
        <w:t xml:space="preserve">Waiting periods, the most widespread exclusion, sit in pension-integrity law rather than education policy. The French six-month delay before a retired public servant may resume work with the last employer exists to stop employers re-hiring their own just-retired staff more cheaply (Assemblée nationale, 2020). The American waits, ninety days in New Mexico, six months in Michigan and Virginia after earlier longer periods, a year in Louisiana and Georgia, descend from tax-law tests of bona fide retirement (New Mexico Legislature, 2022; Michigan Office of Retirement Services, 2023; Commonwealth of Virginia, 2023; Teachers' Retirement System of Louisiana, 2024). Each guards a pension system's integrity, and each is, incidentally, a charge on teacher re-entry levied by a body with no teacher-supply mandate.</w:t>
      </w:r>
    </w:p>
    <w:p>
      <w:pPr>
        <w:spacing w:after="160" w:line="264" w:lineRule="auto"/>
        <w:jc w:val="both"/>
      </w:pPr>
      <w:r>
        <w:t xml:space="preserve">The most recent movement on this dial is Georgia's renewal of its rehire law, which extended the programme to the end of the decade, kept the 30-year rule, and devolved the high-need determination to school systems (Teachers Retirement System of Georgia, 2026). The screen that was relaxed is the locally held one, the screen that stayed is the centrally set one, and the take-up series that follows will be the cleanest natural test of the exclusion dial the field is likely to get.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3"/>
                <w:szCs w:val="23"/>
              </w:rPr>
              <w:t xml:space="preserve">Box 3.2. Writing the audit into the statute: Georgia's sunset, audit and renewal loop</w:t>
            </w:r>
          </w:p>
          <w:p>
            <w:pPr>
              <w:spacing w:after="120" w:line="252" w:lineRule="auto"/>
              <w:jc w:val="both"/>
            </w:pPr>
            <w:r>
              <w:rPr>
                <w:sz w:val="22"/>
                <w:szCs w:val="22"/>
              </w:rPr>
              <w:t xml:space="preserve">Georgia's House Bill 385 of 2022 allowed retirees with at least 30 years of creditable service, retired at least one year, to teach full-time on full pension in the three highest-need subject areas of their region, as determined annually by the state. The statute carried its own sunset, 30 June 2026, and its own audit requirement, and the mandated performance audit was delivered in April 2025.</w:t>
            </w:r>
          </w:p>
          <w:p>
            <w:pPr>
              <w:spacing w:after="120" w:line="252" w:lineRule="auto"/>
              <w:jc w:val="both"/>
            </w:pPr>
            <w:r>
              <w:rPr>
                <w:sz w:val="22"/>
                <w:szCs w:val="22"/>
              </w:rPr>
              <w:t xml:space="preserve">The audit counted 635 retired teachers working full-time under the law for at least one school year across three fiscal years, roughly 350 in any given year, in a workforce of about 125 000 facing some 6 000 vacant or not-fully-certified posts. Related pension contributions totalled USD 11.1 million, under one per cent of contributions overall; the rehired retirees earned an average salary of USD 78 487. The auditors judged the effect on both the shortage and the pension system minimal. They also surveyed employers: 45% of 163 responding school systems said the statutory provisions had blocked a hire they wanted to make, naming the 30-year rule, the one-year break and the high-need-subject methodology, and about 65% planned to keep using the law. Eight other southern states had passed similar laws; Georgia's was the most restrictive.</w:t>
            </w:r>
          </w:p>
          <w:p>
            <w:pPr>
              <w:spacing w:after="120" w:line="252" w:lineRule="auto"/>
              <w:jc w:val="both"/>
            </w:pPr>
            <w:r>
              <w:rPr>
                <w:sz w:val="22"/>
                <w:szCs w:val="22"/>
              </w:rPr>
              <w:t xml:space="preserve">The legislature then renewed with the audit on the table. Senate Bill 150, signed in May 2026, extended the programme to 2030, kept the 30-year service requirement, and let school systems determine their own high-need areas in place of the state methodology. Sunset, mandated count, arms-length audit and informed renewal closed as a loop exactly once in the record assembled for this paper, and this is that instance.</w:t>
            </w:r>
          </w:p>
          <w:p>
            <w:pPr>
              <w:spacing w:after="40"/>
            </w:pPr>
            <w:r>
              <w:rPr>
                <w:sz w:val="18"/>
                <w:szCs w:val="18"/>
              </w:rPr>
              <w:t xml:space="preserve">Source: Georgia Department of Audits and Accounts (2025); Teachers Retirement System of Georgia (2026).</w:t>
            </w:r>
          </w:p>
        </w:tc>
      </w:tr>
    </w:tbl>
    <w:p>
      <w:pPr>
        <w:spacing w:after="160"/>
      </w:pPr>
    </w:p>
    <w:p>
      <w:pPr>
        <w:spacing w:after="160" w:line="264" w:lineRule="auto"/>
        <w:jc w:val="both"/>
      </w:pPr>
      <w:r>
        <w:rPr>
          <w:b/>
          <w:bCs/>
        </w:rPr>
        <w:t xml:space="preserve">The intensity dial has been moved in both directions by the same system, which makes it the best-documented dial in the record.</w:t>
      </w:r>
      <w:r>
        <w:t xml:space="preserve"> A day cap defines how much teaching a retiree may sell before the pension reprices, and it is a genuine two-way valve. The Ontario cap was nearly quintupled in a shortage, roughly halved after a newspaper investigation documented heavy board spending on retired supply teachers at nearly twice the new-graduate day rate while newly certified teachers went short of assignments, restored for the pandemic years, and cut back when the pandemic agreement expired (Hammer and Alphonso, 2010; Ontario Ministry of Education, 2022; Ontario Teachers' Pension Plan, 2026; Table 3.2). The teachers' federation that co-sponsors the pension plan then refused a further extension in March 2024, with the record's most quotable statement of where this dial lives: "the Pension Plan is designed to provide an income to retired teachers; it is not a tool for addressing labour market challenges" (OCEOTA, 2024; Alphonso, 2024). The cap can be moved only by agreement of the plan's co-sponsors, one of which answers to serving and newly certified teachers as well as to pensioners.</w:t>
      </w:r>
    </w:p>
    <w:p>
      <w:pPr>
        <w:spacing w:after="160" w:line="264" w:lineRule="auto"/>
        <w:jc w:val="both"/>
      </w:pPr>
      <w:r>
        <w:t xml:space="preserve">What moving the cap achieved is, strikingly, not known. No post-liberalisation take-up figure for the pandemic increase was ever published; the number most often quoted against permissiveness is a union estimate of member interest released on the day the change was announced, which measures appetite for a forty-five-day increment rather than appetite for returning (Global News, 2022), and this paper declines to borrow it. The fuller lesson comes from the system that removed intensity limits altogether. When New Mexico opened a route with no salary or hours caps, the flagship no-limits route drew barely a hundred and fifty users in its first year, within a total of fewer than three thousand retirees working across all four routes, against tens of thousands potentially eligible (New Mexico Educational Retirement Board, 2023; Table 3.1).</w:t>
      </w:r>
    </w:p>
    <w:p>
      <w:pPr>
        <w:spacing w:after="160" w:line="264" w:lineRule="auto"/>
        <w:jc w:val="both"/>
      </w:pPr>
      <w:r>
        <w:t xml:space="preserve">Permission is not price. Liberalising a cap moves nobody by itself, and unprogrammed re-employment under long-standing rules dwarfs the flagship new route it is meant to showcase.</w:t>
      </w:r>
    </w:p>
    <w:p>
      <w:pPr>
        <w:spacing w:after="160" w:line="264" w:lineRule="auto"/>
        <w:jc w:val="both"/>
      </w:pPr>
      <w:r>
        <w:t xml:space="preserve">The intensity dial is also where systems set their standing on-ramps, and here the record poses a choice rather than answering one. The statutory allowance of relief teaching without a current certificate, noted in Chapter 2, is permanent law in one system (New Zealand Legislation, 2020). The annual suspension of substitute-work limits for teachers on career break has been renewed annually for several successive school years in another (Department of Education and Youth, 2025), and several of the American instruments carry sunsets. An instrument justified as barrier removal should be permanent and evaluated as regulation, while one justified as crisis cover should be explicitly sunset and counted; what no system should do is run a crisis instrument on annual renewal for five years while describing it as structural reform.</w:t>
      </w:r>
    </w:p>
    <w:p>
      <w:pPr>
        <w:spacing w:after="160" w:line="264" w:lineRule="auto"/>
        <w:jc w:val="both"/>
      </w:pPr>
      <w:r>
        <w:rPr>
          <w:b/>
          <w:bCs/>
        </w:rPr>
        <w:t xml:space="preserve">The licence dial is the cheapest to move and, after moving, the least measured.</w:t>
      </w:r>
      <w:r>
        <w:t xml:space="preserve"> The scale of the barrier is register-visible, since close to half of the certified non-teachers in the register examined in Chapter 1 held expired certificates (Lindsay, Gnedko-Berry and Wan, 2021). The designs on offer are sensible. One system ties its refresh requirement to the absence of a job offer, so a returner a school actually wants is never delayed by the rule, and currently pays practising-certificate fees on teachers' behalf (Teaching Council of Aotearoa New Zealand, 2026; New Zealand Ministry of Education, 2026); another fast-tracked lapsed licences by executive directive (Will, 2022); others simplified their working-after-retirement rules outright (Michigan Office of Retirement Services, 2022) or folded relicensing into them (Teachers' Retirement System of Louisiana, 2026). Yet no jurisdiction publishes take-up for a licensure waiver, so the dial most often recommended in policy commentary is the one whose effect the record cannot yet show, and claims for it should be made in the register of promise rather than of evidence.</w:t>
      </w:r>
    </w:p>
    <w:p>
      <w:pPr>
        <w:keepNext/>
        <w:spacing w:after="120" w:before="200"/>
      </w:pPr>
      <w:r>
        <w:rPr>
          <w:b/>
          <w:bCs/>
          <w:color w:val="4E81BD"/>
          <w:sz w:val="23"/>
          <w:szCs w:val="23"/>
        </w:rPr>
        <w:t xml:space="preserve">Table 3.2. The four regulatory dials that price a return, by system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91"/>
        <w:gridCol w:w="1984"/>
        <w:gridCol w:w="2927"/>
        <w:gridCol w:w="1642"/>
        <w:gridCol w:w="1028"/>
      </w:tblGrid>
      <w:tr>
        <w:trPr>
          <w:tblHeader/>
        </w:trPr>
        <w:tc>
          <w:tcPr>
            <w:tcW w:type="dxa" w:w="1491"/>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System (instrument)</w:t>
            </w:r>
          </w:p>
        </w:tc>
        <w:tc>
          <w:tcPr>
            <w:tcW w:type="dxa" w:w="198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Pay: step and pension concurrency</w:t>
            </w:r>
          </w:p>
        </w:tc>
        <w:tc>
          <w:tcPr>
            <w:tcW w:type="dxa" w:w="2927"/>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Exclusion: waits, thresholds, screens</w:t>
            </w:r>
          </w:p>
        </w:tc>
        <w:tc>
          <w:tcPr>
            <w:tcW w:type="dxa" w:w="1642"/>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Intensity: caps on quantity</w:t>
            </w:r>
          </w:p>
        </w:tc>
        <w:tc>
          <w:tcPr>
            <w:tcW w:type="dxa" w:w="1028"/>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Licence: lapse, refresh, waiver</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Austria (crediting rules; Länder contracts)</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Ex-civil-servants: full pension + starting salary (pension-generating service excluded from crediting); ex-contract teachers: service credited, broadly pre-retirement pay</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formal</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Reduced hours common in new fixed-term contracts</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Portugal (Decreto-Lei 51/2024, Art. 5)</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 + pay indexed to first career step, pro-rated by hours</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Retired five years or less; annual quota</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Pro-rating by teaching hours</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North Carolina, US (RTW window, 1999-2009)</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 salary + full pension during the window; half-salary part-time earnings cap before and after</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First year only: low-performing schools, certification match</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during the window</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Georgia, US (HB 385 / SB 150)</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 pension + placement on the salary schedule</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30 years' service; one-year break; three highest-need subjects per region (district-determined from 2026); sunset 2030</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Full-time only</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Certification required</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Mexico, US (HB 73 / SB 133)</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 no salary limits on the newest route</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90-day layout; no pre-arranged return; board approval</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Routes at ≤0.25 FTE, under USD 25 000, or no limits for up to 60 months</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Michigan, US (PA 184 / PA 147)</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and insurance subsidy kept; no earnings limit after the wait</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Bona fide termination; six-month wait (reverts to nine months in 2028 unless renewed); USD 15 100 earnings cap during the wait</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after the wait</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Louisiana, US (Acts 394/2024, 344/2026)</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 salary in certified critical-shortage posts</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12-month wait; fewer-than-three-certified-applicants test; no-impact route at 65+ from 2026</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Earnings cap of 50% of final average compensation outside shortage routes</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General certification suffices from 2026</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Virginia, US (Va. Code § 51.1-155; ED-3)</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 salary in critical-shortage positions (statutory since 2001)</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Six-month break (previously twelve); no pre-arranged return; closed to early-retirement-incentive retirees; sunset 2028</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Full-time critical-shortage posts</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Lapsed licences fast-tracked under the 2022 directive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Ontario, Canada (Teachers' Pension Act, Sch. 1)</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 within the cap</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50 days per school year (95 in 1990-2012 for the first three years, and 2020/21-2022/23); movable only by co-sponsor agreement</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France (cumul emploi-retraite)</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Capped pension-earnings combination unless full-rate conditions are met; new pension rights accrue since 2023</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Six months before re-employment with the last employer</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England, UK (Teachers' Pension Scheme)</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Abatement of final-salary Age/Premature benefits above the salary of reference; career-average benefits never abated</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Earnings limit rather than day cap</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Zealand (Education and Training Act 2020; Teaching Council policy)</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20 half-days per year of relief teaching without a practising certificate; extension possible with a job offer</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Refresh required mainly without a job offer; certificate fees paid by government to mid-2028</w:t>
            </w:r>
          </w:p>
        </w:tc>
      </w:tr>
      <w:tr>
        <w:trPr>
          <w:tblHeader w:val="false"/>
        </w:trPr>
        <w:tc>
          <w:tcPr>
            <w:tcW w:type="dxa" w:w="149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Ireland (career break scheme; annual information notes)</w:t>
            </w:r>
          </w:p>
        </w:tc>
        <w:tc>
          <w:tcPr>
            <w:tcW w:type="dxa" w:w="198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Substitute pay at regular rates; increments accrue under general rules</w:t>
            </w:r>
          </w:p>
        </w:tc>
        <w:tc>
          <w:tcPr>
            <w:tcW w:type="dxa" w:w="292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Career-break status</w:t>
            </w:r>
          </w:p>
        </w:tc>
        <w:tc>
          <w:tcPr>
            <w:tcW w:type="dxa" w:w="164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Substitute-work limits suspended annually since at least 2021/22</w:t>
            </w:r>
          </w:p>
        </w:tc>
        <w:tc>
          <w:tcPr>
            <w:tcW w:type="dxa" w:w="10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bl>
    <w:p>
      <w:pPr>
        <w:spacing w:after="120"/>
      </w:pPr>
    </w:p>
    <w:p>
      <w:pPr>
        <w:spacing w:after="60"/>
        <w:jc w:val="left"/>
      </w:pPr>
      <w:r>
        <w:rPr>
          <w:sz w:val="18"/>
          <w:szCs w:val="18"/>
        </w:rPr>
        <w:t xml:space="preserve">Note: "—" indicates no provision specific to returners identified in the sources consulted. The table records rule design, not effect; published take-up under each rule appears in Table 3.1 where it exists.</w:t>
      </w:r>
    </w:p>
    <w:p>
      <w:pPr>
        <w:spacing w:after="60"/>
        <w:jc w:val="left"/>
      </w:pPr>
      <w:r>
        <w:rPr>
          <w:sz w:val="18"/>
          <w:szCs w:val="18"/>
        </w:rPr>
        <w:t xml:space="preserve">Source: BMBWF (2023); Teachers' Pensions (n.d.); Decreto-Lei n.º 51/2024; Jarrold-Grapes and Mahler (2024); Georgia Department of Audits and Accounts (2025); Teachers Retirement System of Georgia (2026); New Mexico Legislature (2022); New Mexico Educational Retirement Board (2025); Michigan Office of Retirement Services (2022; 2023); Teachers' Retirement System of Louisiana (2024; 2026); Virginia Retirement System (n.d.); Commonwealth of Virginia (2023); Will (2022); Ontario Teachers' Pension Plan (2026); Ontario Ministry of Education (2022); Assemblée nationale (2020); New Zealand Legislation (2020); Teaching Council of Aotearoa New Zealand (2026); New Zealand Ministry of Education (2026); Department of Education (2019); Department of Education and Youth (2025).</w:t>
      </w:r>
    </w:p>
    <w:p>
      <w:pPr>
        <w:spacing w:after="160" w:line="264" w:lineRule="auto"/>
        <w:jc w:val="both"/>
      </w:pPr>
      <w:r>
        <w:t xml:space="preserve">The payload of the four dials is jurisdictional, and it can be stated as a single finding. Every dial that has demonstrably moved re-entry volume in this record sits outside the education ministry: the crediting rule in civil-service and pension law, pension-salary concurrency in state retirement statutes, the day cap with a pension plan's co-sponsors, the waiting period in social-security and tax law. A re-entry strategy written wholly inside an education ministry is therefore a strategy over the least powerful instruments in the system, which is a large part of why the programmes of Section 3.1 moved so little while costing so little.</w:t>
      </w:r>
    </w:p>
    <w:p>
      <w:pPr>
        <w:spacing w:after="160" w:line="264" w:lineRule="auto"/>
        <w:jc w:val="both"/>
      </w:pPr>
      <w:r>
        <w:t xml:space="preserve">What an education ministry can do, on its own authority and within a week, is audit the price. The charges a state levies on its own former teachers are a finite list that can be totalled, published, and taken to the departments that own each dial, beginning with the salary step; no country in this record has published such an audit, and any of them could.</w:t>
      </w:r>
    </w:p>
    <w:p>
      <w:pPr>
        <w:spacing w:after="160" w:line="264" w:lineRule="auto"/>
        <w:jc w:val="both"/>
      </w:pPr>
      <w:r>
        <w:t xml:space="preserve">The next chapter turns that observation, together with the two outcomes a programme can genuinely deliver, into an ordered set of recommendations, and into the counting duty without which none of them can be judged.</w:t>
      </w:r>
    </w:p>
    <w:p>
      <w:pPr>
        <w:pStyle w:val="Heading1"/>
        <w:pageBreakBefore/>
      </w:pPr>
      <w:r>
        <w:t xml:space="preserve">4. Lessons and recommendations for policy makers</w:t>
      </w:r>
    </w:p>
    <w:p>
      <w:pPr>
        <w:spacing w:after="160" w:line="264" w:lineRule="auto"/>
        <w:jc w:val="both"/>
      </w:pPr>
      <w:r>
        <w:t xml:space="preserve">What should a ministry do first, and in what order does the record support doing it? The preceding chapters have answered the questions that come before that one. A population a register can count, a price the state largely sets itself and an offer of hours rather than posts together define a function that a ministry can staff, cost and judge, and this chapter converts them into instructions. The order of the instructions is the order of the evidence behind them, which runs from strong to thin.</w:t>
      </w:r>
    </w:p>
    <w:p>
      <w:pPr>
        <w:spacing w:after="160" w:line="264" w:lineRule="auto"/>
        <w:jc w:val="both"/>
      </w:pPr>
      <w:r>
        <w:t xml:space="preserve">One property of the record governs everything that follows, and it is the first lesson rather than a caveat. Wherever a re-entry measure produces recurring numbers, somebody outside the sponsoring ministry held a standing duty to count; wherever nobody did, no numbers exist, however loudly the measure was announced. Evidence in this field is created at the drafting stage or not at all. A minister who wants the next review to know more than this one can arrange it in a single clause.</w:t>
      </w:r>
    </w:p>
    <w:p>
      <w:pPr>
        <w:pStyle w:val="Heading2"/>
      </w:pPr>
      <w:r>
        <w:t xml:space="preserve">4.1. Why does the record look the way it does?</w:t>
      </w:r>
    </w:p>
    <w:p>
      <w:pPr>
        <w:spacing w:after="160" w:line="264" w:lineRule="auto"/>
        <w:jc w:val="both"/>
      </w:pPr>
      <w:r>
        <w:rPr>
          <w:b/>
          <w:bCs/>
        </w:rPr>
        <w:t xml:space="preserve">Published evidence follows the counting duty, and in every instrument that has produced a recurring series the duty sits outside the sponsor.</w:t>
      </w:r>
    </w:p>
    <w:p>
      <w:pPr>
        <w:spacing w:after="160" w:line="264" w:lineRule="auto"/>
        <w:jc w:val="both"/>
      </w:pPr>
      <w:r>
        <w:t xml:space="preserve">Three instruments in this record produce audited or recurring numbers, and in each the obligation is owed elsewhere. In Georgia, for example, the statute wrote its own sunset and its own audit; in Austria, the national court of audit counted on its own mandate; in New Mexico, the pension board reports participation to a legislative committee every year.</w:t>
      </w:r>
    </w:p>
    <w:p>
      <w:pPr>
        <w:spacing w:after="160" w:line="264" w:lineRule="auto"/>
        <w:jc w:val="both"/>
      </w:pPr>
      <w:r>
        <w:t xml:space="preserve">Instruments of the same family in several other systems sit inside pension administrations that hold exactly the same records and publish nothing (Table 4.1). What predicts being counted is an independent duty; riding a register, which every one of these instruments does, predicts nothing.</w:t>
      </w:r>
    </w:p>
    <w:p>
      <w:pPr>
        <w:keepNext/>
        <w:spacing w:after="120" w:before="200"/>
      </w:pPr>
      <w:r>
        <w:rPr>
          <w:b/>
          <w:bCs/>
          <w:color w:val="4E81BD"/>
          <w:sz w:val="23"/>
          <w:szCs w:val="23"/>
        </w:rPr>
        <w:t xml:space="preserve">Table 4.1. Who counts re-entry: the counting body behind each measure's published record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41"/>
        <w:gridCol w:w="1821"/>
        <w:gridCol w:w="1364"/>
        <w:gridCol w:w="2027"/>
        <w:gridCol w:w="1519"/>
      </w:tblGrid>
      <w:tr>
        <w:trPr>
          <w:tblHeader/>
        </w:trPr>
        <w:tc>
          <w:tcPr>
            <w:tcW w:type="dxa" w:w="2341"/>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System and instrument</w:t>
            </w:r>
          </w:p>
        </w:tc>
        <w:tc>
          <w:tcPr>
            <w:tcW w:type="dxa" w:w="1821"/>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Counting body</w:t>
            </w:r>
          </w:p>
        </w:tc>
        <w:tc>
          <w:tcPr>
            <w:tcW w:type="dxa" w:w="136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Independent of the sponsor?</w:t>
            </w:r>
          </w:p>
        </w:tc>
        <w:tc>
          <w:tcPr>
            <w:tcW w:type="dxa" w:w="2027"/>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What has been published</w:t>
            </w:r>
          </w:p>
        </w:tc>
        <w:tc>
          <w:tcPr>
            <w:tcW w:type="dxa" w:w="1519"/>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Publication status</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Georgia (United States), full-time re-employment of retired teachers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State auditor, mandated in the statute itself</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Yes</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Take-up by year, employer survey of blocked hires, cost analysis</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One-off audit; renewal legislated with the audit on the table</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Austria, return of retired and former teachers to service</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Court of Audit, own mandate</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Yes</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Audited national take-up across six school years</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One-off audit</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Mexico (United States), return-to-work routes for education retirees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Educational Retirement Board, reporting to a legislative oversight committee</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Yes</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Participation counts by route</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Recurring, annual</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England (United Kingdom), Return to Teaching pilot</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Independent evaluator commissioned by the department</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Arm's length (commissioned)</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 recruitment funnel, cost per additional returner, survival analysis</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One-off evaluation, published in full; programme closed</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South Wales (Australia), Teachers Re-Engage</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Sponsoring department</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 recruitment funnel in a one-off media release (May 2024), with a one-line outcome in one annual report</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Absent from the following annual report</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Michigan (United States), working-after-retirement rules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(pension system holds the records)</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 take-up count</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Nothing published</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Virginia (United States), critical-shortage rehire provisions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(retirement system holds the records)</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 take-up count</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Nothing published</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Louisiana (United States), return-to-work framework</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Actuarial review only, due before the 2034 session</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Pending</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 take-up count</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Nothing published to date</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France, cumul emploi-retraite as applied to teachers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(pension administrations hold the records)</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 teacher-specific count; parliamentary questions answered without one</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Nothing published</w:t>
            </w:r>
          </w:p>
        </w:tc>
      </w:tr>
      <w:tr>
        <w:trPr>
          <w:tblHeader w:val="false"/>
        </w:trPr>
        <w:tc>
          <w:tcPr>
            <w:tcW w:type="dxa" w:w="234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China, Silver Age teacher action plans</w:t>
            </w:r>
          </w:p>
        </w:tc>
        <w:tc>
          <w:tcPr>
            <w:tcW w:type="dxa" w:w="182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None identified</w:t>
            </w:r>
          </w:p>
        </w:tc>
        <w:tc>
          <w:tcPr>
            <w:tcW w:type="dxa" w:w="136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02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Recruitment targets and round announcements; no audited progress count</w:t>
            </w:r>
          </w:p>
        </w:tc>
        <w:tc>
          <w:tcPr>
            <w:tcW w:type="dxa" w:w="151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Announcements only</w:t>
            </w:r>
          </w:p>
        </w:tc>
      </w:tr>
    </w:tbl>
    <w:p>
      <w:pPr>
        <w:spacing w:after="120"/>
      </w:pPr>
    </w:p>
    <w:p>
      <w:pPr>
        <w:spacing w:after="60"/>
        <w:jc w:val="left"/>
      </w:pPr>
      <w:r>
        <w:rPr>
          <w:sz w:val="18"/>
          <w:szCs w:val="18"/>
        </w:rPr>
        <w:t xml:space="preserve">Note: The table records who holds a duty to count, not how the instruments performed; outcome definitions, denominators and the intensity of the posts counted differ across rows and are not comparable.</w:t>
      </w:r>
    </w:p>
    <w:p>
      <w:pPr>
        <w:spacing w:after="60"/>
        <w:jc w:val="left"/>
      </w:pPr>
      <w:r>
        <w:rPr>
          <w:sz w:val="18"/>
          <w:szCs w:val="18"/>
        </w:rPr>
        <w:t xml:space="preserve">Source: Georgia Department of Audits and Accounts (2025); Teachers Retirement System of Georgia (2026); Rechnungshof (2025); New Mexico Educational Retirement Board (2023); Buchanan et al. (2018); NSW Government (2024); NSW Department of Education (2024; 2025); Michigan Office of Retirement Services (2022; 2023); Virginia Retirement System (n.d.); Teachers' Retirement System of Louisiana (2024; 2026); Assemblée nationale (2023; 2026); MOE et al. (2023); MOE (2025).</w:t>
      </w:r>
    </w:p>
    <w:p>
      <w:pPr>
        <w:spacing w:after="160" w:line="264" w:lineRule="auto"/>
        <w:jc w:val="both"/>
      </w:pPr>
      <w:r>
        <w:t xml:space="preserve">The consequence is a selection effect that deserves to be stated as a finding about the literature rather than left as background noise. The most rigorous products in this record, an independent programme evaluation, a mandated state audit and a court of audit report, all return negative or modest verdicts, while the measures that report success publish no evaluation at all. The one funnel published by a sponsoring department appeared in full only in a single media release six months into the programme (May 2024), with a one-line outcome in one annual report, and was gone from the next (NSW Government, 2024; NSW Department of Education, 2024; 2025). A synthesis of published evidence in this field is therefore biased downward, a synthesis of published claims biased upward, and nothing in the record permits a correction. Part of the scepticism re-entry attracts is an artefact of who was obliged to count.</w:t>
      </w:r>
    </w:p>
    <w:p>
      <w:pPr>
        <w:spacing w:after="160" w:line="264" w:lineRule="auto"/>
        <w:jc w:val="both"/>
      </w:pPr>
      <w:r>
        <w:t xml:space="preserve">The same selection is visible in this paper's own architecture, since four of its propositions each rest on a single observation that is the only one of its kind, the English cost estimate, the Portuguese price test, the Ontario displacement investigation and the North Carolina pay experiment, and that is exactly the literature a field in which evidence follows the counting duty should be expected to produce.</w:t>
      </w:r>
    </w:p>
    <w:p>
      <w:pPr>
        <w:spacing w:after="160" w:line="264" w:lineRule="auto"/>
        <w:jc w:val="both"/>
      </w:pPr>
      <w:r>
        <w:t xml:space="preserve">The objection writes itself, and it is partly right. Governments tend to audit what they already suspect, so the association between counting and unflattering verdicts cannot be read as an effect of counting. The claim this paper retains is narrower and proof against the objection, because it is a drafting instruction rather than a correlation. Policy makers can place the count inside the standing duty of a body that does not answer to the sponsor, and where that cannot be arranged they should expect no evidence and budget accordingly. The loop of sunset, audit and informed renewal has closed exactly once in this record (Box 3.2).</w:t>
      </w:r>
    </w:p>
    <w:p>
      <w:pPr>
        <w:spacing w:after="160" w:line="264" w:lineRule="auto"/>
        <w:jc w:val="both"/>
      </w:pPr>
      <w:r>
        <w:t xml:space="preserve">The place the duty is needed next is the entry-level supply market, because that is where any harm would show. Re-entry can be immaterial against a national workforce and decisive in the casual and supply market at the same time. Those are different denominators, and every returner count must carry the denominator and the intensity of post it was measured against. The one wind-back in the record followed a newspaper investigation rather than an official series. In Ontario, as Chapter 3 recounted, reporters found the largest school boards spending over a hundred million Canadian dollars a year on retired supply teachers at close to twice the new-graduate day rate, in years when newly certified teachers outnumbered annual openings roughly two to one (Hammer and Alphonso, 2010). The rule is also the only one in this record whose amendment requires the consent of a body speaking for serving and future teachers as well as pensioners, and that body has since refused a further loosening, restating that a pension plan exists to provide retirement income rather than to manage the labour market (Alphonso, 2024; OCEOTA, 2024; see Chapter 3).</w:t>
      </w:r>
    </w:p>
    <w:p>
      <w:pPr>
        <w:spacing w:after="160" w:line="264" w:lineRule="auto"/>
        <w:jc w:val="both"/>
      </w:pPr>
      <w:r>
        <w:t xml:space="preserve">A higher day rate is partly what any seniority grid produces when a substitute carries decades of credited service, and a displacement reading assumes the boards would otherwise have hired graduates for those days. Neither side of that argument can currently be settled from a published series, which argues for the guardrail rather than against it.</w:t>
      </w:r>
    </w:p>
    <w:p>
      <w:pPr>
        <w:spacing w:after="160" w:line="264" w:lineRule="auto"/>
        <w:jc w:val="both"/>
      </w:pPr>
      <w:r>
        <w:t xml:space="preserve">Education systems therefore need to publish new-graduate hiring rates for their casual and supply pools alongside retiree re-employment counts, and treat movement in the first as the trigger for reviewing the second.</w:t>
      </w:r>
    </w:p>
    <w:p>
      <w:pPr>
        <w:pStyle w:val="Heading2"/>
      </w:pPr>
      <w:r>
        <w:t xml:space="preserve">4.2. What policy makers can do now</w:t>
      </w:r>
    </w:p>
    <w:p>
      <w:pPr>
        <w:spacing w:after="160" w:line="264" w:lineRule="auto"/>
        <w:jc w:val="both"/>
      </w:pPr>
      <w:r>
        <w:rPr>
          <w:b/>
          <w:bCs/>
        </w:rPr>
        <w:t xml:space="preserve">The record supports a sequence of six actions, ordered by the strength of the evidence behind them, and all but one lie within powers education ministries already hold.</w:t>
      </w:r>
    </w:p>
    <w:p>
      <w:pPr>
        <w:spacing w:after="160" w:line="264" w:lineRule="auto"/>
        <w:jc w:val="both"/>
      </w:pPr>
      <w:r>
        <w:rPr>
          <w:b/>
          <w:bCs/>
        </w:rPr>
        <w:t xml:space="preserve">Publish the reserve as a netted series, and quote no figure that is not.</w:t>
      </w:r>
      <w:r>
        <w:t xml:space="preserve"> The specification is stated in Chapter 1, and every register examined there already holds the fields it requires. Each deduction moves the count downward, so the netted series is an honest upper bound on the population while a headline total describes the rule of the register that produced it (Table 1.1). The OECD has observed that missing data on potential returners may limit systems' ability to use this channel strategically (OECD, 2024), and the remedy is administrative rather than scientific. A ministry that keeps quoting an unnetted figure is describing its register, and needs to say so.</w:t>
      </w:r>
    </w:p>
    <w:p>
      <w:pPr>
        <w:spacing w:after="160" w:line="264" w:lineRule="auto"/>
        <w:jc w:val="both"/>
      </w:pPr>
      <w:r>
        <w:rPr>
          <w:b/>
          <w:bCs/>
        </w:rPr>
        <w:t xml:space="preserve">Audit the price of return, beginning with the salary step.</w:t>
      </w:r>
      <w:r>
        <w:t xml:space="preserve"> What a system charges a returner is a sum its own rules fix, and the step a returner is placed on is the dial that most plausibly separates the record's one mass return from its many token ones (Chapter 3). Most of the relevant rules are written in pension and civil-service law by departments that do not answer for teacher supply, so an education ministry can total and publish the price but usually cannot change it alone. A re-entry strategy drafted without the pensions and finance departments is a strategy over the weakest instruments in the system, so the audit needs to travel to the departments that own each rule. No system examined in this paper has published such an audit. Any of them could, in weeks rather than years.</w:t>
      </w:r>
    </w:p>
    <w:p>
      <w:pPr>
        <w:spacing w:after="160" w:line="264" w:lineRule="auto"/>
        <w:jc w:val="both"/>
      </w:pPr>
      <w:r>
        <w:rPr>
          <w:b/>
          <w:bCs/>
        </w:rPr>
        <w:t xml:space="preserve">Advertise hours, and tie funded support to a named vacancy.</w:t>
      </w:r>
      <w:r>
        <w:t xml:space="preserve"> Former teachers bought shorter hours and more control when they left, and the segment most committed to returning wants the part-time posts schools rarely advertise (Buchanan et al., 2018; Worth and Sharp, 2018). Education systems can put the hours in the advertisement, can release conversion support only against an identified vacancy, the correction England's successor programme made after its pilot (NCTL, 2017), and can spare returners who already hold a job offer any refresh requirement, the design New Zealand reached independently (Teaching Council of Aotearoa New Zealand, 2026). The scarce product has been identified for years; stocking it costs the price of an advertisement.</w:t>
      </w:r>
    </w:p>
    <w:p>
      <w:pPr>
        <w:spacing w:after="160" w:line="264" w:lineRule="auto"/>
        <w:jc w:val="both"/>
      </w:pPr>
      <w:r>
        <w:rPr>
          <w:b/>
          <w:bCs/>
        </w:rPr>
        <w:t xml:space="preserve">Buy defined roles at a specified dose, and attach the measurement at purchase.</w:t>
      </w:r>
      <w:r>
        <w:t xml:space="preserve"> The deployment that stated its protocol and dose was measured at scale and worked, while the role left to the practitioner's discretion was measured once, in a small trial that set no dose, and settled nothing (Gersten et al., 2015; DeCesare, McClelland and Randel, 2017; Chapter 2). Education systems that want tutoring, induction support or mentoring from former teachers can specify the role and the dose the way the tutoring trials did, and can write the evaluation into the contract rather than commissioning it afterwards. Buying seniority and hoping is what the record mostly shows; it is also why the next review of this field would otherwise be written on the same absence of evidence as this one.</w:t>
      </w:r>
    </w:p>
    <w:p>
      <w:pPr>
        <w:spacing w:after="160" w:line="264" w:lineRule="auto"/>
        <w:jc w:val="both"/>
      </w:pPr>
      <w:r>
        <w:rPr>
          <w:b/>
          <w:bCs/>
        </w:rPr>
        <w:t xml:space="preserve">Write the count into the instrument, and match the sunset to the decision it serves.</w:t>
      </w:r>
      <w:r>
        <w:t xml:space="preserve"> The duty belongs, as the previous section argues, with a body that does not answer to the sponsor, and the sunset needs to fall while the count can still change the decision. The count also enforces a distinction between two honest designs. An instrument justified as the removal of a barrier can be permanent and evaluated as regulation, while one justified as crisis cover can be explicitly temporary and counted. What no system should do is run a crisis instrument on annual renewal for half a decade while describing it as structural reform.</w:t>
      </w:r>
    </w:p>
    <w:p>
      <w:pPr>
        <w:spacing w:after="160" w:line="264" w:lineRule="auto"/>
        <w:jc w:val="both"/>
      </w:pPr>
      <w:r>
        <w:rPr>
          <w:b/>
          <w:bCs/>
        </w:rPr>
        <w:t xml:space="preserve">Report destination and survival, never placements alone.</w:t>
      </w:r>
      <w:r>
        <w:t xml:space="preserve"> A placement is the cheapest outcome a programme can report and the least informative, because the goods being counted range from a casual day to a permanent post. The account that supports decisions is cost per retained teacher-year, built from survival at one and three years and from where returners land. Where linked data exist they change the picture: close to a third of one returner cohort was out of service again within four years, with the odds of leaving after the first year back well above the workforce average (Buchanan et al., 2018; see Chapter 3). The record's largest return episode moved returners modestly towards harder-to-staff schools, most often the ones they had left (Jarrold-Grapes and Mahler, 2024).</w:t>
      </w:r>
    </w:p>
    <w:p>
      <w:pPr>
        <w:spacing w:after="160" w:line="264" w:lineRule="auto"/>
        <w:jc w:val="both"/>
      </w:pPr>
      <w:r>
        <w:t xml:space="preserve">Neither fact is visible in a placement count, and both belong in the price.</w:t>
      </w:r>
    </w:p>
    <w:p>
      <w:pPr>
        <w:pStyle w:val="Heading2"/>
      </w:pPr>
      <w:r>
        <w:t xml:space="preserve">4.3. When is the right expenditure zero?</w:t>
      </w:r>
    </w:p>
    <w:p>
      <w:pPr>
        <w:spacing w:after="160" w:line="264" w:lineRule="auto"/>
        <w:jc w:val="both"/>
      </w:pPr>
      <w:r>
        <w:rPr>
          <w:b/>
          <w:bCs/>
        </w:rPr>
        <w:t xml:space="preserve">A standing re-entry function includes the discipline to spend nothing, and the record identifies three conditions under which zero, or the withdrawal of an instrument, is the defensible budget.</w:t>
      </w:r>
    </w:p>
    <w:p>
      <w:pPr>
        <w:spacing w:after="160" w:line="264" w:lineRule="auto"/>
        <w:jc w:val="both"/>
      </w:pPr>
      <w:r>
        <w:t xml:space="preserve">The first condition is a loose entry pipeline. Where newly qualified teachers outnumber the openings available to them, premium-priced re-employment of retirees operates as a transfer from new entrants to pensioners, and the harm concentrates in the casual market where new careers begin; that is the configuration the Ontario investigation documented before the rule was tightened (Hammer and Alphonso, 2010). Commentary on the Chinese programmes points the same way, suggesting that some localities use retiree recruitment to defer creating formal posts, although this is secondary reporting rather than an official series (R.I.S.E. Magazine, 2025). Under this condition the right expenditure is negative, in the strict sense that withdrawing the instrument is the action the evidence supports.</w:t>
      </w:r>
    </w:p>
    <w:p>
      <w:pPr>
        <w:spacing w:after="160" w:line="264" w:lineRule="auto"/>
        <w:jc w:val="both"/>
      </w:pPr>
      <w:r>
        <w:t xml:space="preserve">The dependence can also run ahead of any policy, as in the Bahamas, where the teachers' union reported retired educators already working full-time in supply roles before the reservist scheme of 2026 gave the practice a name, a union statement rather than an official count (Munnings, 2026).</w:t>
      </w:r>
    </w:p>
    <w:p>
      <w:pPr>
        <w:spacing w:after="160" w:line="264" w:lineRule="auto"/>
        <w:jc w:val="both"/>
      </w:pPr>
      <w:r>
        <w:t xml:space="preserve">The second condition is an absorption constraint. Where schools cannot place the returners they already attract, further recruitment spending buys a queue. In the Netherlands, regional partnerships reported receiving more applications from side-entrants and returners than schools could place, in the same window in which the national returner subsidy went underspent and had its annual ceilings lowered on extension (De Jong et al., 2022; Ministerie van OCW, 2019a). As Chapter 3 set out, the finding establishes the direction of the constraint rather than its size; the direction alone is enough to move money from recruitment towards part-time posts, timetabling and hiring capacity.</w:t>
      </w:r>
    </w:p>
    <w:p>
      <w:pPr>
        <w:spacing w:after="160" w:line="264" w:lineRule="auto"/>
        <w:jc w:val="both"/>
      </w:pPr>
      <w:r>
        <w:t xml:space="preserve">The third condition is a population consisting only of retirees. A retiree pool is old and self-limiting: in the system where re-employment after retirement is the default staffing route, only about a third of age-based leavers from primary schools now seek full-time re-employment, and the one audited national intake peaked and fell within its own audit window (Sakuma and Shimazaki, 2024; Rechnungshof, 2025; see Chapter 3). Part of what reads as programme failure in this record is demography, and this paper does not attribute to design what demography may explain. A ministry can hold the channel open at low standing cost; what it should not do is fund an ageing stock as if it were a growth market.</w:t>
      </w:r>
    </w:p>
    <w:p>
      <w:pPr>
        <w:spacing w:after="160" w:line="264" w:lineRule="auto"/>
        <w:jc w:val="both"/>
      </w:pPr>
      <w:r>
        <w:t xml:space="preserve">None of the three conditions is permanent, and each is observable in data a ministry already holds. Zero is a budget line to be revisited, not a verdict on the population.</w:t>
      </w:r>
    </w:p>
    <w:p>
      <w:pPr>
        <w:pStyle w:val="Heading2"/>
      </w:pPr>
      <w:r>
        <w:t xml:space="preserve">4.4. The measurements worth paying for</w:t>
      </w:r>
    </w:p>
    <w:p>
      <w:pPr>
        <w:spacing w:after="160" w:line="264" w:lineRule="auto"/>
        <w:jc w:val="both"/>
      </w:pPr>
      <w:r>
        <w:rPr>
          <w:b/>
          <w:bCs/>
        </w:rPr>
        <w:t xml:space="preserve">The research agenda this paper hands on is a costed request, and its two largest items are cheap because the data already exist.</w:t>
      </w:r>
    </w:p>
    <w:p>
      <w:pPr>
        <w:spacing w:after="160" w:line="264" w:lineRule="auto"/>
        <w:jc w:val="both"/>
      </w:pPr>
      <w:r>
        <w:t xml:space="preserve">The first request costs a definition and a query. Any register that holds a last-taught date, a certificate status, subject and phase, and age against pensionable age can publish a netted reserve series beside its headline, and none of the registers examined in this paper does. The claim that no publisher nets its series is the kind a single counter-example settles, and the paper would welcome the correction; until it comes, every reserve figure in circulation describes a register rule.</w:t>
      </w:r>
    </w:p>
    <w:p>
      <w:pPr>
        <w:spacing w:after="160" w:line="264" w:lineRule="auto"/>
        <w:jc w:val="both"/>
      </w:pPr>
      <w:r>
        <w:t xml:space="preserve">The second request carries the open question of Chapter 2. Linking returner records to the classes they teach and the colleagues they work beside is, in the systems that maintain workforce censuses and pupil databases, a matter of administrative permission rather than research funding, and it would show whether what returners carry back reaches students and colleagues. Its complement is a trial of a designed role at a specified dose, powered for effects of the size the tutoring literature suggests are available, since the only role in this record that was specified and dosed is also the only one that was properly measured. Both measurements expose the paper's own premise to refutation, which is what makes them worth buying.</w:t>
      </w:r>
    </w:p>
    <w:p>
      <w:pPr>
        <w:spacing w:after="160" w:line="264" w:lineRule="auto"/>
        <w:jc w:val="both"/>
      </w:pPr>
      <w:r>
        <w:t xml:space="preserve">The remaining items are cheaper still, and each sits with a system that already holds the data. England can publish the cost of a retained returner teacher-year from records it already links (Buchanan et al., 2018). The annual Dutch reserve series now spans the years in which the national returner subsidy ran, so the field's first estimate of what share of a measured reserve an instrument activates is a desk exercise (DUO, 2026; Ministerie van OCW, 2017), and any oversubscribed programme can allocate its support by lottery among registrants, which costs nothing and yields the causal estimate this field has never produced. One natural test is already under way, since the renewal in Georgia devolved the designation of high-need areas to school systems while keeping the service threshold, and the coming counts will show what the central screen was doing (Teachers Retirement System of Georgia, 2026). The field's next paper can be written on measurements rather than announcements, and every instrument for making them is already in a ministry's hands.</w:t>
      </w:r>
    </w:p>
    <w:p>
      <w:pPr>
        <w:spacing w:after="160" w:line="264" w:lineRule="auto"/>
        <w:jc w:val="both"/>
      </w:pPr>
      <w:r>
        <w:t xml:space="preserve">Former teachers will keep returning through whatever channel exists, because unprogrammed return is already a routine part of every measured inflow. What policy makers can decide is whether that channel runs priced and counted, under a duty that outlasts the announcement. The measurements that would make it so are the cheapest this paper has asked anyone to make, and the population they describe is one the state itself qualified and can now count.</w:t>
      </w:r>
    </w:p>
    <w:p>
      <w:pPr>
        <w:pStyle w:val="Heading1"/>
        <w:pageBreakBefore/>
      </w:pPr>
      <w:r>
        <w:t xml:space="preserve">References</w:t>
      </w:r>
    </w:p>
    <w:p>
      <w:pPr>
        <w:spacing w:after="120"/>
        <w:ind w:left="567" w:hanging="567"/>
        <w:jc w:val="left"/>
      </w:pPr>
      <w:r>
        <w:rPr>
          <w:sz w:val="21"/>
          <w:szCs w:val="21"/>
        </w:rPr>
        <w:t xml:space="preserve">AITSL (2025), </w:t>
      </w:r>
      <w:r>
        <w:rPr>
          <w:i/>
          <w:iCs/>
          <w:sz w:val="21"/>
          <w:szCs w:val="21"/>
        </w:rPr>
        <w:t xml:space="preserve">National Trends: Teacher Workforce — Australian Teacher Workforce Data (June 2025)</w:t>
      </w:r>
      <w:r>
        <w:rPr>
          <w:sz w:val="21"/>
          <w:szCs w:val="21"/>
        </w:rPr>
        <w:t xml:space="preserve">, Australian Institute for Teaching and School Leadership, Melbourne, https://www.aitsl.edu.au/research/australian-teacher-workforce-data/atwd-reports/national-trends-teacher-workforce-jun2025 (accessed on 4 August 2026).</w:t>
      </w:r>
    </w:p>
    <w:p>
      <w:pPr>
        <w:spacing w:after="120"/>
        <w:ind w:left="567" w:hanging="567"/>
        <w:jc w:val="left"/>
      </w:pPr>
      <w:r>
        <w:rPr>
          <w:sz w:val="21"/>
          <w:szCs w:val="21"/>
        </w:rPr>
        <w:t xml:space="preserve">Alphonso, C. (2024), "Federation opposes proposal to boost number of days retired Ontario teachers can work in classrooms", </w:t>
      </w:r>
      <w:r>
        <w:rPr>
          <w:i/>
          <w:iCs/>
          <w:sz w:val="21"/>
          <w:szCs w:val="21"/>
        </w:rPr>
        <w:t xml:space="preserve">The Globe and Mail</w:t>
      </w:r>
      <w:r>
        <w:rPr>
          <w:sz w:val="21"/>
          <w:szCs w:val="21"/>
        </w:rPr>
        <w:t xml:space="preserve">, 18 March 2024, https://www.theglobeandmail.com/canada/article-proposal-to-boost-number-of-days-retired-ontario-teachers-can-work-in/ (accessed on 4 August 2026).</w:t>
      </w:r>
    </w:p>
    <w:p>
      <w:pPr>
        <w:spacing w:after="120"/>
        <w:ind w:left="567" w:hanging="567"/>
        <w:jc w:val="left"/>
      </w:pPr>
      <w:r>
        <w:rPr>
          <w:sz w:val="21"/>
          <w:szCs w:val="21"/>
        </w:rPr>
        <w:t xml:space="preserve">Assemblée nationale (2020), Question écrite n° 25142 (15e législature) de M. Thibault Bazin sur le délai de carence de 6 mois du cumul emploi-retraite, réponse du 1er septembre 2020, https://questions.assemblee-nationale.fr/q15/15-25142QE.htm (accessed on 4 August 2026).</w:t>
      </w:r>
    </w:p>
    <w:p>
      <w:pPr>
        <w:spacing w:after="120"/>
        <w:ind w:left="567" w:hanging="567"/>
        <w:jc w:val="left"/>
      </w:pPr>
      <w:r>
        <w:rPr>
          <w:sz w:val="21"/>
          <w:szCs w:val="21"/>
        </w:rPr>
        <w:t xml:space="preserve">Assemblée nationale (2023), Question écrite n° 2072 (16e législature) de M. Robin Reda, "Recrutement des enseignants retraités comme enseignants vacataires", réponse du 28 mars 2023, https://questions.assemblee-nationale.fr/q16/16-2072QE.htm (accessed on 4 August 2026).</w:t>
      </w:r>
    </w:p>
    <w:p>
      <w:pPr>
        <w:spacing w:after="120"/>
        <w:ind w:left="567" w:hanging="567"/>
        <w:jc w:val="left"/>
      </w:pPr>
      <w:r>
        <w:rPr>
          <w:sz w:val="21"/>
          <w:szCs w:val="21"/>
        </w:rPr>
        <w:t xml:space="preserve">Assemblée nationale (2026), Question écrite n° 11063 (17e législature) de M. Julien Odoul, "Cumul emploi-retraite : quand la réforme de 2015 pénalise les professeurs", réponse du 12 mai 2026, https://questions.assemblee-nationale.fr/q17/17-11063QE.htm (accessed on 4 August 2026).</w:t>
      </w:r>
    </w:p>
    <w:p>
      <w:pPr>
        <w:spacing w:after="120"/>
        <w:ind w:left="567" w:hanging="567"/>
        <w:jc w:val="left"/>
      </w:pPr>
      <w:r>
        <w:rPr>
          <w:sz w:val="21"/>
          <w:szCs w:val="21"/>
        </w:rPr>
        <w:t xml:space="preserve">BMBWF (2023), </w:t>
      </w:r>
      <w:r>
        <w:rPr>
          <w:i/>
          <w:iCs/>
          <w:sz w:val="21"/>
          <w:szCs w:val="21"/>
        </w:rPr>
        <w:t xml:space="preserve">Anfragebeantwortung 15155/AB betreffend Quereinstieg und Sonderverträge für Lehrer:innen</w:t>
      </w:r>
      <w:r>
        <w:rPr>
          <w:sz w:val="21"/>
          <w:szCs w:val="21"/>
        </w:rPr>
        <w:t xml:space="preserve"> (answer to parliamentary question 15692/J of 6 July 2023 by Mag. Martina Künsberg Sarre and colleagues), XXVII. GP, Geschäftszahl 2023-0.505.716, Bundesministerium für Bildung, Wissenschaft und Forschung, Vienna, 6 September 2023, https://www.parlament.gv.at/dokument/XXVII/AB/15155/imfname_1582019.pdf (accessed on 5 August 2026).</w:t>
      </w:r>
    </w:p>
    <w:p>
      <w:pPr>
        <w:spacing w:after="120"/>
        <w:ind w:left="567" w:hanging="567"/>
        <w:jc w:val="left"/>
      </w:pPr>
      <w:r>
        <w:rPr>
          <w:sz w:val="21"/>
          <w:szCs w:val="21"/>
        </w:rPr>
        <w:t xml:space="preserve">Brummet, Q., E. K. Penner, N. Pharris-Ciurej and S. R. Porter (2024), "After School: An Examination of the Career Paths and Earnings of Former Teachers", </w:t>
      </w:r>
      <w:r>
        <w:rPr>
          <w:i/>
          <w:iCs/>
          <w:sz w:val="21"/>
          <w:szCs w:val="21"/>
        </w:rPr>
        <w:t xml:space="preserve">Educational Evaluation and Policy Analysis</w:t>
      </w:r>
      <w:r>
        <w:rPr>
          <w:sz w:val="21"/>
          <w:szCs w:val="21"/>
        </w:rPr>
        <w:t xml:space="preserve">, published online 26 February 2024, https://doi.org/10.3102/01623737241227906.</w:t>
      </w:r>
    </w:p>
    <w:p>
      <w:pPr>
        <w:spacing w:after="120"/>
        <w:ind w:left="567" w:hanging="567"/>
        <w:jc w:val="left"/>
      </w:pPr>
      <w:r>
        <w:rPr>
          <w:sz w:val="21"/>
          <w:szCs w:val="21"/>
        </w:rPr>
        <w:t xml:space="preserve">Buchanan, E., C. Sharp, J. Worth, K. Martin, S. Bamford and Z. Des Clayes (2018), </w:t>
      </w:r>
      <w:r>
        <w:rPr>
          <w:i/>
          <w:iCs/>
          <w:sz w:val="21"/>
          <w:szCs w:val="21"/>
        </w:rPr>
        <w:t xml:space="preserve">Evaluation of the Return to Teaching Pilot Programme</w:t>
      </w:r>
      <w:r>
        <w:rPr>
          <w:sz w:val="21"/>
          <w:szCs w:val="21"/>
        </w:rPr>
        <w:t xml:space="preserve">, National Foundation for Educational Research report for the Department for Education, London, https://assets.publishing.service.gov.uk/media/5b33aeef40f0b67f6744de9d/Evaluation_of_the_Return_to_Teaching_pilot_programme.pdf (report page: https://www.nfer.ac.uk/publications/evaluation-of-the-return-to-teaching-pilot-programme/) (accessed on 4 August 2026).</w:t>
      </w:r>
    </w:p>
    <w:p>
      <w:pPr>
        <w:spacing w:after="120"/>
        <w:ind w:left="567" w:hanging="567"/>
        <w:jc w:val="left"/>
      </w:pPr>
      <w:r>
        <w:rPr>
          <w:sz w:val="21"/>
          <w:szCs w:val="21"/>
        </w:rPr>
        <w:t xml:space="preserve">Carlson, M. C. et al. (2015), "Impact of the Baltimore Experience Corps Trial on cortical and hippocampal volumes", </w:t>
      </w:r>
      <w:r>
        <w:rPr>
          <w:i/>
          <w:iCs/>
          <w:sz w:val="21"/>
          <w:szCs w:val="21"/>
        </w:rPr>
        <w:t xml:space="preserve">Alzheimer's &amp; Dementia</w:t>
      </w:r>
      <w:r>
        <w:rPr>
          <w:sz w:val="21"/>
          <w:szCs w:val="21"/>
        </w:rPr>
        <w:t xml:space="preserve">, Vol. 11/11, pp. 1340-1348, https://doi.org/10.1016/j.jalz.2014.12.005 (accessed on 4 August 2026).</w:t>
      </w:r>
    </w:p>
    <w:p>
      <w:pPr>
        <w:spacing w:after="120"/>
        <w:ind w:left="567" w:hanging="567"/>
        <w:jc w:val="left"/>
      </w:pPr>
      <w:r>
        <w:rPr>
          <w:sz w:val="21"/>
          <w:szCs w:val="21"/>
        </w:rPr>
        <w:t xml:space="preserve">Commonwealth of Virginia (2023), 2023 Acts of Assembly, Chapter 708 (SB 1479; return to work, approved 27 March 2023), https://law.lis.virginia.gov/uncodifiedacts/2023/session1/chapter708/ (accessed on 4 August 2026).</w:t>
      </w:r>
    </w:p>
    <w:p>
      <w:pPr>
        <w:spacing w:after="120"/>
        <w:ind w:left="567" w:hanging="567"/>
        <w:jc w:val="left"/>
      </w:pPr>
      <w:r>
        <w:rPr>
          <w:sz w:val="21"/>
          <w:szCs w:val="21"/>
        </w:rPr>
        <w:t xml:space="preserve">Cuervo, H. and E. Vera-Toscano (2025), "Teacher retention and attrition: understanding why teachers leave and their post-teaching pathways in Australia", </w:t>
      </w:r>
      <w:r>
        <w:rPr>
          <w:i/>
          <w:iCs/>
          <w:sz w:val="21"/>
          <w:szCs w:val="21"/>
        </w:rPr>
        <w:t xml:space="preserve">Asia Pacific Journal of Education</w:t>
      </w:r>
      <w:r>
        <w:rPr>
          <w:sz w:val="21"/>
          <w:szCs w:val="21"/>
        </w:rPr>
        <w:t xml:space="preserve">, pp. 1-18, published online 10 March 2025, https://doi.org/10.1080/02188791.2025.2473356 (accessed on 5 August 2026).</w:t>
      </w:r>
    </w:p>
    <w:p>
      <w:pPr>
        <w:spacing w:after="120"/>
        <w:ind w:left="567" w:hanging="567"/>
        <w:jc w:val="left"/>
      </w:pPr>
      <w:r>
        <w:rPr>
          <w:sz w:val="21"/>
          <w:szCs w:val="21"/>
        </w:rPr>
        <w:t xml:space="preserve">De Jong, A., A. Suijkerbuijk, S. van der Ploeg, S. Weijers, E. Stronkhorst and W. Schenke (2022), </w:t>
      </w:r>
      <w:r>
        <w:rPr>
          <w:i/>
          <w:iCs/>
          <w:sz w:val="21"/>
          <w:szCs w:val="21"/>
        </w:rPr>
        <w:t xml:space="preserve">Evaluatieonderzoek Regionale Aanpak Personeelstekorten: Eindrapportage augustus 2022</w:t>
      </w:r>
      <w:r>
        <w:rPr>
          <w:sz w:val="21"/>
          <w:szCs w:val="21"/>
        </w:rPr>
        <w:t xml:space="preserve">, Oberon/Kohnstamm Instituut, Utrecht/Amsterdam, https://www.aanpaklerarentekort.nl/site/binaries/site-content/collections/documents/2022/09/29/evaluatieonderzoek-rap-eindrapportage-augustus-2022/Evaluatieonderzoek+RAP+Eindrapportage+2022.pdf (accessed on 5 August 2026).</w:t>
      </w:r>
    </w:p>
    <w:p>
      <w:pPr>
        <w:spacing w:after="120"/>
        <w:ind w:left="567" w:hanging="567"/>
        <w:jc w:val="left"/>
      </w:pPr>
      <w:r>
        <w:rPr>
          <w:sz w:val="21"/>
          <w:szCs w:val="21"/>
        </w:rPr>
        <w:t xml:space="preserve">DeCesare, D., A. McClelland and B. Randel (2017), </w:t>
      </w:r>
      <w:r>
        <w:rPr>
          <w:i/>
          <w:iCs/>
          <w:sz w:val="21"/>
          <w:szCs w:val="21"/>
        </w:rPr>
        <w:t xml:space="preserve">Impacts of the Retired Mentors for New Teachers Program</w:t>
      </w:r>
      <w:r>
        <w:rPr>
          <w:sz w:val="21"/>
          <w:szCs w:val="21"/>
        </w:rPr>
        <w:t xml:space="preserve"> (REL 2017-225), Regional Educational Laboratory Central, Institute of Education Sciences, U.S. Department of Education, Washington, DC, https://files.eric.ed.gov/fulltext/ED573097.pdf (accessed on 4 August 2026).</w:t>
      </w:r>
    </w:p>
    <w:p>
      <w:pPr>
        <w:spacing w:after="120"/>
        <w:ind w:left="567" w:hanging="567"/>
        <w:jc w:val="left"/>
      </w:pPr>
      <w:r>
        <w:rPr>
          <w:sz w:val="21"/>
          <w:szCs w:val="21"/>
        </w:rPr>
        <w:t xml:space="preserve">Decreto-Lei n.º 51/2024, de 28 de agosto, </w:t>
      </w:r>
      <w:r>
        <w:rPr>
          <w:i/>
          <w:iCs/>
          <w:sz w:val="21"/>
          <w:szCs w:val="21"/>
        </w:rPr>
        <w:t xml:space="preserve">Diário da República</w:t>
      </w:r>
      <w:r>
        <w:rPr>
          <w:sz w:val="21"/>
          <w:szCs w:val="21"/>
        </w:rPr>
        <w:t xml:space="preserve">, 1.ª série, No. 166, 28 August 2024 (Arts. 5 and 6), official PDF via DGAE, https://www.dgae.medu.pt/download/ser-mais-professor-2024/decreto-lei-n-51-2024-de-28-de-agosto.pdf (accessed on 4 August 2026).</w:t>
      </w:r>
    </w:p>
    <w:p>
      <w:pPr>
        <w:spacing w:after="120"/>
        <w:ind w:left="567" w:hanging="567"/>
        <w:jc w:val="left"/>
      </w:pPr>
      <w:r>
        <w:rPr>
          <w:sz w:val="21"/>
          <w:szCs w:val="21"/>
        </w:rPr>
        <w:t xml:space="preserve">Department for Education (2023), "Teacher recruitment and retention: How we're helping former teachers return to education", </w:t>
      </w:r>
      <w:r>
        <w:rPr>
          <w:i/>
          <w:iCs/>
          <w:sz w:val="21"/>
          <w:szCs w:val="21"/>
        </w:rPr>
        <w:t xml:space="preserve">The Education Hub</w:t>
      </w:r>
      <w:r>
        <w:rPr>
          <w:sz w:val="21"/>
          <w:szCs w:val="21"/>
        </w:rPr>
        <w:t xml:space="preserve">, 9 August 2023, https://educationhub.blog.gov.uk/2023/08/teacher-recruitment-and-retention-how-were-helping-former-teachers-return-to-education/.</w:t>
      </w:r>
    </w:p>
    <w:p>
      <w:pPr>
        <w:spacing w:after="120"/>
        <w:ind w:left="567" w:hanging="567"/>
        <w:jc w:val="left"/>
      </w:pPr>
      <w:r>
        <w:rPr>
          <w:sz w:val="21"/>
          <w:szCs w:val="21"/>
        </w:rPr>
        <w:t xml:space="preserve">Department of Education (2019), </w:t>
      </w:r>
      <w:r>
        <w:rPr>
          <w:i/>
          <w:iCs/>
          <w:sz w:val="21"/>
          <w:szCs w:val="21"/>
        </w:rPr>
        <w:t xml:space="preserve">Circular 0054/2019 – Leave Schemes for Registered Teachers Employed in Recognised Primary and Post Primary Schools</w:t>
      </w:r>
      <w:r>
        <w:rPr>
          <w:sz w:val="21"/>
          <w:szCs w:val="21"/>
        </w:rPr>
        <w:t xml:space="preserve">, Department of Education, Dublin, https://assets.gov.ie/static/documents/Circular_0054.2019.pdf (accessed on 4 August 2026).</w:t>
      </w:r>
    </w:p>
    <w:p>
      <w:pPr>
        <w:spacing w:after="120"/>
        <w:ind w:left="567" w:hanging="567"/>
        <w:jc w:val="left"/>
      </w:pPr>
      <w:r>
        <w:rPr>
          <w:sz w:val="21"/>
          <w:szCs w:val="21"/>
        </w:rPr>
        <w:t xml:space="preserve">Department of Education and Youth (2025), </w:t>
      </w:r>
      <w:r>
        <w:rPr>
          <w:i/>
          <w:iCs/>
          <w:sz w:val="21"/>
          <w:szCs w:val="21"/>
        </w:rPr>
        <w:t xml:space="preserve">Information Note TC/IN 0005/2025 – Temporary changes to the Career Break Scheme for Registered Teachers employed in Recognised Primary and Post Primary Schools – 2025/26 School Year</w:t>
      </w:r>
      <w:r>
        <w:rPr>
          <w:sz w:val="21"/>
          <w:szCs w:val="21"/>
        </w:rPr>
        <w:t xml:space="preserve">, Department of Education and Youth, Dublin, 26 June 2025, https://assets.gov.ie/static/documents/TC.IN_0005.2025_Information_Note_Career_Break_for_Teachers_25.26_school_year.pdf (accessed on 4 August 2026).</w:t>
      </w:r>
    </w:p>
    <w:p>
      <w:pPr>
        <w:spacing w:after="120"/>
        <w:ind w:left="567" w:hanging="567"/>
        <w:jc w:val="left"/>
      </w:pPr>
      <w:r>
        <w:rPr>
          <w:sz w:val="21"/>
          <w:szCs w:val="21"/>
        </w:rPr>
        <w:t xml:space="preserve">Deutsches Schulportal (2023), "Mehrheit der Länder wirbt gezielt um Lehrkräfte im Pensionsalter" (Länderüberblick survey, 2 August 2023), Robert Bosch Stiftung, https://deutsches-schulportal.de/bildungswesen/laenderueberblick-umfrage-lehrermangel-pensionierte-lehrer/ (accessed on 5 August 2026).</w:t>
      </w:r>
    </w:p>
    <w:p>
      <w:pPr>
        <w:spacing w:after="120"/>
        <w:ind w:left="567" w:hanging="567"/>
        <w:jc w:val="left"/>
      </w:pPr>
      <w:r>
        <w:rPr>
          <w:sz w:val="21"/>
          <w:szCs w:val="21"/>
        </w:rPr>
        <w:t xml:space="preserve">Diário de Notícias (2024), "Governo queria 200 professores reformados nas escolas. Regressam 63", dn.pt, 3 December 2024, https://www.dn.pt/5687900830/governo-queria-200-professores-reformados-nas-escolas-regressam-63 (accessed on 4 August 2026).</w:t>
      </w:r>
    </w:p>
    <w:p>
      <w:pPr>
        <w:spacing w:after="120"/>
        <w:ind w:left="567" w:hanging="567"/>
        <w:jc w:val="left"/>
      </w:pPr>
      <w:r>
        <w:rPr>
          <w:sz w:val="21"/>
          <w:szCs w:val="21"/>
        </w:rPr>
        <w:t xml:space="preserve">DUO (2026), "Stille reserve oud-leraren in het onderwijs afgelopen 10 jaar afgenomen", press release, 28 May 2026, Dienst Uitvoering Onderwijs, https://duo.nl/organisatie/pers/stille-reserve-oud-leraren-in-het-onderwijs-afgelopen-10-jaar-afgenomen.jsp (accessed on 4 August 2026).</w:t>
      </w:r>
    </w:p>
    <w:p>
      <w:pPr>
        <w:spacing w:after="120"/>
        <w:ind w:left="567" w:hanging="567"/>
        <w:jc w:val="left"/>
      </w:pPr>
      <w:r>
        <w:rPr>
          <w:sz w:val="21"/>
          <w:szCs w:val="21"/>
        </w:rPr>
        <w:t xml:space="preserve">Fitzpatrick, M. D. (2015), "How much are public school teachers willing to pay for their retirement benefits?", </w:t>
      </w:r>
      <w:r>
        <w:rPr>
          <w:i/>
          <w:iCs/>
          <w:sz w:val="21"/>
          <w:szCs w:val="21"/>
        </w:rPr>
        <w:t xml:space="preserve">American Economic Journal: Economic Policy</w:t>
      </w:r>
      <w:r>
        <w:rPr>
          <w:sz w:val="21"/>
          <w:szCs w:val="21"/>
        </w:rPr>
        <w:t xml:space="preserve">, Vol. 7/4, https://www.aeaweb.org/articles?id=10.1257/pol.20140087 (accessed on 4 August 2026).</w:t>
      </w:r>
    </w:p>
    <w:p>
      <w:pPr>
        <w:spacing w:after="120"/>
        <w:ind w:left="567" w:hanging="567"/>
        <w:jc w:val="left"/>
      </w:pPr>
      <w:r>
        <w:rPr>
          <w:sz w:val="21"/>
          <w:szCs w:val="21"/>
        </w:rPr>
        <w:t xml:space="preserve">Fried, L. P. et al. (2004), "A social model for health promotion for an aging population: Initial evidence on the Experience Corps model", </w:t>
      </w:r>
      <w:r>
        <w:rPr>
          <w:i/>
          <w:iCs/>
          <w:sz w:val="21"/>
          <w:szCs w:val="21"/>
        </w:rPr>
        <w:t xml:space="preserve">Journal of Urban Health</w:t>
      </w:r>
      <w:r>
        <w:rPr>
          <w:sz w:val="21"/>
          <w:szCs w:val="21"/>
        </w:rPr>
        <w:t xml:space="preserve">, Vol. 81/1, pp. 64-78, https://doi.org/10.1093/jurban/jth094 (accessed on 4 August 2026).</w:t>
      </w:r>
    </w:p>
    <w:p>
      <w:pPr>
        <w:spacing w:after="120"/>
        <w:ind w:left="567" w:hanging="567"/>
        <w:jc w:val="left"/>
      </w:pPr>
      <w:r>
        <w:rPr>
          <w:sz w:val="21"/>
          <w:szCs w:val="21"/>
        </w:rPr>
        <w:t xml:space="preserve">Fuchs, L. S., D. L. Compton, D. Fuchs, K. Paulsen, J. D. Bryant and C. L. Hamlett (2005), "The prevention, identification, and cognitive determinants of math difficulty", </w:t>
      </w:r>
      <w:r>
        <w:rPr>
          <w:i/>
          <w:iCs/>
          <w:sz w:val="21"/>
          <w:szCs w:val="21"/>
        </w:rPr>
        <w:t xml:space="preserve">Journal of Educational Psychology</w:t>
      </w:r>
      <w:r>
        <w:rPr>
          <w:sz w:val="21"/>
          <w:szCs w:val="21"/>
        </w:rPr>
        <w:t xml:space="preserve">, Vol. 97/3, pp. 493-513, https://doi.org/10.1037/0022-0663.97.3.493.</w:t>
      </w:r>
    </w:p>
    <w:p>
      <w:pPr>
        <w:spacing w:after="120"/>
        <w:ind w:left="567" w:hanging="567"/>
        <w:jc w:val="left"/>
      </w:pPr>
      <w:r>
        <w:rPr>
          <w:sz w:val="21"/>
          <w:szCs w:val="21"/>
        </w:rPr>
        <w:t xml:space="preserve">Georgia Department of Audits and Accounts, Performance Audit Division (2025), </w:t>
      </w:r>
      <w:r>
        <w:rPr>
          <w:i/>
          <w:iCs/>
          <w:sz w:val="21"/>
          <w:szCs w:val="21"/>
        </w:rPr>
        <w:t xml:space="preserve">Retired Teachers Return to Work: Requested Information on the Full-Time Employment of Retired Teachers</w:t>
      </w:r>
      <w:r>
        <w:rPr>
          <w:sz w:val="21"/>
          <w:szCs w:val="21"/>
        </w:rPr>
        <w:t xml:space="preserve">, Performance Audit Report No. 24-20, Atlanta, April 2025, https://www.audits.ga.gov/ReportSearch/download/32615 (accessed on 4 August 2026).</w:t>
      </w:r>
    </w:p>
    <w:p>
      <w:pPr>
        <w:spacing w:after="120"/>
        <w:ind w:left="567" w:hanging="567"/>
        <w:jc w:val="left"/>
      </w:pPr>
      <w:r>
        <w:rPr>
          <w:sz w:val="21"/>
          <w:szCs w:val="21"/>
        </w:rPr>
        <w:t xml:space="preserve">Gersten, R., E. Rolfhus, B. Clarke, L. E. Decker, C. Wilkins and J. Dimino (2015), "Intervention for first graders with limited number knowledge: Large-scale replication of a randomized controlled trial", </w:t>
      </w:r>
      <w:r>
        <w:rPr>
          <w:i/>
          <w:iCs/>
          <w:sz w:val="21"/>
          <w:szCs w:val="21"/>
        </w:rPr>
        <w:t xml:space="preserve">American Educational Research Journal</w:t>
      </w:r>
      <w:r>
        <w:rPr>
          <w:sz w:val="21"/>
          <w:szCs w:val="21"/>
        </w:rPr>
        <w:t xml:space="preserve">, Vol. 52/3, pp. 516-546, https://doi.org/10.3102/0002831214565787 (accessed on 4 August 2026).</w:t>
      </w:r>
    </w:p>
    <w:p>
      <w:pPr>
        <w:spacing w:after="120"/>
        <w:ind w:left="567" w:hanging="567"/>
        <w:jc w:val="left"/>
      </w:pPr>
      <w:r>
        <w:rPr>
          <w:sz w:val="21"/>
          <w:szCs w:val="21"/>
        </w:rPr>
        <w:t xml:space="preserve">Glazerman, S., E. Isenberg, S. Dolfin, M. Bleeker, A. Johnson, M. Grider and M. Jacobus (2010), </w:t>
      </w:r>
      <w:r>
        <w:rPr>
          <w:i/>
          <w:iCs/>
          <w:sz w:val="21"/>
          <w:szCs w:val="21"/>
        </w:rPr>
        <w:t xml:space="preserve">Impacts of Comprehensive Teacher Induction: Final Results from a Randomized Controlled Study</w:t>
      </w:r>
      <w:r>
        <w:rPr>
          <w:sz w:val="21"/>
          <w:szCs w:val="21"/>
        </w:rPr>
        <w:t xml:space="preserve"> (NCEE 2010-4028), National Center for Education Evaluation and Regional Assistance, Institute of Education Sciences, U.S. Department of Education, Washington, DC, https://ies.ed.gov/ncee/pubs/20104027/pdf/20104028.pdf.</w:t>
      </w:r>
    </w:p>
    <w:p>
      <w:pPr>
        <w:spacing w:after="120"/>
        <w:ind w:left="567" w:hanging="567"/>
        <w:jc w:val="left"/>
      </w:pPr>
      <w:r>
        <w:rPr>
          <w:sz w:val="21"/>
          <w:szCs w:val="21"/>
        </w:rPr>
        <w:t xml:space="preserve">Global News (2022), "Ontario allowing retired teachers to work more days in bid to address staffing shortages", 10 January 2022, https://globalnews.ca/news/8500734/ontario-retired-teachers-allowed-work-more-days-covid/ (accessed on 4 August 2026).</w:t>
      </w:r>
    </w:p>
    <w:p>
      <w:pPr>
        <w:spacing w:after="120"/>
        <w:ind w:left="567" w:hanging="567"/>
        <w:jc w:val="left"/>
      </w:pPr>
      <w:r>
        <w:rPr>
          <w:sz w:val="21"/>
          <w:szCs w:val="21"/>
        </w:rPr>
        <w:t xml:space="preserve">Hammer, K. and C. Alphonso (2010), "Ontario to monitor retired teachers' costly supply work", </w:t>
      </w:r>
      <w:r>
        <w:rPr>
          <w:i/>
          <w:iCs/>
          <w:sz w:val="21"/>
          <w:szCs w:val="21"/>
        </w:rPr>
        <w:t xml:space="preserve">The Globe and Mail</w:t>
      </w:r>
      <w:r>
        <w:rPr>
          <w:sz w:val="21"/>
          <w:szCs w:val="21"/>
        </w:rPr>
        <w:t xml:space="preserve">, 10 May 2010, https://www.theglobeandmail.com/news/national/ontario-to-monitor-retired-teachers-costly-supply-work/article1211108/ (accessed on 4 August 2026).</w:t>
      </w:r>
    </w:p>
    <w:p>
      <w:pPr>
        <w:spacing w:after="120"/>
        <w:ind w:left="567" w:hanging="567"/>
        <w:jc w:val="left"/>
      </w:pPr>
      <w:r>
        <w:rPr>
          <w:sz w:val="21"/>
          <w:szCs w:val="21"/>
        </w:rPr>
        <w:t xml:space="preserve">Hessisches Ministerium für Kultus, Bildung und Chancen (2024), </w:t>
      </w:r>
      <w:r>
        <w:rPr>
          <w:i/>
          <w:iCs/>
          <w:sz w:val="21"/>
          <w:szCs w:val="21"/>
        </w:rPr>
        <w:t xml:space="preserve">Verlässlichkeit und Qualität – Hessen sichert die bestmögliche Unterrichtsversorgung</w:t>
      </w:r>
      <w:r>
        <w:rPr>
          <w:sz w:val="21"/>
          <w:szCs w:val="21"/>
        </w:rPr>
        <w:t xml:space="preserve">, Wiesbaden, https://kultus.hessen.de/sites/kultus.hessen.de/files/2024-03/handlungskonzept.pdf (accessed on 5 August 2026).</w:t>
      </w:r>
    </w:p>
    <w:p>
      <w:pPr>
        <w:spacing w:after="120"/>
        <w:ind w:left="567" w:hanging="567"/>
        <w:jc w:val="left"/>
      </w:pPr>
      <w:r>
        <w:rPr>
          <w:sz w:val="21"/>
          <w:szCs w:val="21"/>
        </w:rPr>
        <w:t xml:space="preserve">Jackson, C. K. and E. Bruegmann (2009), "Teaching students and teaching each other: The importance of peer learning for teachers", </w:t>
      </w:r>
      <w:r>
        <w:rPr>
          <w:i/>
          <w:iCs/>
          <w:sz w:val="21"/>
          <w:szCs w:val="21"/>
        </w:rPr>
        <w:t xml:space="preserve">American Economic Journal: Applied Economics</w:t>
      </w:r>
      <w:r>
        <w:rPr>
          <w:sz w:val="21"/>
          <w:szCs w:val="21"/>
        </w:rPr>
        <w:t xml:space="preserve">, Vol. 1/4, pp. 85-108, https://www.aeaweb.org/articles?id=10.1257/app.1.4.85.</w:t>
      </w:r>
    </w:p>
    <w:p>
      <w:pPr>
        <w:spacing w:after="120"/>
        <w:ind w:left="567" w:hanging="567"/>
        <w:jc w:val="left"/>
      </w:pPr>
      <w:r>
        <w:rPr>
          <w:sz w:val="21"/>
          <w:szCs w:val="21"/>
        </w:rPr>
        <w:t xml:space="preserve">Jarrold-Grapes, R. and P. P. Mahler (2024), "Retirees return to work: How a North Carolina policy helped staff high-need schools", </w:t>
      </w:r>
      <w:r>
        <w:rPr>
          <w:i/>
          <w:iCs/>
          <w:sz w:val="21"/>
          <w:szCs w:val="21"/>
        </w:rPr>
        <w:t xml:space="preserve">Education Policy Analysis Archives</w:t>
      </w:r>
      <w:r>
        <w:rPr>
          <w:sz w:val="21"/>
          <w:szCs w:val="21"/>
        </w:rPr>
        <w:t xml:space="preserve">, Vol. 32, No. 4, https://doi.org/10.14507/epaa.32.8241 (accessed on 4 August 2026).</w:t>
      </w:r>
    </w:p>
    <w:p>
      <w:pPr>
        <w:spacing w:after="120"/>
        <w:ind w:left="567" w:hanging="567"/>
        <w:jc w:val="left"/>
      </w:pPr>
      <w:r>
        <w:rPr>
          <w:sz w:val="21"/>
          <w:szCs w:val="21"/>
        </w:rPr>
        <w:t xml:space="preserve">Lindsay, J., N. Gnedko-Berry and C. Wan (2021), </w:t>
      </w:r>
      <w:r>
        <w:rPr>
          <w:i/>
          <w:iCs/>
          <w:sz w:val="21"/>
          <w:szCs w:val="21"/>
        </w:rPr>
        <w:t xml:space="preserve">Michigan Teachers Who Are Not Teaching: Who Are They, and What Would Motivate Them to Teach?</w:t>
      </w:r>
      <w:r>
        <w:rPr>
          <w:sz w:val="21"/>
          <w:szCs w:val="21"/>
        </w:rPr>
        <w:t xml:space="preserve"> (REL 2021-076), Regional Educational Laboratory Midwest, Institute of Education Sciences, U.S. Department of Education, Washington, DC, https://files.eric.ed.gov/fulltext/ED611790.pdf (Study Snapshot: https://eric.ed.gov/?id=ED611792) (accessed on 5 August 2026).</w:t>
      </w:r>
    </w:p>
    <w:p>
      <w:pPr>
        <w:spacing w:after="120"/>
        <w:ind w:left="567" w:hanging="567"/>
        <w:jc w:val="left"/>
      </w:pPr>
      <w:r>
        <w:rPr>
          <w:sz w:val="21"/>
          <w:szCs w:val="21"/>
        </w:rPr>
        <w:t xml:space="preserve">Michigan Office of Retirement Services (2022), "Archive: PA 184 of 2022 – Change to working after retirement rules", https://www.michigan.gov/psru/administration-and-compliance/archive-legislative-updates/pa-184-of-2022---change-to-working-after-retirement-rules (accessed on 4 August 2026).</w:t>
      </w:r>
    </w:p>
    <w:p>
      <w:pPr>
        <w:spacing w:after="120"/>
        <w:ind w:left="567" w:hanging="567"/>
        <w:jc w:val="left"/>
      </w:pPr>
      <w:r>
        <w:rPr>
          <w:sz w:val="21"/>
          <w:szCs w:val="21"/>
        </w:rPr>
        <w:t xml:space="preserve">Michigan Office of Retirement Services (2023), "Public Act 147 of 2023 working after retirement FAQ", https://www.michigan.gov/psru/reporting-resources/frequently-asked-questions/public-act-147-of-2023-working-after-retirement-faq (accessed on 4 August 2026).</w:t>
      </w:r>
    </w:p>
    <w:p>
      <w:pPr>
        <w:spacing w:after="120"/>
        <w:ind w:left="567" w:hanging="567"/>
        <w:jc w:val="left"/>
      </w:pPr>
      <w:r>
        <w:rPr>
          <w:sz w:val="21"/>
          <w:szCs w:val="21"/>
        </w:rPr>
        <w:t xml:space="preserve">Ministerie van OCW (2017), "Regeling tegemoetkoming herintreders primair onderwijs", </w:t>
      </w:r>
      <w:r>
        <w:rPr>
          <w:i/>
          <w:iCs/>
          <w:sz w:val="21"/>
          <w:szCs w:val="21"/>
        </w:rPr>
        <w:t xml:space="preserve">Staatscourant</w:t>
      </w:r>
      <w:r>
        <w:rPr>
          <w:sz w:val="21"/>
          <w:szCs w:val="21"/>
        </w:rPr>
        <w:t xml:space="preserve"> 2017, No. 62002, https://zoek.officielebekendmakingen.nl/stcrt-2017-62002.html (accessed on 5 August 2026).</w:t>
      </w:r>
    </w:p>
    <w:p>
      <w:pPr>
        <w:spacing w:after="120"/>
        <w:ind w:left="567" w:hanging="567"/>
        <w:jc w:val="left"/>
      </w:pPr>
      <w:r>
        <w:rPr>
          <w:sz w:val="21"/>
          <w:szCs w:val="21"/>
        </w:rPr>
        <w:t xml:space="preserve">Ministerie van OCW (2019a), "Regeling tot wijziging van de Regeling tegemoetkoming herintreders primair onderwijs", </w:t>
      </w:r>
      <w:r>
        <w:rPr>
          <w:i/>
          <w:iCs/>
          <w:sz w:val="21"/>
          <w:szCs w:val="21"/>
        </w:rPr>
        <w:t xml:space="preserve">Staatscourant</w:t>
      </w:r>
      <w:r>
        <w:rPr>
          <w:sz w:val="21"/>
          <w:szCs w:val="21"/>
        </w:rPr>
        <w:t xml:space="preserve"> 2019, No. 28510, https://zoek.officielebekendmakingen.nl/stcrt-2019-28510.html (accessed on 5 August 2026).</w:t>
      </w:r>
    </w:p>
    <w:p>
      <w:pPr>
        <w:spacing w:after="120"/>
        <w:ind w:left="567" w:hanging="567"/>
        <w:jc w:val="left"/>
      </w:pPr>
      <w:r>
        <w:rPr>
          <w:sz w:val="21"/>
          <w:szCs w:val="21"/>
        </w:rPr>
        <w:t xml:space="preserve">Ministerie van OCW (2019b), "Subsidie voor herintreders", Nieuwsbrief, 3 July 2019, https://www.nieuwsbrievenminocw.nl/actueel/nieuws/2019/07/03/subsidie-voor-herintreders (accessed on 5 August 2026).</w:t>
      </w:r>
    </w:p>
    <w:p>
      <w:pPr>
        <w:spacing w:after="120"/>
        <w:ind w:left="567" w:hanging="567"/>
        <w:jc w:val="left"/>
      </w:pPr>
      <w:r>
        <w:rPr>
          <w:sz w:val="21"/>
          <w:szCs w:val="21"/>
        </w:rPr>
        <w:t xml:space="preserve">MOE (2025), "MOE to launch 2025 National Silver Age Teacher Action Plan", Ministry of Education of the People's Republic of China, 11 October 2025, http://en.moe.gov.cn/news/press_releases/202510/t20251011_1416386.html.</w:t>
      </w:r>
    </w:p>
    <w:p>
      <w:pPr>
        <w:spacing w:after="120"/>
        <w:ind w:left="567" w:hanging="567"/>
        <w:jc w:val="left"/>
      </w:pPr>
      <w:r>
        <w:rPr>
          <w:sz w:val="21"/>
          <w:szCs w:val="21"/>
        </w:rPr>
        <w:t xml:space="preserve">MOE and MOF (2018), 教育部 财政部关于印发《银龄讲学计划实施方案》的通知 [Notice on Issuing the Implementation Scheme of the Silver Age Lecturing Plan], 教师〔2018〕7号, Ministry of Education and Ministry of Finance, Beijing, July 2018, http://www.moe.gov.cn/srcsite/A10/s7151/201807/t20180719_343448.html (accessed on 4 August 2026).</w:t>
      </w:r>
    </w:p>
    <w:p>
      <w:pPr>
        <w:spacing w:after="120"/>
        <w:ind w:left="567" w:hanging="567"/>
        <w:jc w:val="left"/>
      </w:pPr>
      <w:r>
        <w:rPr>
          <w:sz w:val="21"/>
          <w:szCs w:val="21"/>
        </w:rPr>
        <w:t xml:space="preserve">MOE et al. (2023), 教育部等十部门关于印发《国家银龄教师行动计划》的通知 [Notice by the Ministry of Education and Nine Other Departments on Issuing the National Silver Age Teachers Action Plan], 教师〔2023〕6号, 14 July 2023, https://www.gov.cn/zhengce/zhengceku/202308/content_6900984.htm (accessed on 4 August 2026).</w:t>
      </w:r>
    </w:p>
    <w:p>
      <w:pPr>
        <w:spacing w:after="120"/>
        <w:ind w:left="567" w:hanging="567"/>
        <w:jc w:val="left"/>
      </w:pPr>
      <w:r>
        <w:rPr>
          <w:sz w:val="21"/>
          <w:szCs w:val="21"/>
        </w:rPr>
        <w:t xml:space="preserve">Morrow-Howell, N., M. Jonson-Reid, S. McCrary, Y. Lee and E. Spitznagel (2009), </w:t>
      </w:r>
      <w:r>
        <w:rPr>
          <w:i/>
          <w:iCs/>
          <w:sz w:val="21"/>
          <w:szCs w:val="21"/>
        </w:rPr>
        <w:t xml:space="preserve">Evaluation of Experience Corps: Student Reading Outcomes</w:t>
      </w:r>
      <w:r>
        <w:rPr>
          <w:sz w:val="21"/>
          <w:szCs w:val="21"/>
        </w:rPr>
        <w:t xml:space="preserve"> (CSD Research Report 09-01), Center for Social Development, Washington University in St. Louis, https://csd.wustl.edu/09-01/ (accessed on 5 August 2026).</w:t>
      </w:r>
    </w:p>
    <w:p>
      <w:pPr>
        <w:spacing w:after="120"/>
        <w:ind w:left="567" w:hanging="567"/>
        <w:jc w:val="left"/>
      </w:pPr>
      <w:r>
        <w:rPr>
          <w:sz w:val="21"/>
          <w:szCs w:val="21"/>
        </w:rPr>
        <w:t xml:space="preserve">Munnings, L. (2026), "BUT president urges minister to fix teacher shortages", </w:t>
      </w:r>
      <w:r>
        <w:rPr>
          <w:i/>
          <w:iCs/>
          <w:sz w:val="21"/>
          <w:szCs w:val="21"/>
        </w:rPr>
        <w:t xml:space="preserve">The Tribune</w:t>
      </w:r>
      <w:r>
        <w:rPr>
          <w:sz w:val="21"/>
          <w:szCs w:val="21"/>
        </w:rPr>
        <w:t xml:space="preserve"> (Nassau), 8 June 2026, https://www.tribune242.com/news/2026/jun/08/but-president-urges-minister-to-fix-teacher-shortages/.</w:t>
      </w:r>
    </w:p>
    <w:p>
      <w:pPr>
        <w:spacing w:after="120"/>
        <w:ind w:left="567" w:hanging="567"/>
        <w:jc w:val="left"/>
      </w:pPr>
      <w:r>
        <w:rPr>
          <w:sz w:val="21"/>
          <w:szCs w:val="21"/>
        </w:rPr>
        <w:t xml:space="preserve">NCTL (2017), </w:t>
      </w:r>
      <w:r>
        <w:rPr>
          <w:i/>
          <w:iCs/>
          <w:sz w:val="21"/>
          <w:szCs w:val="21"/>
        </w:rPr>
        <w:t xml:space="preserve">Returners Engagement Programme Pilot: Programme and Application Guidance</w:t>
      </w:r>
      <w:r>
        <w:rPr>
          <w:sz w:val="21"/>
          <w:szCs w:val="21"/>
        </w:rPr>
        <w:t xml:space="preserve">, National College for Teaching and Leadership, January 2017, https://dera.ioe.ac.uk/28252/1/returners-engagement-programme-application-guidance-cohort-2.pdf (accessed on 4 August 2026).</w:t>
      </w:r>
    </w:p>
    <w:p>
      <w:pPr>
        <w:spacing w:after="120"/>
        <w:ind w:left="567" w:hanging="567"/>
        <w:jc w:val="left"/>
      </w:pPr>
      <w:r>
        <w:rPr>
          <w:sz w:val="21"/>
          <w:szCs w:val="21"/>
        </w:rPr>
        <w:t xml:space="preserve">New Mexico Educational Retirement Board (2023), </w:t>
      </w:r>
      <w:r>
        <w:rPr>
          <w:i/>
          <w:iCs/>
          <w:sz w:val="21"/>
          <w:szCs w:val="21"/>
        </w:rPr>
        <w:t xml:space="preserve">Discussion on Return to Work</w:t>
      </w:r>
      <w:r>
        <w:rPr>
          <w:sz w:val="21"/>
          <w:szCs w:val="21"/>
        </w:rPr>
        <w:t xml:space="preserve">, presentation to the Investments &amp; Pensions Oversight Committee, 31 October 2023, https://www.nmlegis.gov/handouts/IPOC%20103123%20Item%204%20E.%20Educational%20Retirement%20Board--Return%20to%20Work.pdf (accessed on 4 August 2026).</w:t>
      </w:r>
    </w:p>
    <w:p>
      <w:pPr>
        <w:spacing w:after="120"/>
        <w:ind w:left="567" w:hanging="567"/>
        <w:jc w:val="left"/>
      </w:pPr>
      <w:r>
        <w:rPr>
          <w:sz w:val="21"/>
          <w:szCs w:val="21"/>
        </w:rPr>
        <w:t xml:space="preserve">New Mexico Educational Retirement Board (2025), "Recent Legislation / Legislative Proposals" (SB 133 of 2025), https://www.erb.nm.gov/legislation/recent-legislation-legislative-proposals/ (accessed on 4 August 2026).</w:t>
      </w:r>
    </w:p>
    <w:p>
      <w:pPr>
        <w:spacing w:after="120"/>
        <w:ind w:left="567" w:hanging="567"/>
        <w:jc w:val="left"/>
      </w:pPr>
      <w:r>
        <w:rPr>
          <w:sz w:val="21"/>
          <w:szCs w:val="21"/>
        </w:rPr>
        <w:t xml:space="preserve">New Mexico Legislature (2022), "HB 73: Educational Retirees Returning to Work", 2022 Regular Session, Chapter 20, https://www.nmlegis.gov/Legislation/Legislation?chamber=H&amp;legType=B&amp;legNo=73&amp;year=22 (accessed on 4 August 2026).</w:t>
      </w:r>
    </w:p>
    <w:p>
      <w:pPr>
        <w:spacing w:after="120"/>
        <w:ind w:left="567" w:hanging="567"/>
        <w:jc w:val="left"/>
      </w:pPr>
      <w:r>
        <w:rPr>
          <w:sz w:val="21"/>
          <w:szCs w:val="21"/>
        </w:rPr>
        <w:t xml:space="preserve">New Zealand Legislation (2020), </w:t>
      </w:r>
      <w:r>
        <w:rPr>
          <w:i/>
          <w:iCs/>
          <w:sz w:val="21"/>
          <w:szCs w:val="21"/>
        </w:rPr>
        <w:t xml:space="preserve">Education and Training Act 2020</w:t>
      </w:r>
      <w:r>
        <w:rPr>
          <w:sz w:val="21"/>
          <w:szCs w:val="21"/>
        </w:rPr>
        <w:t xml:space="preserve">, No 38, Schedule 3, https://www.legislation.govt.nz/act/public/2020/0038/latest/LMS261224.html (accessed on 4 August 2026).</w:t>
      </w:r>
    </w:p>
    <w:p>
      <w:pPr>
        <w:spacing w:after="120"/>
        <w:ind w:left="567" w:hanging="567"/>
        <w:jc w:val="left"/>
      </w:pPr>
      <w:r>
        <w:rPr>
          <w:sz w:val="21"/>
          <w:szCs w:val="21"/>
        </w:rPr>
        <w:t xml:space="preserve">New Zealand Ministry of Education (2026), "Looking for a relief teacher", Education Workforce website, Te Tāhuhu o te Mātauranga, updated 18 June 2026, https://workforce.education.govt.nz/principals-and-schools/local-employment-and-recruitment-support/looking-relief-teacher (accessed on 4 August 2026).</w:t>
      </w:r>
    </w:p>
    <w:p>
      <w:pPr>
        <w:spacing w:after="120"/>
        <w:ind w:left="567" w:hanging="567"/>
        <w:jc w:val="left"/>
      </w:pPr>
      <w:r>
        <w:rPr>
          <w:sz w:val="21"/>
          <w:szCs w:val="21"/>
        </w:rPr>
        <w:t xml:space="preserve">Nickow, A., P. Oreopoulos and V. Quan (2024), "The promise of tutoring for preK-12 learning: A systematic review and meta-analysis of the experimental evidence", </w:t>
      </w:r>
      <w:r>
        <w:rPr>
          <w:i/>
          <w:iCs/>
          <w:sz w:val="21"/>
          <w:szCs w:val="21"/>
        </w:rPr>
        <w:t xml:space="preserve">American Educational Research Journal</w:t>
      </w:r>
      <w:r>
        <w:rPr>
          <w:sz w:val="21"/>
          <w:szCs w:val="21"/>
        </w:rPr>
        <w:t xml:space="preserve">, Vol. 61/1, pp. 74-107, https://journals.sagepub.com/doi/10.3102/00028312231208687.</w:t>
      </w:r>
    </w:p>
    <w:p>
      <w:pPr>
        <w:spacing w:after="120"/>
        <w:ind w:left="567" w:hanging="567"/>
        <w:jc w:val="left"/>
      </w:pPr>
      <w:r>
        <w:rPr>
          <w:sz w:val="21"/>
          <w:szCs w:val="21"/>
        </w:rPr>
        <w:t xml:space="preserve">NSW Department of Education (2024), </w:t>
      </w:r>
      <w:r>
        <w:rPr>
          <w:i/>
          <w:iCs/>
          <w:sz w:val="21"/>
          <w:szCs w:val="21"/>
        </w:rPr>
        <w:t xml:space="preserve">NSW Department of Education Annual Report 2023-24</w:t>
      </w:r>
      <w:r>
        <w:rPr>
          <w:sz w:val="21"/>
          <w:szCs w:val="21"/>
        </w:rPr>
        <w:t xml:space="preserve">, Sydney, https://education.nsw.gov.au/content/dam/main-education/en/home/about-us/strategies-and-reports/annual-reports/nsw-doe-annual-report-2023-24.pdf (accessed on 4 August 2026).</w:t>
      </w:r>
    </w:p>
    <w:p>
      <w:pPr>
        <w:spacing w:after="120"/>
        <w:ind w:left="567" w:hanging="567"/>
        <w:jc w:val="left"/>
      </w:pPr>
      <w:r>
        <w:rPr>
          <w:sz w:val="21"/>
          <w:szCs w:val="21"/>
        </w:rPr>
        <w:t xml:space="preserve">NSW Department of Education (2025), </w:t>
      </w:r>
      <w:r>
        <w:rPr>
          <w:i/>
          <w:iCs/>
          <w:sz w:val="21"/>
          <w:szCs w:val="21"/>
        </w:rPr>
        <w:t xml:space="preserve">Annual Report 2024-25</w:t>
      </w:r>
      <w:r>
        <w:rPr>
          <w:sz w:val="21"/>
          <w:szCs w:val="21"/>
        </w:rPr>
        <w:t xml:space="preserve">, Sydney, https://education.nsw.gov.au/content/dam/main-education/en/home/about-us/strategies-and-reports/annual-reports/DoE_Annual_Report_2024-25.pdf (accessed on 4 August 2026).</w:t>
      </w:r>
    </w:p>
    <w:p>
      <w:pPr>
        <w:spacing w:after="120"/>
        <w:ind w:left="567" w:hanging="567"/>
        <w:jc w:val="left"/>
      </w:pPr>
      <w:r>
        <w:rPr>
          <w:sz w:val="21"/>
          <w:szCs w:val="21"/>
        </w:rPr>
        <w:t xml:space="preserve">NSW Department of Education (2026), "Returning teachers", teach.NSW webpage, last updated 8 July 2026, https://education.nsw.gov.au/teach-nsw/find-teaching-jobs/returning-teachers (accessed on 4 August 2026).</w:t>
      </w:r>
    </w:p>
    <w:p>
      <w:pPr>
        <w:spacing w:after="120"/>
        <w:ind w:left="567" w:hanging="567"/>
        <w:jc w:val="left"/>
      </w:pPr>
      <w:r>
        <w:rPr>
          <w:sz w:val="21"/>
          <w:szCs w:val="21"/>
        </w:rPr>
        <w:t xml:space="preserve">NSW Government (2024), "Retired teachers return to classrooms as part of initiative to address shortage", media release, Minister for Education and Early Learning, 8 May 2024, https://www.nsw.gov.au/media-releases/retired-teachers-return-to-classrooms (accessed on 4 August 2026).</w:t>
      </w:r>
    </w:p>
    <w:p>
      <w:pPr>
        <w:spacing w:after="120"/>
        <w:ind w:left="567" w:hanging="567"/>
        <w:jc w:val="left"/>
      </w:pPr>
      <w:r>
        <w:rPr>
          <w:sz w:val="21"/>
          <w:szCs w:val="21"/>
        </w:rPr>
        <w:t xml:space="preserve">OCEOTA (2024), "OTF Decision on 50-day rule", Ontario Catholic English Occasional Teachers Association, 18 March 2024, http://oceota.com/2024/03/18/otf-decision-on-50-day-rule/ (accessed on 4 August 2026).</w:t>
      </w:r>
    </w:p>
    <w:p>
      <w:pPr>
        <w:spacing w:after="120"/>
        <w:ind w:left="567" w:hanging="567"/>
        <w:jc w:val="left"/>
      </w:pPr>
      <w:r>
        <w:rPr>
          <w:sz w:val="21"/>
          <w:szCs w:val="21"/>
        </w:rPr>
        <w:t xml:space="preserve">OECD (2005), </w:t>
      </w:r>
      <w:r>
        <w:rPr>
          <w:i/>
          <w:iCs/>
          <w:sz w:val="21"/>
          <w:szCs w:val="21"/>
        </w:rPr>
        <w:t xml:space="preserve">Teachers Matter: Attracting, Developing and Retaining Effective Teachers</w:t>
      </w:r>
      <w:r>
        <w:rPr>
          <w:sz w:val="21"/>
          <w:szCs w:val="21"/>
        </w:rPr>
        <w:t xml:space="preserve">, Education and Training Policy, OECD Publishing, Paris, https://doi.org/10.1787/9789264018044-en (accessed on 5 August 2026).</w:t>
      </w:r>
    </w:p>
    <w:p>
      <w:pPr>
        <w:spacing w:after="120"/>
        <w:ind w:left="567" w:hanging="567"/>
        <w:jc w:val="left"/>
      </w:pPr>
      <w:r>
        <w:rPr>
          <w:sz w:val="21"/>
          <w:szCs w:val="21"/>
        </w:rPr>
        <w:t xml:space="preserve">OECD (2024), </w:t>
      </w:r>
      <w:r>
        <w:rPr>
          <w:i/>
          <w:iCs/>
          <w:sz w:val="21"/>
          <w:szCs w:val="21"/>
        </w:rPr>
        <w:t xml:space="preserve">Education Policy Outlook 2024: Reshaping Teaching into a Thriving Profession from ABCs to AI</w:t>
      </w:r>
      <w:r>
        <w:rPr>
          <w:sz w:val="21"/>
          <w:szCs w:val="21"/>
        </w:rPr>
        <w:t xml:space="preserve">, OECD Publishing, Paris, https://doi.org/10.1787/dd5140e4-en (accessed on 5 August 2026).</w:t>
      </w:r>
    </w:p>
    <w:p>
      <w:pPr>
        <w:spacing w:after="120"/>
        <w:ind w:left="567" w:hanging="567"/>
        <w:jc w:val="left"/>
      </w:pPr>
      <w:r>
        <w:rPr>
          <w:sz w:val="21"/>
          <w:szCs w:val="21"/>
        </w:rPr>
        <w:t xml:space="preserve">OECD (2025), </w:t>
      </w:r>
      <w:r>
        <w:rPr>
          <w:i/>
          <w:iCs/>
          <w:sz w:val="21"/>
          <w:szCs w:val="21"/>
        </w:rPr>
        <w:t xml:space="preserve">Education at a Glance 2025: OECD Indicators</w:t>
      </w:r>
      <w:r>
        <w:rPr>
          <w:sz w:val="21"/>
          <w:szCs w:val="21"/>
        </w:rPr>
        <w:t xml:space="preserve">, OECD Publishing, Paris, https://doi.org/10.1787/1c0d9c79-en (accessed on 5 August 2026).</w:t>
      </w:r>
    </w:p>
    <w:p>
      <w:pPr>
        <w:spacing w:after="120"/>
        <w:ind w:left="567" w:hanging="567"/>
        <w:jc w:val="left"/>
      </w:pPr>
      <w:r>
        <w:rPr>
          <w:sz w:val="21"/>
          <w:szCs w:val="21"/>
        </w:rPr>
        <w:t xml:space="preserve">Ontario Ministry of Education (2022), </w:t>
      </w:r>
      <w:r>
        <w:rPr>
          <w:i/>
          <w:iCs/>
          <w:sz w:val="21"/>
          <w:szCs w:val="21"/>
        </w:rPr>
        <w:t xml:space="preserve">Memorandum 2022:SB01 – Temporary Amendment to the Ontario Teachers' Pension Plan (OTPP) 95 Day Re-Employment Rule for the 2021-22 School Year – Reporting Requirements</w:t>
      </w:r>
      <w:r>
        <w:rPr>
          <w:sz w:val="21"/>
          <w:szCs w:val="21"/>
        </w:rPr>
        <w:t xml:space="preserve">, 24 January 2022, https://efis.fma.csc.gov.on.ca/faab/Memos/SB2022/SB01_EN.pdf (accessed on 4 August 2026).</w:t>
      </w:r>
    </w:p>
    <w:p>
      <w:pPr>
        <w:spacing w:after="120"/>
        <w:ind w:left="567" w:hanging="567"/>
        <w:jc w:val="left"/>
      </w:pPr>
      <w:r>
        <w:rPr>
          <w:sz w:val="21"/>
          <w:szCs w:val="21"/>
        </w:rPr>
        <w:t xml:space="preserve">Ontario Teachers' Pension Plan (2026), "Know your re-employment limit", https://otpp.com/en-ca/members/life-events/living-in-retirement/your-reemployment-limit/ (accessed on 4 August 2026).</w:t>
      </w:r>
    </w:p>
    <w:p>
      <w:pPr>
        <w:spacing w:after="120"/>
        <w:ind w:left="567" w:hanging="567"/>
        <w:jc w:val="left"/>
      </w:pPr>
      <w:r>
        <w:rPr>
          <w:sz w:val="21"/>
          <w:szCs w:val="21"/>
        </w:rPr>
        <w:t xml:space="preserve">R.I.S.E. Magazine (2025), "China plans to raise rural education standards by employing 7,000 retired teachers", https://www.riseedumag.com/china-plans-to-raise-rural-education-standards-by-employing-7000-retired-teachers/.</w:t>
      </w:r>
    </w:p>
    <w:p>
      <w:pPr>
        <w:spacing w:after="120"/>
        <w:ind w:left="567" w:hanging="567"/>
        <w:jc w:val="left"/>
      </w:pPr>
      <w:r>
        <w:rPr>
          <w:sz w:val="21"/>
          <w:szCs w:val="21"/>
        </w:rPr>
        <w:t xml:space="preserve">Rechnungshof (2025), </w:t>
      </w:r>
      <w:r>
        <w:rPr>
          <w:i/>
          <w:iCs/>
          <w:sz w:val="21"/>
          <w:szCs w:val="21"/>
        </w:rPr>
        <w:t xml:space="preserve">Lehrpersonaleinsatz</w:t>
      </w:r>
      <w:r>
        <w:rPr>
          <w:sz w:val="21"/>
          <w:szCs w:val="21"/>
        </w:rPr>
        <w:t xml:space="preserve">, Bericht des Rechnungshofes, Reihe Bund 2025/18, Rechnungshof Österreich, Vienna, https://www.rechnungshof.gv.at/rh/home/home/2025_18_Lehrpersonaleinsatz.pdf (accessed on 4 August 2026).</w:t>
      </w:r>
    </w:p>
    <w:p>
      <w:pPr>
        <w:spacing w:after="120"/>
        <w:ind w:left="567" w:hanging="567"/>
        <w:jc w:val="left"/>
      </w:pPr>
      <w:r>
        <w:rPr>
          <w:sz w:val="21"/>
          <w:szCs w:val="21"/>
        </w:rPr>
        <w:t xml:space="preserve">Renascença (2024), "55 professores aposentados podem dar aulas a partir de janeiro", rr.pt, 19 December 2024, https://rr.pt/noticia/pais/2024/12/19/55-professores-aposentados-podem-dar-aulas-a-partir-de-janeiro/406679/ (accessed on 4 August 2026).</w:t>
      </w:r>
    </w:p>
    <w:p>
      <w:pPr>
        <w:spacing w:after="120"/>
        <w:ind w:left="567" w:hanging="567"/>
        <w:jc w:val="left"/>
      </w:pPr>
      <w:r>
        <w:rPr>
          <w:sz w:val="21"/>
          <w:szCs w:val="21"/>
        </w:rPr>
        <w:t xml:space="preserve">Rolfhus, E., R. Gersten, B. Clarke, L. E. Decker, C. Wilkins and J. Dimino (2012), </w:t>
      </w:r>
      <w:r>
        <w:rPr>
          <w:i/>
          <w:iCs/>
          <w:sz w:val="21"/>
          <w:szCs w:val="21"/>
        </w:rPr>
        <w:t xml:space="preserve">An Evaluation of Number Rockets: A Tier-2 Intervention for Grade 1 Students at Risk for Difficulties in Mathematics</w:t>
      </w:r>
      <w:r>
        <w:rPr>
          <w:sz w:val="21"/>
          <w:szCs w:val="21"/>
        </w:rPr>
        <w:t xml:space="preserve"> (NCEE 2012-4007), National Center for Education Evaluation and Regional Assistance, Institute of Education Sciences, Washington, DC, https://eric.ed.gov/?id=ED529429 (accessed on 5 August 2026).</w:t>
      </w:r>
    </w:p>
    <w:p>
      <w:pPr>
        <w:spacing w:after="120"/>
        <w:ind w:left="567" w:hanging="567"/>
        <w:jc w:val="left"/>
      </w:pPr>
      <w:r>
        <w:rPr>
          <w:sz w:val="21"/>
          <w:szCs w:val="21"/>
        </w:rPr>
        <w:t xml:space="preserve">RTP (2026), "Professores que adiem reforma recebem 750 euros mas só em escolas onde há carência", rtp.pt, 30 July 2026, https://www.rtp.pt/noticias/pais/professores-que-adiem-reforma-recebem-750-euros-mas-so-em-escolas-onde-ha-carencia_n1756798 (accessed on 4 August 2026).</w:t>
      </w:r>
    </w:p>
    <w:p>
      <w:pPr>
        <w:spacing w:after="120"/>
        <w:ind w:left="567" w:hanging="567"/>
        <w:jc w:val="left"/>
      </w:pPr>
      <w:r>
        <w:rPr>
          <w:sz w:val="21"/>
          <w:szCs w:val="21"/>
        </w:rPr>
        <w:t xml:space="preserve">Sakuma, A. and N. Shimazaki (2024), "'Why are We Running Short of Teachers Even as the Birthrate Declines?': A Case Study of the Teacher Shortage in Public Schools in X Prefecture in Japan", </w:t>
      </w:r>
      <w:r>
        <w:rPr>
          <w:i/>
          <w:iCs/>
          <w:sz w:val="21"/>
          <w:szCs w:val="21"/>
        </w:rPr>
        <w:t xml:space="preserve">Educational Studies in Japan: International Yearbook</w:t>
      </w:r>
      <w:r>
        <w:rPr>
          <w:sz w:val="21"/>
          <w:szCs w:val="21"/>
        </w:rPr>
        <w:t xml:space="preserve">, No. 18, pp. 191-210, https://files.eric.ed.gov/fulltext/EJ1433887.pdf (accessed on 5 August 2026).</w:t>
      </w:r>
    </w:p>
    <w:p>
      <w:pPr>
        <w:spacing w:after="120"/>
        <w:ind w:left="567" w:hanging="567"/>
        <w:jc w:val="left"/>
      </w:pPr>
      <w:r>
        <w:rPr>
          <w:sz w:val="21"/>
          <w:szCs w:val="21"/>
        </w:rPr>
        <w:t xml:space="preserve">Scafidi, B., D. L. Sjoquist and T. R. Stinebrickner (2006), "Do Teachers Really Leave for Higher Paying Jobs in Alternative Occupations?", </w:t>
      </w:r>
      <w:r>
        <w:rPr>
          <w:i/>
          <w:iCs/>
          <w:sz w:val="21"/>
          <w:szCs w:val="21"/>
        </w:rPr>
        <w:t xml:space="preserve">The B.E. Journal of Economic Analysis &amp; Policy (Advances)</w:t>
      </w:r>
      <w:r>
        <w:rPr>
          <w:sz w:val="21"/>
          <w:szCs w:val="21"/>
        </w:rPr>
        <w:t xml:space="preserve">, Vol. 6/1, Article 8, https://ideas.repec.org/a/bpj/bejeap/vadvances.6y2006i1n8.html.</w:t>
      </w:r>
    </w:p>
    <w:p>
      <w:pPr>
        <w:spacing w:after="120"/>
        <w:ind w:left="567" w:hanging="567"/>
        <w:jc w:val="left"/>
      </w:pPr>
      <w:r>
        <w:rPr>
          <w:sz w:val="21"/>
          <w:szCs w:val="21"/>
        </w:rPr>
        <w:t xml:space="preserve">Somers, M., L. Fleck, W. Groot and F. van Merode (2024a), </w:t>
      </w:r>
      <w:r>
        <w:rPr>
          <w:i/>
          <w:iCs/>
          <w:sz w:val="21"/>
          <w:szCs w:val="21"/>
        </w:rPr>
        <w:t xml:space="preserve">The Hidden Reserve of Nurses and Teachers in the Netherlands</w:t>
      </w:r>
      <w:r>
        <w:rPr>
          <w:sz w:val="21"/>
          <w:szCs w:val="21"/>
        </w:rPr>
        <w:t xml:space="preserve">, ROA Research Memorandum No. 2024/004E, Research Centre for Education and the Labour Market, Maastricht University, https://doi.org/10.26481/umaror.2024004E (accessed on 4 August 2026).</w:t>
      </w:r>
    </w:p>
    <w:p>
      <w:pPr>
        <w:spacing w:after="120"/>
        <w:ind w:left="567" w:hanging="567"/>
        <w:jc w:val="left"/>
      </w:pPr>
      <w:r>
        <w:rPr>
          <w:sz w:val="21"/>
          <w:szCs w:val="21"/>
        </w:rPr>
        <w:t xml:space="preserve">Somers, M., W. Groot and F. van Merode (2024b), "Stille reserve voldoende om personeelstekort onderwijs op te lossen", </w:t>
      </w:r>
      <w:r>
        <w:rPr>
          <w:i/>
          <w:iCs/>
          <w:sz w:val="21"/>
          <w:szCs w:val="21"/>
        </w:rPr>
        <w:t xml:space="preserve">ESB (Economisch Statistische Berichten)</w:t>
      </w:r>
      <w:r>
        <w:rPr>
          <w:sz w:val="21"/>
          <w:szCs w:val="21"/>
        </w:rPr>
        <w:t xml:space="preserve">, 28 February 2024, https://esb.nu/stille-reserve-voldoende-om-personeelstekort-onderwijs-op-te-lossen/ (accessed on 4 August 2026).</w:t>
      </w:r>
    </w:p>
    <w:p>
      <w:pPr>
        <w:spacing w:after="120"/>
        <w:ind w:left="567" w:hanging="567"/>
        <w:jc w:val="left"/>
      </w:pPr>
      <w:r>
        <w:rPr>
          <w:sz w:val="21"/>
          <w:szCs w:val="21"/>
        </w:rPr>
        <w:t xml:space="preserve">State Council (2023), 教育部教师工作司负责人就《国家银龄教师行动计划》答记者问 [MOE Teacher Affairs Department Q&amp;A on the National Silver Age Teachers Action Plan], www.gov.cn, August 2023, https://www.gov.cn/zhengce/202308/content_6900976.htm.</w:t>
      </w:r>
    </w:p>
    <w:p>
      <w:pPr>
        <w:spacing w:after="120"/>
        <w:ind w:left="567" w:hanging="567"/>
        <w:jc w:val="left"/>
      </w:pPr>
      <w:r>
        <w:rPr>
          <w:sz w:val="21"/>
          <w:szCs w:val="21"/>
        </w:rPr>
        <w:t xml:space="preserve">Stinebrickner, T. R. (2002), "An Analysis of Occupational Change and Departure from the Labor Force: Evidence of the Reasons that Teachers Leave", </w:t>
      </w:r>
      <w:r>
        <w:rPr>
          <w:i/>
          <w:iCs/>
          <w:sz w:val="21"/>
          <w:szCs w:val="21"/>
        </w:rPr>
        <w:t xml:space="preserve">Journal of Human Resources</w:t>
      </w:r>
      <w:r>
        <w:rPr>
          <w:sz w:val="21"/>
          <w:szCs w:val="21"/>
        </w:rPr>
        <w:t xml:space="preserve">, Vol. 37/1, pp. 192-216, https://ideas.repec.org/a/uwp/jhriss/v37y2002i1p192-216.html.</w:t>
      </w:r>
    </w:p>
    <w:p>
      <w:pPr>
        <w:spacing w:after="120"/>
        <w:ind w:left="567" w:hanging="567"/>
        <w:jc w:val="left"/>
      </w:pPr>
      <w:r>
        <w:rPr>
          <w:sz w:val="21"/>
          <w:szCs w:val="21"/>
        </w:rPr>
        <w:t xml:space="preserve">Sutcher, L., L. Darling-Hammond and D. Carver-Thomas (2016), </w:t>
      </w:r>
      <w:r>
        <w:rPr>
          <w:i/>
          <w:iCs/>
          <w:sz w:val="21"/>
          <w:szCs w:val="21"/>
        </w:rPr>
        <w:t xml:space="preserve">A Coming Crisis in Teaching? Teacher Supply, Demand, and Shortages in the U.S.</w:t>
      </w:r>
      <w:r>
        <w:rPr>
          <w:sz w:val="21"/>
          <w:szCs w:val="21"/>
        </w:rPr>
        <w:t xml:space="preserve">, Learning Policy Institute, Palo Alto, CA, https://learningpolicyinstitute.org/product/coming-crisis-teaching-brief.</w:t>
      </w:r>
    </w:p>
    <w:p>
      <w:pPr>
        <w:spacing w:after="120"/>
        <w:ind w:left="567" w:hanging="567"/>
        <w:jc w:val="left"/>
      </w:pPr>
      <w:r>
        <w:rPr>
          <w:sz w:val="21"/>
          <w:szCs w:val="21"/>
        </w:rPr>
        <w:t xml:space="preserve">Teachers' Pensions (n.d.), "Return to work — Once retired", https://www.teacherspensions.co.uk/members/once-retired/return-to-work.aspx (accessed on 5 August 2026).</w:t>
      </w:r>
    </w:p>
    <w:p>
      <w:pPr>
        <w:spacing w:after="120"/>
        <w:ind w:left="567" w:hanging="567"/>
        <w:jc w:val="left"/>
      </w:pPr>
      <w:r>
        <w:rPr>
          <w:sz w:val="21"/>
          <w:szCs w:val="21"/>
        </w:rPr>
        <w:t xml:space="preserve">Teachers Retirement System of Georgia (2026), "Legislative Update", 5 May 2026, https://www.trsga.com/legislation/legislative-update/ (accessed on 4 August 2026).</w:t>
      </w:r>
    </w:p>
    <w:p>
      <w:pPr>
        <w:spacing w:after="120"/>
        <w:ind w:left="567" w:hanging="567"/>
        <w:jc w:val="left"/>
      </w:pPr>
      <w:r>
        <w:rPr>
          <w:sz w:val="21"/>
          <w:szCs w:val="21"/>
        </w:rPr>
        <w:t xml:space="preserve">Teachers' Retirement System of Louisiana (2024), "Regular Session News #18: Governor signs return-to-work bill into law" (Act 394 of 2024, HB 967), 31 May 2024, https://www.trsl.org/resources/legislation/archive/regular-session-news-18-governor-signs-return-to-work-bill-into-law (accessed on 4 August 2026).</w:t>
      </w:r>
    </w:p>
    <w:p>
      <w:pPr>
        <w:spacing w:after="120"/>
        <w:ind w:left="567" w:hanging="567"/>
        <w:jc w:val="left"/>
      </w:pPr>
      <w:r>
        <w:rPr>
          <w:sz w:val="21"/>
          <w:szCs w:val="21"/>
        </w:rPr>
        <w:t xml:space="preserve">Teachers' Retirement System of Louisiana (2026), "Regular Session News #18: Passage of return-to-work bill a highlight of 2026" (Act 344 of 2026, SB 14), 2 June 2026, https://www.trsl.org/resources/legislation/archive/regular-session-news-18-passage-of-return-to-work-bill-a-highlight-of-2026-copy (accessed on 4 August 2026).</w:t>
      </w:r>
    </w:p>
    <w:p>
      <w:pPr>
        <w:spacing w:after="120"/>
        <w:ind w:left="567" w:hanging="567"/>
        <w:jc w:val="left"/>
      </w:pPr>
      <w:r>
        <w:rPr>
          <w:sz w:val="21"/>
          <w:szCs w:val="21"/>
        </w:rPr>
        <w:t xml:space="preserve">Teaching Council of Aotearoa New Zealand (2026), </w:t>
      </w:r>
      <w:r>
        <w:rPr>
          <w:i/>
          <w:iCs/>
          <w:sz w:val="21"/>
          <w:szCs w:val="21"/>
        </w:rPr>
        <w:t xml:space="preserve">Requirements for Teacher Registration, Practising Certificates and Limited Authority to Teach</w:t>
      </w:r>
      <w:r>
        <w:rPr>
          <w:sz w:val="21"/>
          <w:szCs w:val="21"/>
        </w:rPr>
        <w:t xml:space="preserve">, registration policy (2026 Teacher Education Refresh update), January 2026 version, Teaching Council of Aotearoa New Zealand, Wellington.</w:t>
      </w:r>
    </w:p>
    <w:p>
      <w:pPr>
        <w:spacing w:after="120"/>
        <w:ind w:left="567" w:hanging="567"/>
        <w:jc w:val="left"/>
      </w:pPr>
      <w:r>
        <w:rPr>
          <w:sz w:val="21"/>
          <w:szCs w:val="21"/>
        </w:rPr>
        <w:t xml:space="preserve">Tweede Kamer (2019), Kamerstukken II 2019/20, 35 300 VIII, nr. 15 (Verslag houdende een lijst van vragen en antwoorden, answer to question 44), https://zoek.officielebekendmakingen.nl/kst-35300-VIII-15.html (accessed on 5 August 2026).</w:t>
      </w:r>
    </w:p>
    <w:p>
      <w:pPr>
        <w:spacing w:after="120"/>
        <w:ind w:left="567" w:hanging="567"/>
        <w:jc w:val="left"/>
      </w:pPr>
      <w:r>
        <w:rPr>
          <w:sz w:val="21"/>
          <w:szCs w:val="21"/>
        </w:rPr>
        <w:t xml:space="preserve">UK Parliament (2022), Written question 54668 "Teachers: Re-employment", answered 11 October 2022, https://questions-statements.parliament.uk/written-questions/detail/2022-09-22/54668/ (accessed on 4 August 2026).</w:t>
      </w:r>
    </w:p>
    <w:p>
      <w:pPr>
        <w:spacing w:after="120"/>
        <w:ind w:left="567" w:hanging="567"/>
        <w:jc w:val="left"/>
      </w:pPr>
      <w:r>
        <w:rPr>
          <w:sz w:val="21"/>
          <w:szCs w:val="21"/>
        </w:rPr>
        <w:t xml:space="preserve">Virginia Retirement System (n.d.), "Critical Shortage Positions", https://www.varetire.org/retiree-milestones/working-after-retirement/critical-shortage-positions/ (accessed on 4 August 2026).</w:t>
      </w:r>
    </w:p>
    <w:p>
      <w:pPr>
        <w:spacing w:after="120"/>
        <w:ind w:left="567" w:hanging="567"/>
        <w:jc w:val="left"/>
      </w:pPr>
      <w:r>
        <w:rPr>
          <w:sz w:val="21"/>
          <w:szCs w:val="21"/>
        </w:rPr>
        <w:t xml:space="preserve">Walker, A. (2022), "DfE scheme to lure back physics teachers recruits just 23 in two years", </w:t>
      </w:r>
      <w:r>
        <w:rPr>
          <w:i/>
          <w:iCs/>
          <w:sz w:val="21"/>
          <w:szCs w:val="21"/>
        </w:rPr>
        <w:t xml:space="preserve">Schools Week</w:t>
      </w:r>
      <w:r>
        <w:rPr>
          <w:sz w:val="21"/>
          <w:szCs w:val="21"/>
        </w:rPr>
        <w:t xml:space="preserve">, 13 September 2022, https://schoolsweek.co.uk/dfe-scheme-to-lure-back-physics-teachers-recruits-just-23-in-two-years/.</w:t>
      </w:r>
    </w:p>
    <w:p>
      <w:pPr>
        <w:spacing w:after="120"/>
        <w:ind w:left="567" w:hanging="567"/>
        <w:jc w:val="left"/>
      </w:pPr>
      <w:r>
        <w:rPr>
          <w:sz w:val="21"/>
          <w:szCs w:val="21"/>
        </w:rPr>
        <w:t xml:space="preserve">What Works Clearinghouse (2019), </w:t>
      </w:r>
      <w:r>
        <w:rPr>
          <w:i/>
          <w:iCs/>
          <w:sz w:val="21"/>
          <w:szCs w:val="21"/>
        </w:rPr>
        <w:t xml:space="preserve">Review of Individual Study: DeCesare, McClelland and Randel (2017)</w:t>
      </w:r>
      <w:r>
        <w:rPr>
          <w:sz w:val="21"/>
          <w:szCs w:val="21"/>
        </w:rPr>
        <w:t xml:space="preserve"> (Study #88756, reviewed August 2019, Standards and Protocol 4.0), Institute of Education Sciences, U.S. Department of Education, Washington, DC, https://ies.ed.gov/ncee/wwc/Study/88756 (accessed on 5 August 2026).</w:t>
      </w:r>
    </w:p>
    <w:p>
      <w:pPr>
        <w:spacing w:after="120"/>
        <w:ind w:left="567" w:hanging="567"/>
        <w:jc w:val="left"/>
      </w:pPr>
      <w:r>
        <w:rPr>
          <w:sz w:val="21"/>
          <w:szCs w:val="21"/>
        </w:rPr>
        <w:t xml:space="preserve">Will, M. (2022), "Could Retired Teachers Be the Answer to Shortages? It's Complicated", </w:t>
      </w:r>
      <w:r>
        <w:rPr>
          <w:i/>
          <w:iCs/>
          <w:sz w:val="21"/>
          <w:szCs w:val="21"/>
        </w:rPr>
        <w:t xml:space="preserve">Education Week</w:t>
      </w:r>
      <w:r>
        <w:rPr>
          <w:sz w:val="21"/>
          <w:szCs w:val="21"/>
        </w:rPr>
        <w:t xml:space="preserve">, 11 October 2022, https://www.edweek.org/leadership/could-retired-teachers-be-the-answer-to-shortages-its-complicated/2022/10 (accessed on 4 August 2026).</w:t>
      </w:r>
    </w:p>
    <w:p>
      <w:pPr>
        <w:spacing w:after="120"/>
        <w:ind w:left="567" w:hanging="567"/>
        <w:jc w:val="left"/>
      </w:pPr>
      <w:r>
        <w:rPr>
          <w:sz w:val="21"/>
          <w:szCs w:val="21"/>
        </w:rPr>
        <w:t xml:space="preserve">Worth, J. (2023), </w:t>
      </w:r>
      <w:r>
        <w:rPr>
          <w:i/>
          <w:iCs/>
          <w:sz w:val="21"/>
          <w:szCs w:val="21"/>
        </w:rPr>
        <w:t xml:space="preserve">Short Supply: Addressing the Post-Pandemic Teacher Supply Challenge in England</w:t>
      </w:r>
      <w:r>
        <w:rPr>
          <w:sz w:val="21"/>
          <w:szCs w:val="21"/>
        </w:rPr>
        <w:t xml:space="preserve">, National Foundation for Educational Research, Slough, https://files.eric.ed.gov/fulltext/ED627679.pdf (accessed on 4 August 2026).</w:t>
      </w:r>
    </w:p>
    <w:p>
      <w:pPr>
        <w:spacing w:after="120"/>
        <w:ind w:left="567" w:hanging="567"/>
        <w:jc w:val="left"/>
      </w:pPr>
      <w:r>
        <w:rPr>
          <w:sz w:val="21"/>
          <w:szCs w:val="21"/>
        </w:rPr>
        <w:t xml:space="preserve">Worth, J. and C. Sharp (2018), "What do returners want?", NFER blog, 11 July 2018, National Foundation for Educational Research, Slough, https://www.nfer.ac.uk/blogs/what-do-returners-want/ (accessed on 4 August 2026).</w:t>
      </w:r>
    </w:p>
    <w:p>
      <w:pPr>
        <w:spacing w:after="120"/>
        <w:ind w:left="567" w:hanging="567"/>
        <w:jc w:val="left"/>
      </w:pPr>
      <w:r>
        <w:rPr>
          <w:sz w:val="21"/>
          <w:szCs w:val="21"/>
        </w:rPr>
        <w:t xml:space="preserve">Worth, J., S. Bamford and B. Durbin (2015), </w:t>
      </w:r>
      <w:r>
        <w:rPr>
          <w:i/>
          <w:iCs/>
          <w:sz w:val="21"/>
          <w:szCs w:val="21"/>
        </w:rPr>
        <w:t xml:space="preserve">Should I Stay or Should I Go? NFER Analysis of Teachers Joining and Leaving the Profession</w:t>
      </w:r>
      <w:r>
        <w:rPr>
          <w:sz w:val="21"/>
          <w:szCs w:val="21"/>
        </w:rPr>
        <w:t xml:space="preserve">, National Foundation for Educational Research, Slough, https://www.nfer.ac.uk/publications/should-i-stay-or-should-i-go-nfer-analysis-of-teachers-joining-and-leaving-the-profession/.</w:t>
      </w:r>
    </w:p>
    <w:sectPr>
      <w:headerReference w:type="default" r:id="rId7"/>
      <w:footerReference w:type="default" r:id="rId8"/>
      <w:pgSz w:w="11906" w:h="16838" w:orient="portrait"/>
      <w:pgMar w:top="1417" w:right="1417" w:bottom="1417"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aps/>
        <w:color w:val="595959"/>
        <w:sz w:val="16"/>
        <w:szCs w:val="16"/>
      </w:rPr>
      <w:t xml:space="preserve">FORMER TEACHERS: BARRIERS, INCENTIVES AND POLICY LESSONS FOR RE-ENTRY — WORKING PAPER,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240"/>
      <w:outlineLvl w:val="0"/>
    </w:pPr>
    <w:rPr>
      <w:rFonts w:ascii="Garamond" w:cs="Garamond" w:eastAsia="Garamond" w:hAnsi="Garamond"/>
      <w:b/>
      <w:bCs/>
      <w:color w:val="4E81BD"/>
      <w:sz w:val="40"/>
      <w:szCs w:val="40"/>
    </w:rPr>
  </w:style>
  <w:style w:type="paragraph" w:styleId="Heading2">
    <w:name w:val="Heading 2"/>
    <w:basedOn w:val="Normal"/>
    <w:next w:val="Normal"/>
    <w:qFormat/>
    <w:pPr>
      <w:spacing w:after="160" w:before="280"/>
      <w:outlineLvl w:val="1"/>
    </w:pPr>
    <w:rPr>
      <w:rFonts w:ascii="Garamond" w:cs="Garamond" w:eastAsia="Garamond" w:hAnsi="Garamond"/>
      <w:b/>
      <w:bCs/>
      <w:color w:val="4E81BD"/>
      <w:sz w:val="28"/>
      <w:szCs w:val="28"/>
    </w:rPr>
  </w:style>
  <w:style w:type="paragraph" w:styleId="Heading3">
    <w:name w:val="Heading 3"/>
    <w:basedOn w:val="Normal"/>
    <w:next w:val="Normal"/>
    <w:qFormat/>
    <w:pPr>
      <w:spacing w:after="120" w:before="220"/>
      <w:outlineLvl w:val="2"/>
    </w:pPr>
    <w:rPr>
      <w:rFonts w:ascii="Garamond" w:cs="Garamond" w:eastAsia="Garamond" w:hAnsi="Garamond"/>
      <w:b/>
      <w:bCs/>
      <w:color w:val="4E81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2026-08-17T14:48:45.667Z</dcterms:created>
  <dcterms:modified xsi:type="dcterms:W3CDTF">2026-08-17T14:48:45.668Z</dcterms:modified>
</cp:coreProperties>
</file>

<file path=docProps/custom.xml><?xml version="1.0" encoding="utf-8"?>
<Properties xmlns="http://schemas.openxmlformats.org/officeDocument/2006/custom-properties" xmlns:vt="http://schemas.openxmlformats.org/officeDocument/2006/docPropsVTypes"/>
</file>