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40"/>
      </w:pPr>
      <w:r>
        <w:rPr>
          <w:b/>
          <w:bCs/>
          <w:color w:val="04629A"/>
          <w:sz w:val="30"/>
          <w:szCs w:val="30"/>
        </w:rPr>
        <w:t xml:space="preserve">La lista de ideas de la Sección 2</w:t>
      </w:r>
    </w:p>
    <w:p>
      <w:pPr>
        <w:pStyle w:val="Heading2"/>
        <w:spacing w:after="140" w:before="260"/>
      </w:pPr>
      <w:r>
        <w:rPr>
          <w:b/>
          <w:bCs/>
          <w:color w:val="04629A"/>
          <w:sz w:val="25"/>
          <w:szCs w:val="25"/>
        </w:rPr>
        <w:t xml:space="preserve">Aprobadas — introducción de la sección</w:t>
      </w:r>
    </w:p>
    <w:p>
      <w:pPr>
        <w:spacing w:after="70"/>
        <w:ind w:left="280" w:hanging="280"/>
      </w:pPr>
      <w:r>
        <w:rPr>
          <w:sz w:val="20"/>
          <w:szCs w:val="20"/>
        </w:rPr>
        <w:t xml:space="preserve">1. Las políticas de reatracción han de fundarse en los motivos de salida y responder a ellos.</w:t>
      </w:r>
    </w:p>
    <w:p>
      <w:pPr>
        <w:spacing w:after="70"/>
        <w:ind w:left="280" w:hanging="280"/>
      </w:pPr>
      <w:r>
        <w:rPr>
          <w:sz w:val="20"/>
          <w:szCs w:val="20"/>
        </w:rPr>
        <w:t xml:space="preserve">2. Las salidas se agrupan a grandes rasgos en tres rutas (dimisión hacia otro empleo, salida del mercado laboral, jubilación); cada una responde a instrumentos distintos. La etiqueta se nombra una sola vez.</w:t>
      </w:r>
    </w:p>
    <w:p>
      <w:pPr>
        <w:spacing w:after="70"/>
        <w:ind w:left="280" w:hanging="280"/>
      </w:pPr>
      <w:r>
        <w:rPr>
          <w:sz w:val="20"/>
          <w:szCs w:val="20"/>
        </w:rPr>
        <w:t xml:space="preserve">3. El peso de cada motivo varía entre sistemas con las instituciones que lo gobiernan (pensiones y edad de acceso, retribución relativa, derecho efectivo a reducir jornada, permisos y reserva del puesto, inspección, habilitación).</w:t>
      </w:r>
    </w:p>
    <w:p>
      <w:pPr>
        <w:spacing w:after="70"/>
        <w:ind w:left="280" w:hanging="280"/>
      </w:pPr>
      <w:r>
        <w:rPr>
          <w:sz w:val="20"/>
          <w:szCs w:val="20"/>
        </w:rPr>
        <w:t xml:space="preserve">4. Los motivos se agrupan en seis áreas; la evidencia se reparte de forma desigual: causal para salario, pensiones e inspección; salidas observadas para liderazgo y conducta del alumnado; casi solo declarada para sentido profesional, estatus y familia.</w:t>
      </w:r>
    </w:p>
    <w:p>
      <w:pPr>
        <w:pStyle w:val="Heading2"/>
        <w:spacing w:after="140" w:before="260"/>
      </w:pPr>
      <w:r>
        <w:rPr>
          <w:b/>
          <w:bCs/>
          <w:color w:val="04629A"/>
          <w:sz w:val="25"/>
          <w:szCs w:val="25"/>
        </w:rPr>
        <w:t xml:space="preserve">Aprobadas — patrones de salida</w:t>
      </w:r>
    </w:p>
    <w:p>
      <w:pPr>
        <w:spacing w:after="70"/>
        <w:ind w:left="280" w:hanging="280"/>
      </w:pPr>
      <w:r>
        <w:rPr>
          <w:sz w:val="20"/>
          <w:szCs w:val="20"/>
        </w:rPr>
        <w:t xml:space="preserve">5. Las tasas van de ~2% (Israel, Irlanda, Francia, Grecia) a ~12% (Lituania, Dinamarca); media OCDE 6,5% en 2022/23 </w:t>
      </w:r>
      <w:r>
        <w:rPr>
          <w:color w:val="0563C1"/>
          <w:sz w:val="20"/>
          <w:szCs w:val="20"/>
        </w:rPr>
        <w:t xml:space="preserve">(EAG 2025, tabla D8.4)</w:t>
      </w:r>
      <w:r>
        <w:rPr>
          <w:sz w:val="20"/>
          <w:szCs w:val="20"/>
        </w:rPr>
        <w:t xml:space="preserve">.</w:t>
      </w:r>
    </w:p>
    <w:p>
      <w:pPr>
        <w:spacing w:after="70"/>
        <w:ind w:left="280" w:hanging="280"/>
      </w:pPr>
      <w:r>
        <w:rPr>
          <w:sz w:val="20"/>
          <w:szCs w:val="20"/>
        </w:rPr>
        <w:t xml:space="preserve">6. El abandono se concentra en los primeros años y de nuevo cerca de la jubilación </w:t>
      </w:r>
      <w:r>
        <w:rPr>
          <w:color w:val="0563C1"/>
          <w:sz w:val="20"/>
          <w:szCs w:val="20"/>
        </w:rPr>
        <w:t xml:space="preserve">(Guarino et al., 2006)</w:t>
      </w:r>
      <w:r>
        <w:rPr>
          <w:sz w:val="20"/>
          <w:szCs w:val="20"/>
        </w:rPr>
        <w:t xml:space="preserve">.</w:t>
      </w:r>
    </w:p>
    <w:p>
      <w:pPr>
        <w:spacing w:after="70"/>
        <w:ind w:left="280" w:hanging="280"/>
      </w:pPr>
      <w:r>
        <w:rPr>
          <w:sz w:val="20"/>
          <w:szCs w:val="20"/>
        </w:rPr>
        <w:t xml:space="preserve">7. Las condiciones del centro se asocian con el abandono con más fuerza que las características del docente </w:t>
      </w:r>
      <w:r>
        <w:rPr>
          <w:color w:val="0563C1"/>
          <w:sz w:val="20"/>
          <w:szCs w:val="20"/>
        </w:rPr>
        <w:t xml:space="preserve">(Nguyen et al., 2020)</w:t>
      </w:r>
      <w:r>
        <w:rPr>
          <w:sz w:val="20"/>
          <w:szCs w:val="20"/>
        </w:rPr>
        <w:t xml:space="preserve">; el apoyo de la dirección pesa más que los recursos; Inglaterra: el factor de liderazgo reduce a la mitad la probabilidad anual de salir; Nueva York: mejoras dentro del mismo centro acompañan menor rotación.</w:t>
      </w:r>
    </w:p>
    <w:p>
      <w:pPr>
        <w:spacing w:after="70"/>
        <w:ind w:left="280" w:hanging="280"/>
      </w:pPr>
      <w:r>
        <w:rPr>
          <w:sz w:val="20"/>
          <w:szCs w:val="20"/>
        </w:rPr>
        <w:t xml:space="preserve">8. Los motivos declarados no siempre coinciden con los que predicen la salida observada; es la brecha entre preferencias declaradas y reveladas </w:t>
      </w:r>
      <w:r>
        <w:rPr>
          <w:color w:val="0563C1"/>
          <w:sz w:val="20"/>
          <w:szCs w:val="20"/>
        </w:rPr>
        <w:t xml:space="preserve">(Samuelson, 1938)</w:t>
      </w:r>
      <w:r>
        <w:rPr>
          <w:sz w:val="20"/>
          <w:szCs w:val="20"/>
        </w:rPr>
        <w:t xml:space="preserve">.</w:t>
      </w:r>
    </w:p>
    <w:p>
      <w:pPr>
        <w:pStyle w:val="Heading2"/>
        <w:spacing w:after="140" w:before="260"/>
      </w:pPr>
      <w:r>
        <w:rPr>
          <w:b/>
          <w:bCs/>
          <w:color w:val="04629A"/>
          <w:sz w:val="25"/>
          <w:szCs w:val="25"/>
        </w:rPr>
        <w:t xml:space="preserve">Aprobadas — clasificación</w:t>
      </w:r>
    </w:p>
    <w:p>
      <w:pPr>
        <w:spacing w:after="70"/>
        <w:ind w:left="280" w:hanging="280"/>
      </w:pPr>
      <w:r>
        <w:rPr>
          <w:sz w:val="20"/>
          <w:szCs w:val="20"/>
        </w:rPr>
        <w:t xml:space="preserve">9. La literatura no emplea una clasificación única (push/pull; vida del docente / centro / normas generales).</w:t>
      </w:r>
    </w:p>
    <w:p>
      <w:pPr>
        <w:spacing w:after="70"/>
        <w:ind w:left="280" w:hanging="280"/>
      </w:pPr>
      <w:r>
        <w:rPr>
          <w:sz w:val="20"/>
          <w:szCs w:val="20"/>
        </w:rPr>
        <w:t xml:space="preserve">10. Este trabajo ordena los motivos en seis áreas, por ámbito y autoridad con capacidad de intervenir (Tabla 1).</w:t>
      </w:r>
    </w:p>
    <w:p>
      <w:pPr>
        <w:pStyle w:val="Heading2"/>
        <w:spacing w:after="140" w:before="260"/>
      </w:pPr>
      <w:r>
        <w:rPr>
          <w:b/>
          <w:bCs/>
          <w:color w:val="04629A"/>
          <w:sz w:val="25"/>
          <w:szCs w:val="25"/>
        </w:rPr>
        <w:t xml:space="preserve">Aprobadas — las razones</w:t>
      </w:r>
    </w:p>
    <w:p>
      <w:pPr>
        <w:spacing w:after="70"/>
        <w:ind w:left="280" w:hanging="280"/>
      </w:pPr>
      <w:r>
        <w:rPr>
          <w:sz w:val="20"/>
          <w:szCs w:val="20"/>
        </w:rPr>
        <w:t xml:space="preserve">11. Preguntados en abierto, el motivo más frecuente es la pérdida de compromiso con el trabajo (Finlandia; sin cifras hasta verificar; más hombres que mujeres).</w:t>
      </w:r>
    </w:p>
    <w:p>
      <w:pPr>
        <w:spacing w:after="70"/>
        <w:ind w:left="280" w:hanging="280"/>
      </w:pPr>
      <w:r>
        <w:rPr>
          <w:sz w:val="20"/>
          <w:szCs w:val="20"/>
        </w:rPr>
        <w:t xml:space="preserve">12. El deterioro del estatus y la exposición a denuncias empujan a salir en algunos sistemas </w:t>
      </w:r>
      <w:r>
        <w:rPr>
          <w:color w:val="0563C1"/>
          <w:sz w:val="20"/>
          <w:szCs w:val="20"/>
        </w:rPr>
        <w:t xml:space="preserve">(Corea: 869 a 6 594 jubilaciones anticipadas, 2005-2021)</w:t>
      </w:r>
      <w:r>
        <w:rPr>
          <w:sz w:val="20"/>
          <w:szCs w:val="20"/>
        </w:rPr>
        <w:t xml:space="preserve">.</w:t>
      </w:r>
    </w:p>
    <w:p>
      <w:pPr>
        <w:spacing w:after="70"/>
        <w:ind w:left="280" w:hanging="280"/>
      </w:pPr>
      <w:r>
        <w:rPr>
          <w:sz w:val="20"/>
          <w:szCs w:val="20"/>
        </w:rPr>
        <w:t xml:space="preserve">13. La carga de trabajo es el motivo más declarado en casi todos los países (Países Bajos, 47%).</w:t>
      </w:r>
    </w:p>
    <w:p>
      <w:pPr>
        <w:spacing w:after="70"/>
        <w:ind w:left="280" w:hanging="280"/>
      </w:pPr>
      <w:r>
        <w:rPr>
          <w:sz w:val="20"/>
          <w:szCs w:val="20"/>
        </w:rPr>
        <w:t xml:space="preserve">14. El margen legal para reducir jornada varía enormemente (Países Bajos frente a Japón e Inglaterra). Pendiente: gráfico o tabla.</w:t>
      </w:r>
    </w:p>
    <w:p>
      <w:pPr>
        <w:spacing w:after="70"/>
        <w:ind w:left="280" w:hanging="280"/>
      </w:pPr>
      <w:r>
        <w:rPr>
          <w:sz w:val="20"/>
          <w:szCs w:val="20"/>
        </w:rPr>
        <w:t xml:space="preserve">15. Inglaterra, enlace TALIS-censo: la disciplina del centro predice la salida y las horas declaradas no; una desviación típica de mejora reduce a la mitad la probabilidad anual </w:t>
      </w:r>
      <w:r>
        <w:rPr>
          <w:color w:val="0563C1"/>
          <w:sz w:val="20"/>
          <w:szCs w:val="20"/>
        </w:rPr>
        <w:t xml:space="preserve">(Sims y Jerrim, 2020)</w:t>
      </w:r>
      <w:r>
        <w:rPr>
          <w:sz w:val="20"/>
          <w:szCs w:val="20"/>
        </w:rPr>
        <w:t xml:space="preserve">. Con nota al pie desarrollada.</w:t>
      </w:r>
    </w:p>
    <w:p>
      <w:pPr>
        <w:spacing w:after="70"/>
        <w:ind w:left="280" w:hanging="280"/>
      </w:pPr>
      <w:r>
        <w:rPr>
          <w:sz w:val="20"/>
          <w:szCs w:val="20"/>
        </w:rPr>
        <w:t xml:space="preserve">17. El liderazgo es el factor más veces asociado al abandono y de los más difíciles de aislar </w:t>
      </w:r>
      <w:r>
        <w:rPr>
          <w:color w:val="0563C1"/>
          <w:sz w:val="20"/>
          <w:szCs w:val="20"/>
        </w:rPr>
        <w:t xml:space="preserve">(Kraft et al., 2016)</w:t>
      </w:r>
      <w:r>
        <w:rPr>
          <w:sz w:val="20"/>
          <w:szCs w:val="20"/>
        </w:rPr>
        <w:t xml:space="preserve">.</w:t>
      </w:r>
    </w:p>
    <w:p>
      <w:pPr>
        <w:spacing w:after="70"/>
        <w:ind w:left="280" w:hanging="280"/>
      </w:pPr>
      <w:r>
        <w:rPr>
          <w:sz w:val="20"/>
          <w:szCs w:val="20"/>
        </w:rPr>
        <w:t xml:space="preserve">18. Los profesores jóvenes tienen una mayor probabilidad de permanecer en su centro si reciben mentoría por parte de un profesor mayor durante el inicio de su carrera </w:t>
      </w:r>
      <w:r>
        <w:rPr>
          <w:color w:val="0563C1"/>
          <w:sz w:val="20"/>
          <w:szCs w:val="20"/>
        </w:rPr>
        <w:t xml:space="preserve">(Nguyen et al., 2020; Walker et al., 2024)</w:t>
      </w:r>
      <w:r>
        <w:rPr>
          <w:sz w:val="20"/>
          <w:szCs w:val="20"/>
        </w:rPr>
        <w:t xml:space="preserve">.</w:t>
      </w:r>
    </w:p>
    <w:p>
      <w:pPr>
        <w:spacing w:after="70"/>
        <w:ind w:left="280" w:hanging="280"/>
      </w:pPr>
      <w:r>
        <w:rPr>
          <w:sz w:val="20"/>
          <w:szCs w:val="20"/>
        </w:rPr>
        <w:t xml:space="preserve">19. Seguir enseñando es comparar lo que el puesto ofrece con la mejor opción externa del propio docente; ésta varía por materia, titulación y mercado local.</w:t>
      </w:r>
    </w:p>
    <w:p>
      <w:pPr>
        <w:spacing w:after="70"/>
        <w:ind w:left="280" w:hanging="280"/>
      </w:pPr>
      <w:r>
        <w:rPr>
          <w:sz w:val="20"/>
          <w:szCs w:val="20"/>
        </w:rPr>
        <w:t xml:space="preserve">19a. Pagos dirigidos reducen la salida entre 9% y 23% (Inglaterra, Florida, Carolina del Norte, Noruega).</w:t>
      </w:r>
    </w:p>
    <w:p>
      <w:pPr>
        <w:spacing w:after="70"/>
        <w:ind w:left="280" w:hanging="280"/>
      </w:pPr>
      <w:r>
        <w:rPr>
          <w:sz w:val="20"/>
          <w:szCs w:val="20"/>
        </w:rPr>
        <w:t xml:space="preserve">19b. El efecto dura mientras dura el pago </w:t>
      </w:r>
      <w:r>
        <w:rPr>
          <w:color w:val="0563C1"/>
          <w:sz w:val="20"/>
          <w:szCs w:val="20"/>
        </w:rPr>
        <w:t xml:space="preserve">(See et al., 2020)</w:t>
      </w:r>
      <w:r>
        <w:rPr>
          <w:sz w:val="20"/>
          <w:szCs w:val="20"/>
        </w:rPr>
        <w:t xml:space="preserve">.</w:t>
      </w:r>
    </w:p>
    <w:p>
      <w:pPr>
        <w:spacing w:after="70"/>
        <w:ind w:left="280" w:hanging="280"/>
      </w:pPr>
      <w:r>
        <w:rPr>
          <w:sz w:val="20"/>
          <w:szCs w:val="20"/>
        </w:rPr>
        <w:t xml:space="preserve">19c. Las trayectorias salariales tras la salida difieren sistemáticamente según el destino: dentro del sector, variaciones pequeñas; fuera, distribución con colas gruesas por ambos extremos; la cola superior en hombres y especialidades con escasez.</w:t>
      </w:r>
    </w:p>
    <w:p>
      <w:pPr>
        <w:spacing w:after="70"/>
        <w:ind w:left="280" w:hanging="280"/>
      </w:pPr>
      <w:r>
        <w:rPr>
          <w:sz w:val="20"/>
          <w:szCs w:val="20"/>
        </w:rPr>
        <w:t xml:space="preserve">20. En la mayoría de los regímenes de pensiones, jubilarse antes de la edad que fija la norma reduce la pensión y jubilarse más tarde apenas la aumenta; las jubilaciones se concentran en torno a esa edad.</w:t>
      </w:r>
    </w:p>
    <w:p>
      <w:pPr>
        <w:spacing w:after="70"/>
        <w:ind w:left="280" w:hanging="280"/>
      </w:pPr>
      <w:r>
        <w:rPr>
          <w:sz w:val="20"/>
          <w:szCs w:val="20"/>
        </w:rPr>
        <w:t xml:space="preserve">20a. La riqueza pensional crece despacio, muy deprisa justo antes de la edad de pensión completa y casi nada después </w:t>
      </w:r>
      <w:r>
        <w:rPr>
          <w:color w:val="0563C1"/>
          <w:sz w:val="20"/>
          <w:szCs w:val="20"/>
        </w:rPr>
        <w:t xml:space="preserve">(Costrell y Podgursky, 2009; generaliza en regímenes DB de 17 países; los sistemas NDC/DC son casi neutrales)</w:t>
      </w:r>
      <w:r>
        <w:rPr>
          <w:sz w:val="20"/>
          <w:szCs w:val="20"/>
        </w:rPr>
        <w:t xml:space="preserve">.</w:t>
      </w:r>
    </w:p>
    <w:p>
      <w:pPr>
        <w:spacing w:after="70"/>
        <w:ind w:left="280" w:hanging="280"/>
      </w:pPr>
      <w:r>
        <w:rPr>
          <w:sz w:val="20"/>
          <w:szCs w:val="20"/>
        </w:rPr>
        <w:t xml:space="preserve">20b. Los docentes anticipan estos incentivos; las jubilaciones se concentran en las edades a partir de las cuales retirarse deja de estar penalizado </w:t>
      </w:r>
      <w:r>
        <w:rPr>
          <w:color w:val="0563C1"/>
          <w:sz w:val="20"/>
          <w:szCs w:val="20"/>
        </w:rPr>
        <w:t xml:space="preserve">(Ni y Podgursky, 2016)</w:t>
      </w:r>
      <w:r>
        <w:rPr>
          <w:sz w:val="20"/>
          <w:szCs w:val="20"/>
        </w:rPr>
        <w:t xml:space="preserve">.</w:t>
      </w:r>
    </w:p>
    <w:p>
      <w:pPr>
        <w:spacing w:after="70"/>
        <w:ind w:left="280" w:hanging="280"/>
      </w:pPr>
      <w:r>
        <w:rPr>
          <w:sz w:val="20"/>
          <w:szCs w:val="20"/>
        </w:rPr>
        <w:t xml:space="preserve">21. El ingreso vital tiene dos partes, salario presente y pensión futura; la pensión retiene solo en la medida en que el docente la valore hoy, y esa valoración y el coste de financiarla no tienen por qué coincidir </w:t>
      </w:r>
      <w:r>
        <w:rPr>
          <w:color w:val="0563C1"/>
          <w:sz w:val="20"/>
          <w:szCs w:val="20"/>
        </w:rPr>
        <w:t xml:space="preserve">(Fitzpatrick, 2015; Ni, Podgursky y Wang, 2022; Koedel y Xiang, 2017; Quinby y Wettstein, 2021)</w:t>
      </w:r>
      <w:r>
        <w:rPr>
          <w:sz w:val="20"/>
          <w:szCs w:val="20"/>
        </w:rPr>
        <w:t xml:space="preserve">.</w:t>
      </w:r>
    </w:p>
    <w:p>
      <w:pPr>
        <w:spacing w:after="70"/>
        <w:ind w:left="280" w:hanging="280"/>
      </w:pPr>
      <w:r>
        <w:rPr>
          <w:sz w:val="20"/>
          <w:szCs w:val="20"/>
        </w:rPr>
        <w:t xml:space="preserve">22. Cuando jubilarse antes de la edad fijada conlleva un recorte de la pensión, los docentes posponen la jubilación </w:t>
      </w:r>
      <w:r>
        <w:rPr>
          <w:color w:val="0563C1"/>
          <w:sz w:val="20"/>
          <w:szCs w:val="20"/>
        </w:rPr>
        <w:t xml:space="preserve">(Francia 2003, Baraton, Beffy y Fougère, 2011; Países Bajos, Montizaan et al., 2010; Alemania 2001 como ilustración descriptiva)</w:t>
      </w:r>
      <w:r>
        <w:rPr>
          <w:sz w:val="20"/>
          <w:szCs w:val="20"/>
        </w:rPr>
        <w:t xml:space="preserve">.</w:t>
      </w:r>
    </w:p>
    <w:p>
      <w:pPr>
        <w:spacing w:after="70"/>
        <w:ind w:left="280" w:hanging="280"/>
      </w:pPr>
      <w:r>
        <w:rPr>
          <w:sz w:val="20"/>
          <w:szCs w:val="20"/>
        </w:rPr>
        <w:t xml:space="preserve">23. El nacimiento de un hijo es uno de los principales motivos de salida de las docentes (Inglaterra, censo de plantilla; modelo estructural de Stinebrickner; sin estimación causal en la OCDE).</w:t>
      </w:r>
    </w:p>
    <w:p>
      <w:pPr>
        <w:spacing w:after="70"/>
        <w:ind w:left="280" w:hanging="280"/>
      </w:pPr>
      <w:r>
        <w:rPr>
          <w:sz w:val="20"/>
          <w:szCs w:val="20"/>
        </w:rPr>
        <w:t xml:space="preserve">23b. La duración del permiso de maternidad retribuido y de la reserva del puesto varía considerablemente entre países (España frente a Estados Unidos).</w:t>
      </w:r>
    </w:p>
    <w:p>
      <w:pPr>
        <w:spacing w:after="70"/>
        <w:ind w:left="280" w:hanging="280"/>
      </w:pPr>
      <w:r>
        <w:rPr>
          <w:sz w:val="20"/>
          <w:szCs w:val="20"/>
        </w:rPr>
        <w:t xml:space="preserve">24. La proporción entre salidas voluntarias y jubilaciones varía mucho entre países; la tesis de que la jubilación es un componente menor es anglófona y no generaliza </w:t>
      </w:r>
      <w:r>
        <w:rPr>
          <w:color w:val="0563C1"/>
          <w:sz w:val="20"/>
          <w:szCs w:val="20"/>
        </w:rPr>
        <w:t xml:space="preserve">(EAG 2025, tabla D8.4)</w:t>
      </w:r>
      <w:r>
        <w:rPr>
          <w:sz w:val="20"/>
          <w:szCs w:val="20"/>
        </w:rPr>
        <w:t xml:space="preserve">.</w:t>
      </w:r>
    </w:p>
    <w:p>
      <w:pPr>
        <w:pStyle w:val="Heading2"/>
        <w:spacing w:after="140" w:before="260"/>
      </w:pPr>
      <w:r>
        <w:rPr>
          <w:b/>
          <w:bCs/>
          <w:color w:val="04629A"/>
          <w:sz w:val="25"/>
          <w:szCs w:val="25"/>
        </w:rPr>
        <w:t xml:space="preserve">Aprobadas — preferencias declaradas y reveladas</w:t>
      </w:r>
    </w:p>
    <w:p>
      <w:pPr>
        <w:spacing w:after="70"/>
        <w:ind w:left="280" w:hanging="280"/>
      </w:pPr>
      <w:r>
        <w:rPr>
          <w:sz w:val="20"/>
          <w:szCs w:val="20"/>
        </w:rPr>
        <w:t xml:space="preserve">25. Quienes dejan la profesión declaran carga y circunstancias personales como motivos principales y sitúan el salario en posiciones intermedias; quienes se plantean marcharse lo sitúan entre los primeros; las decisiones observadas responden con fuerza a las variaciones salariales.</w:t>
      </w:r>
    </w:p>
    <w:p>
      <w:pPr>
        <w:spacing w:after="70"/>
        <w:ind w:left="280" w:hanging="280"/>
      </w:pPr>
      <w:r>
        <w:rPr>
          <w:sz w:val="20"/>
          <w:szCs w:val="20"/>
        </w:rPr>
        <w:t xml:space="preserve">26. Muchos más docentes declaran que van a dejar la profesión de los que la dejan; por cada tres o cuatro que declaran querer irse se va uno </w:t>
      </w:r>
      <w:r>
        <w:rPr>
          <w:color w:val="0563C1"/>
          <w:sz w:val="20"/>
          <w:szCs w:val="20"/>
        </w:rPr>
        <w:t xml:space="preserve">(Nguyen et al., 2025)</w:t>
      </w:r>
      <w:r>
        <w:rPr>
          <w:sz w:val="20"/>
          <w:szCs w:val="20"/>
        </w:rPr>
        <w:t xml:space="preserve">.</w:t>
      </w:r>
    </w:p>
    <w:p>
      <w:pPr>
        <w:pStyle w:val="Heading2"/>
        <w:spacing w:after="140" w:before="260"/>
      </w:pPr>
      <w:r>
        <w:rPr>
          <w:b/>
          <w:bCs/>
          <w:color w:val="04629A"/>
          <w:sz w:val="25"/>
          <w:szCs w:val="25"/>
        </w:rPr>
        <w:t xml:space="preserve">Aprobado provisional — sin revisar</w:t>
      </w:r>
    </w:p>
    <w:p>
      <w:pPr>
        <w:spacing w:after="70"/>
        <w:ind w:left="280" w:hanging="280"/>
      </w:pPr>
      <w:r>
        <w:rPr>
          <w:sz w:val="20"/>
          <w:szCs w:val="20"/>
        </w:rPr>
        <w:t xml:space="preserve">28. La mayoría de quienes dejan la docencia sigue trabajando en el sector educativo; los antiguos docentes son localizables a través de registros de empleadores y reguladores.</w:t>
      </w:r>
    </w:p>
    <w:p>
      <w:pPr>
        <w:spacing w:after="70"/>
        <w:ind w:left="280" w:hanging="280"/>
      </w:pPr>
      <w:r>
        <w:rPr>
          <w:sz w:val="20"/>
          <w:szCs w:val="20"/>
        </w:rPr>
        <w:t xml:space="preserve">29. La población de antiguos docentes es grande allí donde se ha contado y el recuento bruto sobreestima la reserva utilizable; lo que una oferta de retorno puede esperar depende del motivo de la salida (Michigan; Países Bajos; Escocia).</w:t>
      </w:r>
    </w:p>
    <w:p>
      <w:pPr>
        <w:pStyle w:val="Heading2"/>
        <w:spacing w:after="140" w:before="260"/>
      </w:pPr>
      <w:r>
        <w:rPr>
          <w:b/>
          <w:bCs/>
          <w:color w:val="04629A"/>
          <w:sz w:val="25"/>
          <w:szCs w:val="25"/>
        </w:rPr>
        <w:t xml:space="preserve">Eliminadas</w:t>
      </w:r>
    </w:p>
    <w:p>
      <w:pPr>
        <w:spacing w:after="70"/>
        <w:ind w:left="280" w:hanging="280"/>
      </w:pPr>
      <w:r>
        <w:rPr>
          <w:sz w:val="20"/>
          <w:szCs w:val="20"/>
        </w:rPr>
        <w:t xml:space="preserve">5b. Rotación entre centros frente a salida de la profesión.</w:t>
      </w:r>
    </w:p>
    <w:p>
      <w:pPr>
        <w:spacing w:after="70"/>
        <w:ind w:left="280" w:hanging="280"/>
      </w:pPr>
      <w:r>
        <w:rPr>
          <w:sz w:val="20"/>
          <w:szCs w:val="20"/>
        </w:rPr>
        <w:t xml:space="preserve">16. Los marcadores fisiológicos.</w:t>
      </w:r>
    </w:p>
    <w:p>
      <w:pPr>
        <w:spacing w:after="70"/>
        <w:ind w:left="280" w:hanging="280"/>
      </w:pPr>
      <w:r>
        <w:rPr>
          <w:sz w:val="20"/>
          <w:szCs w:val="20"/>
        </w:rPr>
        <w:t xml:space="preserve">27. La inspección como idea propia.</w:t>
      </w:r>
    </w:p>
    <w:p>
      <w:pPr>
        <w:spacing w:after="160" w:line="264"/>
        <w:jc w:val="both"/>
      </w:pPr>
      <w:r>
        <w:t xml:space="preserve">Nota al pie de la 18 (ensayos sobre permanencia en la profesión).</w:t>
      </w:r>
    </w:p>
    <w:sectPr>
      <w:headerReference w:type="default" r:id="rId7"/>
      <w:footerReference w:type="default" r:id="rId8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FORMER TEACHERS — LISTA DE IDEAS DE LA SECCIÓN 2, AGOSTO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cs="Garamond" w:eastAsia="Garamond" w:hAnsi="Garamond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2026-08-26T17:24:03.577Z</dcterms:created>
  <dcterms:modified xsi:type="dcterms:W3CDTF">2026-08-26T17:24:03.577Z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