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/>
        <w:jc w:val="center"/>
      </w:pPr>
      <w:r>
        <w:rPr>
          <w:rFonts w:ascii="Garamond" w:cs="Garamond" w:eastAsia="Garamond" w:hAnsi="Garamond"/>
          <w:b/>
          <w:bCs/>
          <w:sz w:val="34"/>
          <w:szCs w:val="34"/>
        </w:rPr>
        <w:t xml:space="preserve">Former Teachers: Barriers, Incentives and Policy Lessons for Re-entry</w:t>
      </w:r>
    </w:p>
    <w:p>
      <w:pPr>
        <w:spacing w:after="300"/>
      </w:pPr>
      <w:r>
        <w:rPr>
          <w:rFonts w:ascii="Garamond" w:cs="Garamond" w:eastAsia="Garamond" w:hAnsi="Garamond"/>
          <w:i/>
          <w:iCs/>
          <w:color w:val="595959"/>
          <w:sz w:val="22"/>
          <w:szCs w:val="22"/>
        </w:rPr>
        <w:t xml:space="preserve">Los teacher shortages existen, son cuantificables y su magnitud los vuelve especialmente relevantes en muchas partes del mundo; además, las aulas son cada vez más diversas y la formación docente suele quedarse atrás. Una respuesta a estos retos es re-atraer a quienes dejaron la profesión —hacia otro empleo o fuera del mercado laboral— y a los jubilados, no necesariamente al aula: también como mentores que aporten su experiencia a los docentes más jóvenes (diseño curricular, manejo del aula). El paper ofrece a los policymakers evidencia internacional sobre por qué se van los profesores y qué se ha hecho para re-atraerlos. Cada capítulo parte de una premisa: la respuesta depende del contexto.</w:t>
      </w:r>
    </w:p>
    <w:p>
      <w:pPr>
        <w:spacing w:after="40"/>
      </w:pPr>
      <w:r>
        <w:rPr>
          <w:rFonts w:ascii="Garamond" w:cs="Garamond" w:eastAsia="Garamond" w:hAnsi="Garamond"/>
          <w:b/>
          <w:bCs/>
          <w:sz w:val="24"/>
          <w:szCs w:val="24"/>
        </w:rPr>
        <w:t xml:space="preserve">Acknowledgements / Abstract / Key Take-Aways</w:t>
      </w:r>
    </w:p>
    <w:p>
      <w:pPr>
        <w:keepNext/>
        <w:spacing w:after="60" w:before="280"/>
      </w:pPr>
      <w:r>
        <w:rPr>
          <w:rFonts w:ascii="Garamond" w:cs="Garamond" w:eastAsia="Garamond" w:hAnsi="Garamond"/>
          <w:b/>
          <w:bCs/>
          <w:sz w:val="26"/>
          <w:szCs w:val="26"/>
        </w:rPr>
        <w:t xml:space="preserve">1. Introduction</w:t>
      </w:r>
    </w:p>
    <w:p>
      <w:pPr>
        <w:spacing w:after="60"/>
        <w:ind w:left="340"/>
      </w:pPr>
      <w:r>
        <w:rPr>
          <w:rFonts w:ascii="Garamond" w:cs="Garamond" w:eastAsia="Garamond" w:hAnsi="Garamond"/>
          <w:i/>
          <w:iCs/>
          <w:color w:val="595959"/>
          <w:sz w:val="22"/>
          <w:szCs w:val="22"/>
        </w:rPr>
        <w:t xml:space="preserve">El problema: shortages medibles y de magnitud relevante; aulas más diversas y formación que llega tarde. La respuesta que exploramos: re-atraer a leavers y jubilados, al aula o como mentores. Qué aporta el paper y a quién.</w:t>
      </w:r>
    </w:p>
    <w:p>
      <w:pPr>
        <w:keepNext/>
        <w:spacing w:after="60" w:before="280"/>
      </w:pPr>
      <w:r>
        <w:rPr>
          <w:rFonts w:ascii="Garamond" w:cs="Garamond" w:eastAsia="Garamond" w:hAnsi="Garamond"/>
          <w:b/>
          <w:bCs/>
          <w:sz w:val="26"/>
          <w:szCs w:val="26"/>
        </w:rPr>
        <w:t xml:space="preserve">2. Why teachers leave and where they go</w:t>
      </w:r>
    </w:p>
    <w:p>
      <w:pPr>
        <w:spacing w:after="60"/>
        <w:ind w:left="340"/>
      </w:pPr>
      <w:r>
        <w:rPr>
          <w:rFonts w:ascii="Garamond" w:cs="Garamond" w:eastAsia="Garamond" w:hAnsi="Garamond"/>
          <w:i/>
          <w:iCs/>
          <w:color w:val="595959"/>
          <w:sz w:val="22"/>
          <w:szCs w:val="22"/>
        </w:rPr>
        <w:t xml:space="preserve">Depende del contexto: el peso de los motivos intrínsecos y extrínsecos varía entre países (p. ej., EE.UU. frente a otros sistemas). Quién se va, por qué, a dónde van, y qué reserva de docentes cualificados representan.</w:t>
      </w:r>
    </w:p>
    <w:p>
      <w:pPr>
        <w:keepNext/>
        <w:spacing w:after="60" w:before="280"/>
      </w:pPr>
      <w:r>
        <w:rPr>
          <w:rFonts w:ascii="Garamond" w:cs="Garamond" w:eastAsia="Garamond" w:hAnsi="Garamond"/>
          <w:b/>
          <w:bCs/>
          <w:sz w:val="26"/>
          <w:szCs w:val="26"/>
        </w:rPr>
        <w:t xml:space="preserve">3. What would bring them back</w:t>
      </w:r>
    </w:p>
    <w:p>
      <w:pPr>
        <w:spacing w:after="60"/>
        <w:ind w:left="340"/>
      </w:pPr>
      <w:r>
        <w:rPr>
          <w:rFonts w:ascii="Garamond" w:cs="Garamond" w:eastAsia="Garamond" w:hAnsi="Garamond"/>
          <w:i/>
          <w:iCs/>
          <w:color w:val="595959"/>
          <w:sz w:val="22"/>
          <w:szCs w:val="22"/>
        </w:rPr>
        <w:t xml:space="preserve">Depende del contexto: lo que haría volver a un leaver no es lo que re-engancha a un jubilado. Incentivos económicos y no económicos, con presupuesto limitado; qué muestra la evidencia disponible.</w:t>
      </w:r>
    </w:p>
    <w:p>
      <w:pPr>
        <w:keepNext/>
        <w:spacing w:after="60" w:before="280"/>
      </w:pPr>
      <w:r>
        <w:rPr>
          <w:rFonts w:ascii="Garamond" w:cs="Garamond" w:eastAsia="Garamond" w:hAnsi="Garamond"/>
          <w:b/>
          <w:bCs/>
          <w:sz w:val="26"/>
          <w:szCs w:val="26"/>
        </w:rPr>
        <w:t xml:space="preserve">4. Re-entry policies in practice: international experience</w:t>
      </w:r>
    </w:p>
    <w:p>
      <w:pPr>
        <w:spacing w:after="60"/>
        <w:ind w:left="340"/>
      </w:pPr>
      <w:r>
        <w:rPr>
          <w:rFonts w:ascii="Garamond" w:cs="Garamond" w:eastAsia="Garamond" w:hAnsi="Garamond"/>
          <w:i/>
          <w:iCs/>
          <w:color w:val="595959"/>
          <w:sz w:val="22"/>
          <w:szCs w:val="22"/>
        </w:rPr>
        <w:t xml:space="preserve">Depende del contexto: cada sistema combina programas y regulación según su punto de partida. Casos seleccionados de nuestro Excel.</w:t>
      </w:r>
    </w:p>
    <w:p>
      <w:pPr>
        <w:keepNext/>
        <w:spacing w:after="30" w:before="100"/>
        <w:ind w:left="340"/>
      </w:pPr>
      <w:r>
        <w:rPr>
          <w:rFonts w:ascii="Garamond" w:cs="Garamond" w:eastAsia="Garamond" w:hAnsi="Garamond"/>
          <w:b/>
          <w:bCs/>
          <w:sz w:val="23"/>
          <w:szCs w:val="23"/>
        </w:rPr>
        <w:t xml:space="preserve">4.1 Programmes</w:t>
      </w:r>
    </w:p>
    <w:p>
      <w:pPr>
        <w:spacing w:after="60"/>
        <w:ind w:left="680"/>
      </w:pPr>
      <w:r>
        <w:rPr>
          <w:rFonts w:ascii="Garamond" w:cs="Garamond" w:eastAsia="Garamond" w:hAnsi="Garamond"/>
          <w:i/>
          <w:iCs/>
          <w:color w:val="595959"/>
          <w:sz w:val="22"/>
          <w:szCs w:val="22"/>
        </w:rPr>
        <w:t xml:space="preserve">Outreach y acompañamiento al retorno de leavers (Inglaterra, Australia, Nueva Zelanda); re-engagement de jubilados, al aula (Austria, China, Portugal) o en mentoría y tutoría (España, EE.UU.); reservas activables y su financiación (Bahamas, EE.UU.).</w:t>
      </w:r>
    </w:p>
    <w:p>
      <w:pPr>
        <w:keepNext/>
        <w:spacing w:after="30" w:before="100"/>
        <w:ind w:left="340"/>
      </w:pPr>
      <w:r>
        <w:rPr>
          <w:rFonts w:ascii="Garamond" w:cs="Garamond" w:eastAsia="Garamond" w:hAnsi="Garamond"/>
          <w:b/>
          <w:bCs/>
          <w:sz w:val="23"/>
          <w:szCs w:val="23"/>
        </w:rPr>
        <w:t xml:space="preserve">4.2 Regulation</w:t>
      </w:r>
    </w:p>
    <w:p>
      <w:pPr>
        <w:spacing w:after="60"/>
        <w:ind w:left="680"/>
      </w:pPr>
      <w:r>
        <w:rPr>
          <w:rFonts w:ascii="Garamond" w:cs="Garamond" w:eastAsia="Garamond" w:hAnsi="Garamond"/>
          <w:i/>
          <w:iCs/>
          <w:color w:val="595959"/>
          <w:sz w:val="22"/>
          <w:szCs w:val="22"/>
        </w:rPr>
        <w:t xml:space="preserve">Compatibilidad de pensión y salario (varios estados de EE.UU., Ontario, Francia); licensure y re-acreditación (Virginia, NSW, Nueva Zelanda); career breaks y derechos de retorno (Irlanda).</w:t>
      </w:r>
    </w:p>
    <w:p>
      <w:pPr>
        <w:keepNext/>
        <w:spacing w:after="60" w:before="280"/>
      </w:pPr>
      <w:r>
        <w:rPr>
          <w:rFonts w:ascii="Garamond" w:cs="Garamond" w:eastAsia="Garamond" w:hAnsi="Garamond"/>
          <w:b/>
          <w:bCs/>
          <w:sz w:val="26"/>
          <w:szCs w:val="26"/>
        </w:rPr>
        <w:t xml:space="preserve">5. Lessons and recommendations for policymakers</w:t>
      </w:r>
    </w:p>
    <w:p>
      <w:pPr>
        <w:spacing w:after="60"/>
        <w:ind w:left="340"/>
      </w:pPr>
      <w:r>
        <w:rPr>
          <w:rFonts w:ascii="Garamond" w:cs="Garamond" w:eastAsia="Garamond" w:hAnsi="Garamond"/>
          <w:i/>
          <w:iCs/>
          <w:color w:val="595959"/>
          <w:sz w:val="22"/>
          <w:szCs w:val="22"/>
        </w:rPr>
        <w:t xml:space="preserve">Depende del contexto, pero hay patrones: qué detalles de diseño determinan el uptake, qué evidencia falta y cómo construirla. Recomendaciones.</w:t>
      </w:r>
    </w:p>
    <w:p>
      <w:pPr>
        <w:spacing w:before="280"/>
      </w:pPr>
      <w:r>
        <w:rPr>
          <w:rFonts w:ascii="Garamond" w:cs="Garamond" w:eastAsia="Garamond" w:hAnsi="Garamond"/>
          <w:b/>
          <w:bCs/>
          <w:sz w:val="24"/>
          <w:szCs w:val="24"/>
        </w:rPr>
        <w:t xml:space="preserve">References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aramond" w:cs="Garamond" w:eastAsia="Garamond" w:hAnsi="Garamond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2026-08-04T14:40:19.570Z</dcterms:created>
  <dcterms:modified xsi:type="dcterms:W3CDTF">2026-08-04T14:40:19.585Z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