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b/>
          <w:bCs/>
          <w:sz w:val="32"/>
          <w:szCs w:val="32"/>
        </w:rPr>
        <w:t xml:space="preserve">Former Teachers: Barriers, Incentives and Policy Lessons for Re-entry</w:t>
      </w:r>
    </w:p>
    <w:p>
      <w:pPr>
        <w:spacing w:after="360"/>
        <w:jc w:val="center"/>
      </w:pPr>
      <w:r>
        <w:rPr>
          <w:i/>
          <w:iCs/>
          <w:color w:val="595959"/>
          <w:sz w:val="21"/>
          <w:szCs w:val="21"/>
        </w:rPr>
        <w:t xml:space="preserve">Índice simplificado — el foco del paper es el retorno: qué se está haciendo para reatraer a los former teachers y qué importa para que vuelvan. El attrition (cómo, cuánto, cross-country) es literatura que se cita, no research que se hace.</w:t>
      </w:r>
    </w:p>
    <w:p>
      <w:pPr>
        <w:spacing w:after="120" w:before="120"/>
      </w:pPr>
      <w:r>
        <w:rPr>
          <w:b/>
          <w:bCs/>
          <w:i w:val="false"/>
          <w:iCs w:val="false"/>
          <w:sz w:val="22"/>
          <w:szCs w:val="22"/>
        </w:rPr>
        <w:t xml:space="preserve">Acknowledgements / Abstract / Key Take-Aways</w:t>
      </w:r>
    </w:p>
    <w:p>
      <w:pPr>
        <w:keepNext/>
        <w:spacing w:after="60" w:before="240"/>
      </w:pPr>
      <w:r>
        <w:rPr>
          <w:b/>
          <w:bCs/>
          <w:sz w:val="24"/>
          <w:szCs w:val="24"/>
        </w:rPr>
        <w:t xml:space="preserve">1. Introduction</w:t>
      </w:r>
    </w:p>
    <w:p>
      <w:pPr>
        <w:spacing w:after="60"/>
        <w:ind w:left="360"/>
      </w:pPr>
      <w:r>
        <w:rPr>
          <w:i/>
          <w:iCs/>
          <w:color w:val="595959"/>
          <w:sz w:val="21"/>
          <w:szCs w:val="21"/>
        </w:rPr>
        <w:t xml:space="preserve">¿Qué aporta este paper y a quién? ¿Por qué los former teachers importan para los teacher shortages? (La magnitud del attrition se despacha aquí en un par de párrafos con cifras ya publicadas: motivación, no research propio.)</w:t>
      </w:r>
    </w:p>
    <w:p>
      <w:pPr>
        <w:keepNext/>
        <w:spacing w:after="60" w:before="240"/>
      </w:pPr>
      <w:r>
        <w:rPr>
          <w:b/>
          <w:bCs/>
          <w:sz w:val="24"/>
          <w:szCs w:val="24"/>
        </w:rPr>
        <w:t xml:space="preserve">2. Former teachers: who they are and the reserve they represent</w:t>
      </w:r>
    </w:p>
    <w:p>
      <w:pPr>
        <w:spacing w:after="60"/>
        <w:ind w:left="360"/>
      </w:pPr>
      <w:r>
        <w:rPr>
          <w:i/>
          <w:iCs/>
          <w:color w:val="595959"/>
          <w:sz w:val="21"/>
          <w:szCs w:val="21"/>
        </w:rPr>
        <w:t xml:space="preserve">Una sola sección de contexto: absorbe las antiguas secciones 2 y 3, quedándose solo con lo que informa la pregunta de retorno.</w:t>
      </w:r>
    </w:p>
    <w:p>
      <w:pPr>
        <w:keepNext/>
        <w:spacing w:after="40" w:before="120"/>
        <w:ind w:left="360"/>
      </w:pPr>
      <w:r>
        <w:rPr>
          <w:b/>
          <w:bCs/>
          <w:sz w:val="22"/>
          <w:szCs w:val="22"/>
        </w:rPr>
        <w:t xml:space="preserve">2.1 Who counts as a former teacher</w:t>
      </w:r>
    </w:p>
    <w:p>
      <w:pPr>
        <w:spacing w:after="60"/>
        <w:ind w:left="720"/>
      </w:pPr>
      <w:r>
        <w:rPr>
          <w:i/>
          <w:iCs/>
          <w:color w:val="595959"/>
          <w:sz w:val="21"/>
          <w:szCs w:val="21"/>
        </w:rPr>
        <w:t xml:space="preserve">¿Quién cuenta como leaver y quién como retiree? ¿Salida permanente o temporal? ¿Por qué son perfiles de política distintos?</w:t>
      </w:r>
    </w:p>
    <w:p>
      <w:pPr>
        <w:keepNext/>
        <w:spacing w:after="40" w:before="120"/>
        <w:ind w:left="360"/>
      </w:pPr>
      <w:r>
        <w:rPr>
          <w:b/>
          <w:bCs/>
          <w:sz w:val="22"/>
          <w:szCs w:val="22"/>
        </w:rPr>
        <w:t xml:space="preserve">2.2 Why they left and where they went</w:t>
      </w:r>
    </w:p>
    <w:p>
      <w:pPr>
        <w:spacing w:after="60"/>
        <w:ind w:left="720"/>
      </w:pPr>
      <w:r>
        <w:rPr>
          <w:i/>
          <w:iCs/>
          <w:color w:val="595959"/>
          <w:sz w:val="21"/>
          <w:szCs w:val="21"/>
        </w:rPr>
        <w:t xml:space="preserve">Motivos de salida y trayectorias post-salida solo en la medida en que predicen la probabilidad y las condiciones del retorno: ¿quién vuelve solo, y cómo varía según el motivo de salida?</w:t>
      </w:r>
    </w:p>
    <w:p>
      <w:pPr>
        <w:keepNext/>
        <w:spacing w:after="40" w:before="120"/>
        <w:ind w:left="360"/>
      </w:pPr>
      <w:r>
        <w:rPr>
          <w:b/>
          <w:bCs/>
          <w:sz w:val="22"/>
          <w:szCs w:val="22"/>
        </w:rPr>
        <w:t xml:space="preserve">2.3 The potential reserve of qualified teachers</w:t>
      </w:r>
    </w:p>
    <w:p>
      <w:pPr>
        <w:spacing w:after="60"/>
        <w:ind w:left="720"/>
      </w:pPr>
      <w:r>
        <w:rPr>
          <w:i/>
          <w:iCs/>
          <w:color w:val="595959"/>
          <w:sz w:val="21"/>
          <w:szCs w:val="21"/>
        </w:rPr>
        <w:t xml:space="preserve">¿Es la reserva lo bastante grande para reducir los shortages? ¿Qué perfiles tienen más potencial de retorno?</w:t>
      </w:r>
    </w:p>
    <w:p>
      <w:pPr>
        <w:keepNext/>
        <w:spacing w:after="60" w:before="240"/>
      </w:pPr>
      <w:r>
        <w:rPr>
          <w:b/>
          <w:bCs/>
          <w:sz w:val="24"/>
          <w:szCs w:val="24"/>
        </w:rPr>
        <w:t xml:space="preserve">3. The rationale for re-entry policies: what would bring them back</w:t>
      </w:r>
    </w:p>
    <w:p>
      <w:pPr>
        <w:keepNext/>
        <w:spacing w:after="40" w:before="120"/>
        <w:ind w:left="360"/>
      </w:pPr>
      <w:r>
        <w:rPr>
          <w:b/>
          <w:bCs/>
          <w:sz w:val="22"/>
          <w:szCs w:val="22"/>
        </w:rPr>
        <w:t xml:space="preserve">3.1 Benefits, costs and risks for education systems</w:t>
      </w:r>
    </w:p>
    <w:p>
      <w:pPr>
        <w:spacing w:after="60"/>
        <w:ind w:left="720"/>
      </w:pPr>
      <w:r>
        <w:rPr>
          <w:i/>
          <w:iCs/>
          <w:color w:val="595959"/>
          <w:sz w:val="21"/>
          <w:szCs w:val="21"/>
        </w:rPr>
        <w:t xml:space="preserve">¿Qué gana el sistema (alumnos, escuelas, otros docentes) recuperándolos? ¿Qué cuesta y qué puede salir mal? (fusiona los antiguos 4.1 y 4.2)</w:t>
      </w:r>
    </w:p>
    <w:p>
      <w:pPr>
        <w:keepNext/>
        <w:spacing w:after="40" w:before="120"/>
        <w:ind w:left="360"/>
      </w:pPr>
      <w:r>
        <w:rPr>
          <w:b/>
          <w:bCs/>
          <w:sz w:val="22"/>
          <w:szCs w:val="22"/>
        </w:rPr>
        <w:t xml:space="preserve">3.2 Incentives for returning</w:t>
      </w:r>
    </w:p>
    <w:p>
      <w:pPr>
        <w:spacing w:after="60"/>
        <w:ind w:left="720"/>
      </w:pPr>
      <w:r>
        <w:rPr>
          <w:i/>
          <w:iCs/>
          <w:color w:val="595959"/>
          <w:sz w:val="21"/>
          <w:szCs w:val="21"/>
        </w:rPr>
        <w:t xml:space="preserve">¿Qué incentivos (económicos y no económicos) harían volver a un leaver, con presupuesto limitado? ¿Qué muestra la evidencia (aunque haya poca)?</w:t>
      </w:r>
    </w:p>
    <w:p>
      <w:pPr>
        <w:keepNext/>
        <w:spacing w:after="60" w:before="240"/>
      </w:pPr>
      <w:r>
        <w:rPr>
          <w:b/>
          <w:bCs/>
          <w:sz w:val="24"/>
          <w:szCs w:val="24"/>
        </w:rPr>
        <w:t xml:space="preserve">4. Re-entry policies in practice: international experience</w:t>
      </w:r>
    </w:p>
    <w:p>
      <w:pPr>
        <w:spacing w:after="60"/>
        <w:ind w:left="360"/>
      </w:pPr>
      <w:r>
        <w:rPr>
          <w:i/>
          <w:iCs/>
          <w:color w:val="595959"/>
          <w:sz w:val="21"/>
          <w:szCs w:val="21"/>
        </w:rPr>
        <w:t xml:space="preserve">Seleccionar y desarrollar casos de nuestro Excel.</w:t>
      </w:r>
    </w:p>
    <w:p>
      <w:pPr>
        <w:keepNext/>
        <w:spacing w:after="40" w:before="120"/>
        <w:ind w:left="360"/>
      </w:pPr>
      <w:r>
        <w:rPr>
          <w:b/>
          <w:bCs/>
          <w:sz w:val="22"/>
          <w:szCs w:val="22"/>
        </w:rPr>
        <w:t xml:space="preserve">4.1 Programmes and direct interventions</w:t>
      </w:r>
    </w:p>
    <w:p>
      <w:pPr>
        <w:keepNext/>
        <w:spacing w:after="40" w:before="120"/>
        <w:ind w:left="720"/>
      </w:pPr>
      <w:r>
        <w:rPr>
          <w:b/>
          <w:bCs/>
          <w:sz w:val="22"/>
          <w:szCs w:val="22"/>
        </w:rPr>
        <w:t xml:space="preserve">4.1.1 Outreach and return-support programmes for leavers</w:t>
      </w:r>
    </w:p>
    <w:p>
      <w:pPr>
        <w:spacing w:after="60"/>
        <w:ind w:left="1080"/>
      </w:pPr>
      <w:r>
        <w:rPr>
          <w:i/>
          <w:iCs/>
          <w:color w:val="595959"/>
          <w:sz w:val="21"/>
          <w:szCs w:val="21"/>
        </w:rPr>
        <w:t xml:space="preserve">¿Cómo localizan y acompañan los gobiernos a quienes podrían volver? Inglaterra; Australia; Nueva Zelanda.</w:t>
      </w:r>
    </w:p>
    <w:p>
      <w:pPr>
        <w:keepNext/>
        <w:spacing w:after="40" w:before="120"/>
        <w:ind w:left="720"/>
      </w:pPr>
      <w:r>
        <w:rPr>
          <w:b/>
          <w:bCs/>
          <w:sz w:val="22"/>
          <w:szCs w:val="22"/>
        </w:rPr>
        <w:t xml:space="preserve">4.1.2 Programmes re-engaging retirees</w:t>
      </w:r>
    </w:p>
    <w:p>
      <w:pPr>
        <w:spacing w:after="60"/>
        <w:ind w:left="1080"/>
      </w:pPr>
      <w:r>
        <w:rPr>
          <w:i/>
          <w:iCs/>
          <w:color w:val="595959"/>
          <w:sz w:val="21"/>
          <w:szCs w:val="21"/>
        </w:rPr>
        <w:t xml:space="preserve">¿Retorno al aula o roles alternativos (mentoría, tutoría)? (a) Aula: Austria, China, Portugal. (b) Roles alternativos: España, EE.UU. (Colorado y otros).</w:t>
      </w:r>
    </w:p>
    <w:p>
      <w:pPr>
        <w:keepNext/>
        <w:spacing w:after="40" w:before="120"/>
        <w:ind w:left="720"/>
      </w:pPr>
      <w:r>
        <w:rPr>
          <w:b/>
          <w:bCs/>
          <w:sz w:val="22"/>
          <w:szCs w:val="22"/>
        </w:rPr>
        <w:t xml:space="preserve">4.1.3 Reserve models and funding strategies</w:t>
      </w:r>
    </w:p>
    <w:p>
      <w:pPr>
        <w:spacing w:after="60"/>
        <w:ind w:left="1080"/>
      </w:pPr>
      <w:r>
        <w:rPr>
          <w:i/>
          <w:iCs/>
          <w:color w:val="595959"/>
          <w:sz w:val="21"/>
          <w:szCs w:val="21"/>
        </w:rPr>
        <w:t xml:space="preserve">¿Cómo se organizan reservas activables y cómo se financian estos esquemas? Bahamas; EE.UU.</w:t>
      </w:r>
    </w:p>
    <w:p>
      <w:pPr>
        <w:keepNext/>
        <w:spacing w:after="40" w:before="120"/>
        <w:ind w:left="360"/>
      </w:pPr>
      <w:r>
        <w:rPr>
          <w:b/>
          <w:bCs/>
          <w:sz w:val="22"/>
          <w:szCs w:val="22"/>
        </w:rPr>
        <w:t xml:space="preserve">4.2 Legislation and regulatory conditions</w:t>
      </w:r>
    </w:p>
    <w:p>
      <w:pPr>
        <w:keepNext/>
        <w:spacing w:after="40" w:before="120"/>
        <w:ind w:left="720"/>
      </w:pPr>
      <w:r>
        <w:rPr>
          <w:b/>
          <w:bCs/>
          <w:sz w:val="22"/>
          <w:szCs w:val="22"/>
        </w:rPr>
        <w:t xml:space="preserve">4.2.1 Pension compatibility rules</w:t>
      </w:r>
    </w:p>
    <w:p>
      <w:pPr>
        <w:spacing w:after="60"/>
        <w:ind w:left="1080"/>
      </w:pPr>
      <w:r>
        <w:rPr>
          <w:i/>
          <w:iCs/>
          <w:color w:val="595959"/>
          <w:sz w:val="21"/>
          <w:szCs w:val="21"/>
        </w:rPr>
        <w:t xml:space="preserve">¿Qué reglas permiten compatibilizar pensión y salario, y con qué límites? Carolina del Norte, Georgia, Nuevo México, Luisiana, Michigan; Canadá–Ontario; Francia.</w:t>
      </w:r>
    </w:p>
    <w:p>
      <w:pPr>
        <w:keepNext/>
        <w:spacing w:after="40" w:before="120"/>
        <w:ind w:left="720"/>
      </w:pPr>
      <w:r>
        <w:rPr>
          <w:b/>
          <w:bCs/>
          <w:sz w:val="22"/>
          <w:szCs w:val="22"/>
        </w:rPr>
        <w:t xml:space="preserve">4.2.2 Licensure and re-accreditation</w:t>
      </w:r>
    </w:p>
    <w:p>
      <w:pPr>
        <w:spacing w:after="60"/>
        <w:ind w:left="1080"/>
      </w:pPr>
      <w:r>
        <w:rPr>
          <w:i/>
          <w:iCs/>
          <w:color w:val="595959"/>
          <w:sz w:val="21"/>
          <w:szCs w:val="21"/>
        </w:rPr>
        <w:t xml:space="preserve">¿Qué se exige para volver a estar habilitado y qué países lo han simplificado? Virginia; NSW; Nueva Zelanda.</w:t>
      </w:r>
    </w:p>
    <w:p>
      <w:pPr>
        <w:keepNext/>
        <w:spacing w:after="40" w:before="120"/>
        <w:ind w:left="720"/>
      </w:pPr>
      <w:r>
        <w:rPr>
          <w:b/>
          <w:bCs/>
          <w:sz w:val="22"/>
          <w:szCs w:val="22"/>
        </w:rPr>
        <w:t xml:space="preserve">4.2.3 Career breaks and re-entry rights</w:t>
      </w:r>
    </w:p>
    <w:p>
      <w:pPr>
        <w:spacing w:after="60"/>
        <w:ind w:left="1080"/>
      </w:pPr>
      <w:r>
        <w:rPr>
          <w:i/>
          <w:iCs/>
          <w:color w:val="595959"/>
          <w:sz w:val="21"/>
          <w:szCs w:val="21"/>
        </w:rPr>
        <w:t xml:space="preserve">¿Qué derechos mantienen el vínculo del leaver con el sistema? Irlanda.</w:t>
      </w:r>
    </w:p>
    <w:p>
      <w:pPr>
        <w:keepNext/>
        <w:spacing w:after="60" w:before="240"/>
      </w:pPr>
      <w:r>
        <w:rPr>
          <w:b/>
          <w:bCs/>
          <w:sz w:val="24"/>
          <w:szCs w:val="24"/>
        </w:rPr>
        <w:t xml:space="preserve">5. Lessons from implementation</w:t>
      </w:r>
    </w:p>
    <w:p>
      <w:pPr>
        <w:keepNext/>
        <w:spacing w:after="40" w:before="120"/>
        <w:ind w:left="360"/>
      </w:pPr>
      <w:r>
        <w:rPr>
          <w:b/>
          <w:bCs/>
          <w:sz w:val="22"/>
          <w:szCs w:val="22"/>
        </w:rPr>
        <w:t xml:space="preserve">5.1 Design lessons</w:t>
      </w:r>
    </w:p>
    <w:p>
      <w:pPr>
        <w:spacing w:after="60"/>
        <w:ind w:left="720"/>
      </w:pPr>
      <w:r>
        <w:rPr>
          <w:i/>
          <w:iCs/>
          <w:color w:val="595959"/>
          <w:sz w:val="21"/>
          <w:szCs w:val="21"/>
        </w:rPr>
        <w:t xml:space="preserve">¿Qué detalles de diseño determinan que una política tenga uptake o fracase?</w:t>
      </w:r>
    </w:p>
    <w:p>
      <w:pPr>
        <w:keepNext/>
        <w:spacing w:after="40" w:before="120"/>
        <w:ind w:left="360"/>
      </w:pPr>
      <w:r>
        <w:rPr>
          <w:b/>
          <w:bCs/>
          <w:sz w:val="22"/>
          <w:szCs w:val="22"/>
        </w:rPr>
        <w:t xml:space="preserve">5.2 The evidence gap</w:t>
      </w:r>
    </w:p>
    <w:p>
      <w:pPr>
        <w:spacing w:after="60"/>
        <w:ind w:left="720"/>
      </w:pPr>
      <w:r>
        <w:rPr>
          <w:i/>
          <w:iCs/>
          <w:color w:val="595959"/>
          <w:sz w:val="21"/>
          <w:szCs w:val="21"/>
        </w:rPr>
        <w:t xml:space="preserve">¿Qué sabemos de verdad, qué no, y cómo construir la evidencia que falta?</w:t>
      </w:r>
    </w:p>
    <w:p>
      <w:pPr>
        <w:keepNext/>
        <w:spacing w:after="60" w:before="240"/>
      </w:pPr>
      <w:r>
        <w:rPr>
          <w:b/>
          <w:bCs/>
          <w:sz w:val="24"/>
          <w:szCs w:val="24"/>
        </w:rPr>
        <w:t xml:space="preserve">6. Concluding remarks</w:t>
      </w:r>
    </w:p>
    <w:p>
      <w:pPr>
        <w:spacing w:after="60"/>
        <w:ind w:left="360"/>
      </w:pPr>
      <w:r>
        <w:rPr>
          <w:i/>
          <w:iCs/>
          <w:color w:val="595959"/>
          <w:sz w:val="21"/>
          <w:szCs w:val="21"/>
        </w:rPr>
        <w:t xml:space="preserve">¿Qué queda establecido y cuál es la agenda pendiente? Recomendaciones a policymakers.</w:t>
      </w:r>
    </w:p>
    <w:p>
      <w:pPr>
        <w:spacing w:after="360" w:before="240"/>
      </w:pPr>
      <w:r>
        <w:rPr>
          <w:b/>
          <w:bCs/>
          <w:i w:val="false"/>
          <w:iCs w:val="false"/>
          <w:sz w:val="22"/>
          <w:szCs w:val="22"/>
        </w:rPr>
        <w:t xml:space="preserve">References</w:t>
      </w:r>
    </w:p>
    <w:p>
      <w:pPr>
        <w:pageBreakBefore/>
        <w:spacing w:after="120" w:before="360"/>
      </w:pPr>
      <w:r>
        <w:rPr>
          <w:b/>
          <w:bCs/>
          <w:sz w:val="26"/>
          <w:szCs w:val="26"/>
        </w:rPr>
        <w:t xml:space="preserve">Qué ha cambiado y por qué</w:t>
      </w:r>
    </w:p>
    <w:p>
      <w:pPr>
        <w:spacing w:after="240" w:before="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Principio rector: quien mucho abarca poco aprieta. El paper no investiga cómo, cuánto y dónde ocurre el attrition — eso es literatura que se cita. El paper investiga qué se está haciendo para reatraer a los former teachers y qué importa para que vuelvan.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2600"/>
        <w:gridCol w:w="3026"/>
      </w:tblGrid>
      <w:tr>
        <w:trPr>
          <w:tblHeader/>
        </w:trPr>
        <w:tc>
          <w:tcPr>
            <w:tcW w:type="dxa" w:w="3400"/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Antes</w:t>
            </w:r>
          </w:p>
        </w:tc>
        <w:tc>
          <w:tcPr>
            <w:tcW w:type="dxa" w:w="2600"/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Ahora</w:t>
            </w:r>
          </w:p>
        </w:tc>
        <w:tc>
          <w:tcPr>
            <w:tcW w:type="dxa" w:w="3026"/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Razón</w:t>
            </w:r>
          </w:p>
        </w:tc>
      </w:tr>
      <w:tr>
        <w:trPr>
          <w:tblHeader w:val="false"/>
        </w:trPr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§3 “The magnitude and nature of teacher attrition” (sección propia)</w:t>
            </w:r>
          </w:p>
        </w:tc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Disuelta</w:t>
            </w:r>
          </w:p>
        </w:tc>
        <w:tc>
          <w:tcPr>
            <w:tcW w:type="dxa" w:w="302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La magnitud no amerita sección: es motivación, no contribución del paper</w:t>
            </w:r>
          </w:p>
        </w:tc>
      </w:tr>
      <w:tr>
        <w:trPr>
          <w:tblHeader w:val="false"/>
        </w:trPr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§3.2 Determinants of leaving</w:t>
            </w:r>
          </w:p>
        </w:tc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Reducido dentro de 2.2</w:t>
            </w:r>
          </w:p>
        </w:tc>
        <w:tc>
          <w:tcPr>
            <w:tcW w:type="dxa" w:w="302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Los determinantes solo interesan como predictores del retorno</w:t>
            </w:r>
          </w:p>
        </w:tc>
      </w:tr>
      <w:tr>
        <w:trPr>
          <w:tblHeader w:val="false"/>
        </w:trPr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§3.3 Post-exit trajectories (incl. variación cross-country)</w:t>
            </w:r>
          </w:p>
        </w:tc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2.2, sin ambición cross-country</w:t>
            </w:r>
          </w:p>
        </w:tc>
        <w:tc>
          <w:tcPr>
            <w:tcW w:type="dxa" w:w="302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Se mantiene “¿quién vuelve solo y por qué?”; se elimina el análisis comparado de magnitud</w:t>
            </w:r>
          </w:p>
        </w:tc>
      </w:tr>
      <w:tr>
        <w:trPr>
          <w:tblHeader w:val="false"/>
        </w:trPr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§3.4 The potential reserve</w:t>
            </w:r>
          </w:p>
        </w:tc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2.3</w:t>
            </w:r>
          </w:p>
        </w:tc>
        <w:tc>
          <w:tcPr>
            <w:tcW w:type="dxa" w:w="302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Imprescindible: dimensiona la oportunidad de las políticas de retorno</w:t>
            </w:r>
          </w:p>
        </w:tc>
      </w:tr>
      <w:tr>
        <w:trPr>
          <w:tblHeader w:val="false"/>
        </w:trPr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§2 Definitions (sección propia)</w:t>
            </w:r>
          </w:p>
        </w:tc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2.1</w:t>
            </w:r>
          </w:p>
        </w:tc>
        <w:tc>
          <w:tcPr>
            <w:tcW w:type="dxa" w:w="302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Las definiciones caben en una subsección</w:t>
            </w:r>
          </w:p>
        </w:tc>
      </w:tr>
      <w:tr>
        <w:trPr>
          <w:tblHeader w:val="false"/>
        </w:trPr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§4.1 Benefits + §4.2 Costs (dos subsecciones)</w:t>
            </w:r>
          </w:p>
        </w:tc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3.1 (una sola)</w:t>
            </w:r>
          </w:p>
        </w:tc>
        <w:tc>
          <w:tcPr>
            <w:tcW w:type="dxa" w:w="302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Beneficios, costes y riesgos son un único balance</w:t>
            </w:r>
          </w:p>
        </w:tc>
      </w:tr>
      <w:tr>
        <w:trPr>
          <w:tblHeader w:val="false"/>
        </w:trPr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Numeración con salto (4 → 6)</w:t>
            </w:r>
          </w:p>
        </w:tc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Corrida y continua (1–6)</w:t>
            </w:r>
          </w:p>
        </w:tc>
        <w:tc>
          <w:tcPr>
            <w:tcW w:type="dxa" w:w="302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Limpieza</w:t>
            </w:r>
          </w:p>
        </w:tc>
      </w:tr>
    </w:tbl>
    <w:p>
      <w:pPr>
        <w:spacing w:after="120" w:before="24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El peso del paper queda donde debe: las secciones 4 (experiencia internacional) y 5 (lecciones de implementación) son ahora claramente el corazón, con las secciones 1–3 como preparación rápida del terreno.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2026-08-04T12:54:18.006Z</dcterms:created>
  <dcterms:modified xsi:type="dcterms:W3CDTF">2026-08-04T12:54:18.006Z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