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9072"/>
      </w:tblGrid>
      <w:tr>
        <w:trPr>
          <w:trHeight w:val="520" w:hRule="exact"/>
        </w:trPr>
        <w:tc>
          <w:tcPr>
            <w:tcW w:type="dxa" w:w="9072"/>
            <w:tcBorders>
              <w:top w:val="none" w:color="04629A" w:sz="0"/>
              <w:left w:val="none" w:color="04629A" w:sz="0"/>
              <w:bottom w:val="none" w:color="04629A" w:sz="0"/>
              <w:right w:val="none" w:color="04629A" w:sz="0"/>
            </w:tcBorders>
            <w:shd w:fill="04629A" w:val="clear"/>
          </w:tcPr>
          <w:p>
            <w:r>
              <w:t xml:space="preserve"/>
            </w:r>
          </w:p>
        </w:tc>
      </w:tr>
    </w:tbl>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9072"/>
      </w:tblGrid>
      <w:tr>
        <w:trPr>
          <w:trHeight w:val="160" w:hRule="exact"/>
        </w:trPr>
        <w:tc>
          <w:tcPr>
            <w:tcW w:type="dxa" w:w="9072"/>
            <w:tcBorders>
              <w:top w:val="none" w:color="8CC841" w:sz="0"/>
              <w:left w:val="none" w:color="8CC841" w:sz="0"/>
              <w:bottom w:val="none" w:color="8CC841" w:sz="0"/>
              <w:right w:val="none" w:color="8CC841" w:sz="0"/>
            </w:tcBorders>
            <w:shd w:fill="8CC841" w:val="clear"/>
          </w:tcPr>
          <w:p>
            <w:r>
              <w:t xml:space="preserve"/>
            </w:r>
          </w:p>
        </w:tc>
      </w:tr>
    </w:tbl>
    <w:p>
      <w:pPr>
        <w:spacing w:before="2200"/>
      </w:pPr>
      <w:r>
        <w:rPr>
          <w:caps/>
          <w:color w:val="595959"/>
          <w:spacing w:val="40"/>
          <w:sz w:val="24"/>
          <w:szCs w:val="24"/>
        </w:rPr>
        <w:t xml:space="preserve">WORKING PAPER</w:t>
      </w:r>
    </w:p>
    <w:p>
      <w:pPr>
        <w:spacing w:before="300"/>
      </w:pPr>
      <w:r>
        <w:rPr>
          <w:b/>
          <w:bCs/>
          <w:color w:val="04629A"/>
          <w:sz w:val="52"/>
          <w:szCs w:val="52"/>
        </w:rPr>
        <w:t xml:space="preserve">Former Teachers: Barriers, Incentives and Policy Lessons for Re-entry</w:t>
      </w:r>
    </w:p>
    <w:p>
      <w:pPr>
        <w:spacing w:before="400"/>
      </w:pPr>
      <w:r>
        <w:rPr>
          <w:sz w:val="28"/>
          <w:szCs w:val="28"/>
        </w:rPr>
        <w:t xml:space="preserve">[Author names]</w:t>
      </w:r>
    </w:p>
    <w:p>
      <w:pPr>
        <w:spacing w:before="120"/>
      </w:pPr>
      <w:r>
        <w:rPr>
          <w:color w:val="595959"/>
          <w:sz w:val="24"/>
          <w:szCs w:val="24"/>
        </w:rPr>
        <w:t xml:space="preserve">Universidad de Alicante</w:t>
      </w:r>
    </w:p>
    <w:p>
      <w:pPr>
        <w:spacing w:before="120"/>
      </w:pPr>
      <w:r>
        <w:rPr>
          <w:color w:val="595959"/>
          <w:sz w:val="24"/>
          <w:szCs w:val="24"/>
        </w:rPr>
        <w:t xml:space="preserve">August 2026</w:t>
      </w:r>
    </w:p>
    <w:p>
      <w:pPr>
        <w:spacing w:before="2600"/>
      </w:pPr>
      <w:r>
        <w:rPr>
          <w:i/>
          <w:iCs/>
          <w:color w:val="595959"/>
          <w:sz w:val="20"/>
          <w:szCs w:val="20"/>
        </w:rPr>
        <w:t xml:space="preserve">Draft for discussion and comment.</w:t>
      </w:r>
    </w:p>
    <w:p>
      <w:pPr>
        <w:pageBreakBefore/>
        <w:spacing w:after="300"/>
      </w:pPr>
      <w:r>
        <w:rPr>
          <w:b/>
          <w:bCs/>
          <w:color w:val="4E81BD"/>
          <w:sz w:val="24"/>
          <w:szCs w:val="24"/>
        </w:rPr>
        <w:t xml:space="preserve">POLICY PAPER SERIES</w:t>
      </w:r>
    </w:p>
    <w:p>
      <w:pPr>
        <w:spacing w:after="160" w:line="264" w:lineRule="auto"/>
        <w:jc w:val="both"/>
      </w:pPr>
      <w:r>
        <w:t xml:space="preserve">This policy paper presents research and analysis for discussion and comment. The opinions expressed and the arguments employed herein are those of the author(s) alone and do not necessarily reflect the official views of any institution with which they are affiliated.</w:t>
      </w:r>
    </w:p>
    <w:p>
      <w:pPr>
        <w:spacing w:after="160" w:line="264" w:lineRule="auto"/>
        <w:jc w:val="both"/>
      </w:pPr>
      <w:r>
        <w:t xml:space="preserve">The paper follows the structure, citation conventions and presentational style of the OECD Policy Papers series for ease of comparison with that literature. It is not an OECD publication, has not been reviewed or endorsed by the OECD, and should not be reported as representing the views of the OECD or of its member countries.</w:t>
      </w:r>
    </w:p>
    <w:p>
      <w:pPr>
        <w:spacing w:after="160" w:line="264" w:lineRule="auto"/>
        <w:jc w:val="both"/>
      </w:pPr>
      <w:r>
        <w:t xml:space="preserve">This document, as well as any data included herein, is without prejudice to the status of or sovereignty over any territory, to the delimitation of international frontiers and boundaries and to the name of any territory, city or area. [Standard series disclaimer reproduced for conformity with the OECD Policy Papers presentation; to be confirmed against the internal publication standard before circulation.]</w:t>
      </w:r>
    </w:p>
    <w:p>
      <w:pPr>
        <w:spacing w:after="160" w:line="264" w:lineRule="auto"/>
        <w:jc w:val="both"/>
      </w:pPr>
      <w:r>
        <w:t xml:space="preserve">Comments on this draft are welcome and may be sent to the authors.</w:t>
      </w:r>
    </w:p>
    <w:p>
      <w:pPr>
        <w:sectPr>
          <w:pgSz w:w="11906" w:h="16838" w:orient="portrait"/>
          <w:pgMar w:top="1417" w:right="1417" w:bottom="1417" w:left="1417" w:header="708" w:footer="708" w:gutter="0"/>
          <w:pgNumType/>
          <w:docGrid w:linePitch="360"/>
        </w:sectPr>
      </w:pPr>
    </w:p>
    <w:p>
      <w:pPr>
        <w:pStyle w:val="Heading1"/>
        <w:pageBreakBefore/>
      </w:pPr>
      <w:r>
        <w:t xml:space="preserve">Abstract</w:t>
      </w:r>
    </w:p>
    <w:p>
      <w:pPr>
        <w:spacing w:after="160" w:line="264" w:lineRule="auto"/>
        <w:jc w:val="both"/>
      </w:pPr>
      <w:r>
        <w:t xml:space="preserve">Substantial numbers of teachers leave the profession every year, for other work, time outside the labour market or retirement, and these departures accumulate into a stock of qualified people from which part of the replacement could come. This policy paper compiles and analyses the international record of policies to re-attract former teachers, organised into four instrument families that follow the sequence of the return decision, namely permission, price, the job and reach. It sets this record alongside the evidence on why teachers leave and what they can bring back. Among the many campaigns implemented to attract teachers back, there is suggestive evidence that they weigh less than changes to the legal rules under which a returner is permitted, employed and paid, whose cost pension authorities price first. The paper identifies design and reporting practices through which education systems could learn more from re-entry policy.</w:t>
      </w:r>
    </w:p>
    <w:p>
      <w:pPr>
        <w:spacing w:after="60" w:line="264" w:lineRule="auto"/>
        <w:jc w:val="both"/>
      </w:pPr>
      <w:r>
        <w:rPr>
          <w:i/>
          <w:iCs/>
          <w:color w:val="595959"/>
          <w:sz w:val="20"/>
          <w:szCs w:val="20"/>
        </w:rPr>
        <w:t xml:space="preserve">Keywords: former teachers; teacher re-entry; teacher attrition; teacher shortage; pension rules; teacher labour market</w:t>
      </w:r>
    </w:p>
    <w:p>
      <w:pPr>
        <w:spacing w:after="60" w:line="264" w:lineRule="auto"/>
        <w:jc w:val="both"/>
      </w:pPr>
      <w:r>
        <w:rPr>
          <w:i/>
          <w:iCs/>
          <w:color w:val="595959"/>
          <w:sz w:val="20"/>
          <w:szCs w:val="20"/>
        </w:rPr>
        <w:t xml:space="preserve">JEL codes: I21, I28, J26, J45.</w:t>
      </w:r>
    </w:p>
    <w:p>
      <w:pPr>
        <w:pStyle w:val="Heading1"/>
        <w:pageBreakBefore/>
      </w:pPr>
      <w:r>
        <w:t xml:space="preserve">Acknowledgements</w:t>
      </w:r>
    </w:p>
    <w:p>
      <w:pPr>
        <w:spacing w:after="160" w:line="264" w:lineRule="auto"/>
        <w:jc w:val="both"/>
      </w:pPr>
      <w:r>
        <w:rPr>
          <w:i/>
          <w:iCs/>
          <w:color w:val="595959"/>
        </w:rPr>
        <w:t xml:space="preserve">[This policy paper was prepared for the Former Teachers project. Acknowledgements to colleagues, reviewers and data providers to be added before circulation.]</w:t>
      </w:r>
    </w:p>
    <w:p>
      <w:pPr>
        <w:pageBreakBefore/>
        <w:spacing w:after="240"/>
      </w:pPr>
      <w:r>
        <w:rPr>
          <w:b/>
          <w:bCs/>
          <w:color w:val="4E81BD"/>
          <w:sz w:val="28"/>
          <w:szCs w:val="28"/>
        </w:rP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pPr>
        <w:spacing w:after="120" w:before="360"/>
      </w:pPr>
      <w:r>
        <w:rPr>
          <w:b/>
          <w:bCs/>
          <w:color w:val="4E81BD"/>
          <w:sz w:val="21"/>
          <w:szCs w:val="21"/>
        </w:rPr>
        <w:t xml:space="preserve">TABLES</w:t>
      </w:r>
    </w:p>
    <w:p>
      <w:pPr>
        <w:spacing w:after="60"/>
      </w:pPr>
      <w:r>
        <w:rPr>
          <w:sz w:val="21"/>
          <w:szCs w:val="21"/>
        </w:rPr>
        <w:t xml:space="preserve">Table 1. Motives for leaving the teaching profession</w:t>
      </w:r>
    </w:p>
    <w:p>
      <w:pPr>
        <w:spacing w:after="60"/>
      </w:pPr>
      <w:r>
        <w:rPr>
          <w:sz w:val="21"/>
          <w:szCs w:val="21"/>
        </w:rPr>
        <w:t xml:space="preserve">Table 2. Four families of re-entry policy</w:t>
      </w:r>
    </w:p>
    <w:p>
      <w:pPr>
        <w:spacing w:after="60"/>
      </w:pPr>
      <w:r>
        <w:rPr>
          <w:sz w:val="21"/>
          <w:szCs w:val="21"/>
        </w:rPr>
        <w:t xml:space="preserve">Table 3. The four regulatory dials that price a return, selected systems</w:t>
      </w:r>
    </w:p>
    <w:p>
      <w:pPr>
        <w:spacing w:after="60"/>
      </w:pPr>
      <w:r>
        <w:rPr>
          <w:sz w:val="21"/>
          <w:szCs w:val="21"/>
        </w:rPr>
        <w:t xml:space="preserve">Table 4. Published take-up of re-entry instruments</w:t>
      </w:r>
    </w:p>
    <w:p>
      <w:pPr>
        <w:spacing w:after="60"/>
      </w:pPr>
      <w:r>
        <w:rPr>
          <w:sz w:val="21"/>
          <w:szCs w:val="21"/>
        </w:rPr>
        <w:t xml:space="preserve">Table 5. Take-up is published where a counting duty sits outside the sponsoring authority</w:t>
      </w:r>
    </w:p>
    <w:p>
      <w:pPr>
        <w:spacing w:after="120" w:before="240"/>
      </w:pPr>
      <w:r>
        <w:rPr>
          <w:b/>
          <w:bCs/>
          <w:color w:val="4E81BD"/>
          <w:sz w:val="21"/>
          <w:szCs w:val="21"/>
        </w:rPr>
        <w:t xml:space="preserve">BOXES</w:t>
      </w:r>
    </w:p>
    <w:p>
      <w:pPr>
        <w:spacing w:after="60"/>
      </w:pPr>
      <w:r>
        <w:rPr>
          <w:sz w:val="21"/>
          <w:szCs w:val="21"/>
        </w:rPr>
        <w:t xml:space="preserve">Box 1. A statutory audit loop in Georgia (United States)</w:t>
      </w:r>
    </w:p>
    <w:p>
      <w:pPr>
        <w:spacing w:after="60"/>
      </w:pPr>
      <w:r>
        <w:rPr>
          <w:sz w:val="21"/>
          <w:szCs w:val="21"/>
        </w:rPr>
        <w:t xml:space="preserve">Box 2. Pricing a shorter waiting period in Virginia (United States)</w:t>
      </w:r>
    </w:p>
    <w:p>
      <w:pPr>
        <w:pStyle w:val="Heading1"/>
        <w:pageBreakBefore/>
      </w:pPr>
      <w:r>
        <w:t xml:space="preserve">Abbreviations and acronyms</w:t>
      </w:r>
    </w:p>
    <w:p>
      <w:pPr>
        <w:spacing w:after="80"/>
      </w:pPr>
      <w:r>
        <w:t xml:space="preserve">AITSL — Australian Institute for Teaching and School Leadership</w:t>
      </w:r>
    </w:p>
    <w:p>
      <w:pPr>
        <w:spacing w:after="80"/>
      </w:pPr>
      <w:r>
        <w:t xml:space="preserve">BMBWF — Bundesministerium für Bildung, Wissenschaft und Forschung (Federal Ministry of Education, Science and Research, Austria)</w:t>
      </w:r>
    </w:p>
    <w:p>
      <w:pPr>
        <w:spacing w:after="80"/>
      </w:pPr>
      <w:r>
        <w:t xml:space="preserve">FIT-Choice — Factors Influencing Teaching Choice (scale)</w:t>
      </w:r>
    </w:p>
    <w:p>
      <w:pPr>
        <w:spacing w:after="80"/>
      </w:pPr>
      <w:r>
        <w:t xml:space="preserve">FTE — full-time equivalent</w:t>
      </w:r>
    </w:p>
    <w:p>
      <w:pPr>
        <w:spacing w:after="80"/>
      </w:pPr>
      <w:r>
        <w:t xml:space="preserve">FY — fiscal year</w:t>
      </w:r>
    </w:p>
    <w:p>
      <w:pPr>
        <w:spacing w:after="80"/>
      </w:pPr>
      <w:r>
        <w:t xml:space="preserve">HB — House Bill (United States)</w:t>
      </w:r>
    </w:p>
    <w:p>
      <w:pPr>
        <w:spacing w:after="80"/>
      </w:pPr>
      <w:r>
        <w:t xml:space="preserve">MOE — Ministry of Education (People's Republic of China)</w:t>
      </w:r>
    </w:p>
    <w:p>
      <w:pPr>
        <w:spacing w:after="80"/>
      </w:pPr>
      <w:r>
        <w:t xml:space="preserve">MOF — Ministry of Finance (People's Republic of China)</w:t>
      </w:r>
    </w:p>
    <w:p>
      <w:pPr>
        <w:spacing w:after="80"/>
      </w:pPr>
      <w:r>
        <w:t xml:space="preserve">NCES — National Center for Education Statistics (United States)</w:t>
      </w:r>
    </w:p>
    <w:p>
      <w:pPr>
        <w:spacing w:after="80"/>
      </w:pPr>
      <w:r>
        <w:t xml:space="preserve">NCTL — National College for Teaching and Leadership (England)</w:t>
      </w:r>
    </w:p>
    <w:p>
      <w:pPr>
        <w:spacing w:after="80"/>
      </w:pPr>
      <w:r>
        <w:t xml:space="preserve">NSW — New South Wales (Australia)</w:t>
      </w:r>
    </w:p>
    <w:p>
      <w:pPr>
        <w:spacing w:after="80"/>
      </w:pPr>
      <w:r>
        <w:t xml:space="preserve">OCW — Onderwijs, Cultuur en Wetenschap (Ministry of Education, Culture and Science, Netherlands)</w:t>
      </w:r>
    </w:p>
    <w:p>
      <w:pPr>
        <w:spacing w:after="80"/>
      </w:pPr>
      <w:r>
        <w:t xml:space="preserve">OECD — Organisation for Economic Co-operation and Development</w:t>
      </w:r>
    </w:p>
    <w:p>
      <w:pPr>
        <w:spacing w:after="80"/>
      </w:pPr>
      <w:r>
        <w:t xml:space="preserve">OTF — Ontario Teachers' Federation (Canada)</w:t>
      </w:r>
    </w:p>
    <w:p>
      <w:pPr>
        <w:spacing w:after="80"/>
      </w:pPr>
      <w:r>
        <w:t xml:space="preserve">PA — Public Act (Michigan, United States)</w:t>
      </w:r>
    </w:p>
    <w:p>
      <w:pPr>
        <w:spacing w:after="80"/>
      </w:pPr>
      <w:r>
        <w:t xml:space="preserve">RTW — return to work</w:t>
      </w:r>
    </w:p>
    <w:p>
      <w:pPr>
        <w:spacing w:after="80"/>
      </w:pPr>
      <w:r>
        <w:t xml:space="preserve">SB — Senate Bill (United States)</w:t>
      </w:r>
    </w:p>
    <w:p>
      <w:pPr>
        <w:spacing w:after="80"/>
      </w:pPr>
      <w:r>
        <w:t xml:space="preserve">UK — United Kingdom</w:t>
      </w:r>
    </w:p>
    <w:p>
      <w:pPr>
        <w:spacing w:after="80"/>
      </w:pPr>
      <w:r>
        <w:t xml:space="preserve">UNESCO — United Nations Educational, Scientific and Cultural Organization</w:t>
      </w:r>
    </w:p>
    <w:p>
      <w:pPr>
        <w:spacing w:after="80"/>
      </w:pPr>
      <w:r>
        <w:t xml:space="preserve">US — United States</w:t>
      </w:r>
    </w:p>
    <w:p>
      <w:pPr>
        <w:pStyle w:val="Heading1"/>
        <w:pageBreakBefore/>
      </w:pPr>
      <w:r>
        <w:t xml:space="preserve">Executive summary</w:t>
      </w:r>
    </w:p>
    <w:p>
      <w:pPr>
        <w:spacing w:after="160" w:line="264" w:lineRule="auto"/>
        <w:jc w:val="both"/>
      </w:pPr>
      <w:r>
        <w:t xml:space="preserve">Every year, substantial numbers of teachers leave the profession. Across the 19 OECD education systems with comparable data, 6.5% of fully qualified teachers left teaching in 2022/23. Teachers who leave form three populations, those who move to other jobs, those who withdraw from the labour market and those who retire, in proportions that differ sharply across systems. This policy paper compiles and analyses the international record of policies to re-attract former teachers, organised into four instrument families that follow the sequence of the return decision, together with the evidence on why teachers leave, where they go and what they can bring back.</w:t>
      </w:r>
    </w:p>
    <w:p>
      <w:pPr>
        <w:spacing w:after="160" w:line="264" w:lineRule="auto"/>
        <w:jc w:val="both"/>
      </w:pPr>
      <w:r>
        <w:t xml:space="preserve">Among the main motives for which teachers leave, four categories stand out, intrinsic motives such as stress, environmental motives rooted in workload and school leadership, economic motives concerning salary and pension design, and life-cycle motives linked to family formation and retirement timing. Workload and work-life balance, more than pay, explain working-age resignation, whereas pension designs that concentrate wealth accrual in the mid-to-late fifties pull retirements forward. An education system therefore has to diagnose its own exit mix before it chooses an instrument.</w:t>
      </w:r>
    </w:p>
    <w:p>
      <w:pPr>
        <w:spacing w:after="160" w:line="264" w:lineRule="auto"/>
        <w:jc w:val="both"/>
      </w:pPr>
      <w:r>
        <w:t xml:space="preserve">Most leavers keep working and stay close to education, since more than half remain in education broadly defined and around one fifth withdraw from paid work altogether. The stock these flows build is large, mostly of working age and formally still qualified, and in the one system to measure it roughly half held expired but restorable certificates. Return flows are already substantial, at about one third of new entrants in England, and what returners bring back is best evidenced by experience itself.</w:t>
      </w:r>
    </w:p>
    <w:p>
      <w:pPr>
        <w:spacing w:after="160" w:line="264" w:lineRule="auto"/>
        <w:jc w:val="both"/>
      </w:pPr>
      <w:r>
        <w:t xml:space="preserve">The first two families govern the terms of a return. Permission decides whether a return is legally possible, through licence validity, service thresholds, eligibility screens and waiting periods. Price decides what returning produces financially, through pension-salary concurrency, the salary step on re-entry and any bonus or subsidy attached. The largest documented return flows follow changes to one or the other. Where a concurrency penalty was removed outright, retirees returned at a scale no campaign approaches and returns ended when the rule expired; where a waiting period was halved, recorded returns to shortage posts rose from 18 to 154 within a year; and where eligibility screens were stacked in front of the same concession, a statutory audit found take-up too small to affect either the shortage or the pension fund. Among the many campaigns implemented to attract teachers back, both those providing incentives and those easing certification, there is suggestive evidence that they weigh less than changes to the legal rules of the game.</w:t>
      </w:r>
    </w:p>
    <w:p>
      <w:pPr>
        <w:spacing w:after="160" w:line="264" w:lineRule="auto"/>
        <w:jc w:val="both"/>
      </w:pPr>
      <w:r>
        <w:t xml:space="preserve">Those rule changes are also the ones fiscal authorities price. Asked to cost a cut in a waiting period from six months to one, one retirement system reported that the teacher plan's unfunded liability would rise by USD 2.73 billion, and stated that the measure would probably not produce additional serving teachers but would reclassify part of the population already serving; the bill was struck by 22 votes to none. Loosening permission or price therefore carries an induced-retirement cost that education ministries neither pay nor observe.</w:t>
      </w:r>
    </w:p>
    <w:p>
      <w:pPr>
        <w:spacing w:after="160" w:line="264" w:lineRule="auto"/>
        <w:jc w:val="both"/>
      </w:pPr>
      <w:r>
        <w:t xml:space="preserve">The job decides the shape of what is offered, which may be part-time hours, supply work or a defined role such as tutoring or mentoring, and it addresses the motive that leaver surveys rank highest. The systems whose take-up is dominated by casual and adjunct work are the systems that offered it, and about 40% of the school boards answering a national shortage survey attributed part of their shortfall to retirees declining re-employment. A scripted tutoring protocol delivered by mostly retired and substitute teachers measured 0.34 standard deviations in trial conditions, whereas programmes at scale yield 0.16 to 0.21 standard deviations, and tutors who are community members or volunteers lose a further 0.16 relative to a teacher. Together those findings lower what a system should expect from tutoring and raise the case for staffing it with people who have taught.</w:t>
      </w:r>
    </w:p>
    <w:p>
      <w:pPr>
        <w:spacing w:after="160" w:line="264" w:lineRule="auto"/>
        <w:jc w:val="both"/>
      </w:pPr>
      <w:r>
        <w:t xml:space="preserve">Reach covers the contact and accompaniment through which former teachers learn of an offer, and its yield is measured most often and found smallest. Letters to named retirees convert at roughly 1.5% in one system and 3% in another; where an education department writes from its own employer records and bundles re-licensing with placement, about 10% convert; and the highest published figure belongs to an advisory service that supported 541 returners and saw 63 into a teaching post, or 11.6%. Interest is not the constraint; conversion is, and reach alone changes nothing about what a return costs or offers.</w:t>
      </w:r>
    </w:p>
    <w:p>
      <w:pPr>
        <w:spacing w:after="160" w:line="264" w:lineRule="auto"/>
        <w:jc w:val="both"/>
      </w:pPr>
      <w:r>
        <w:t xml:space="preserve">Those recommendations rest on a record of uncontrolled episodes, and a record of that kind orients policy without measuring it. Education systems could benefit from compiling a netted count of their potential-returner population, one from which lapsed certificates, out-of-jurisdiction residence and subject mismatch have been discounted. Governments should audit what their own rules charge a returner and publish the result. Most of the settings belong to pension and finance authorities, so governments should negotiate changes with them and should obtain an actuarial estimate of the induced-retirement cost before legislating. Schools could advertise the part-time and job-share posts that documented returner segments seek; licensing waivers are most credible when keyed to an employer's offer; and where the purpose is instructional capacity, systems should specify the role and the dose. Sponsors should report destinations and one- and three-year survival against a stated denominator, and let an instrument lapse when its take-up record points that way. It is crucial that new re-entry instruments carry a counting duty lodged outside the sponsoring authority and a sunset matched to the decision the count is meant to inform.</w:t>
      </w:r>
    </w:p>
    <w:p>
      <w:pPr>
        <w:spacing w:after="160" w:line="264" w:lineRule="auto"/>
        <w:jc w:val="both"/>
      </w:pPr>
      <w:r>
        <w:t xml:space="preserve">The research agenda is narrow and mostly inexpensive. No quasi-experimental study anywhere prices re-entry incentives, no instrument carries an estimate of how many of its returners would have come back unaided, no cross-country source decomposes departures into the three exit populations, and take-up of licensing waivers remains unpublished in every system that grants them. The data systems needed for the cheapest items already exist, and what holds learning back is therefore the assignment of counting duties.</w:t>
      </w:r>
    </w:p>
    <w:p>
      <w:pPr>
        <w:pStyle w:val="Heading1"/>
        <w:pageBreakBefore/>
      </w:pPr>
      <w:r>
        <w:t xml:space="preserve">1. Introduction</w:t>
      </w:r>
    </w:p>
    <w:p>
      <w:pPr>
        <w:spacing w:after="160" w:line="264" w:lineRule="auto"/>
        <w:jc w:val="both"/>
      </w:pPr>
      <w:r>
        <w:t xml:space="preserve">Every year, substantial numbers of teachers leave the profession, whether for other work, for time outside the labour market or for retirement. Across the 19 OECD education systems with comparable data, 6.5% of fully qualified teachers left teaching in 2022/23, and national leaving rates range from under 3% to over 10%.</w:t>
      </w:r>
      <w:r>
        <w:rPr>
          <w:vertAlign w:val="superscript"/>
        </w:rPr>
        <w:t xml:space="preserve">1</w:t>
      </w:r>
      <w:r>
        <w:t xml:space="preserve"> Attrition on this scale is a standing feature of school systems. In the United States, the share of teachers leaving the occupation each year has been broadly stable for four decades, at rates comparable to those of nurses and accountants (Aldeman and Yi, 2025; Harris and Adams, 2007). At the global level the movement has been upward, with the attrition rate among primary school teachers worldwide nearly doubling between 2015 and 2022, from 4.62% to 9.06% (UNESCO and International Task Force on Teachers for Education 2030, 2024).</w:t>
      </w:r>
    </w:p>
    <w:p>
      <w:pPr>
        <w:spacing w:after="160" w:line="264" w:lineRule="auto"/>
        <w:jc w:val="both"/>
      </w:pPr>
      <w:r>
        <w:t xml:space="preserve">The composition of these departures varies as much as their level. Teachers who leave form three distinct populations, those who move to other jobs, those who withdraw from the labour market and those who retire. On average across the same 19 systems, 51% of leavers resigned rather than retired, a balance that runs from resignation-dominated systems such as England (United Kingdom) and Denmark, where resignations exceed 80% of departures, to systems such as France, Greece and Ireland, where retirements account for more than half (OECD, 2025a). Although the aggregate rate is the figure usually quoted, which population dominates is what matters for policy, since the three populations leave for different motives, face different obstacles to coming back and are reached by different instruments.</w:t>
      </w:r>
    </w:p>
    <w:p>
      <w:pPr>
        <w:spacing w:after="160" w:line="264" w:lineRule="auto"/>
        <w:jc w:val="both"/>
      </w:pPr>
      <w:r>
        <w:t xml:space="preserve">Difficulty in recruiting raises the stakes of this outflow. Teacher shortages have become a pressing policy concern in most OECD countries (OECD, 2025a). The share of 15-year-old students in schools whose principals reported that instruction is hindered by a lack of teaching staff rose by 21 percentage points, from 26% in 2018 to 47% in 2022, a perception measure, but one that rose by more than 30 percentage points in eight OECD countries (OECD, 2025a; OECD, 2023b), and UNESCO projects a need for 44 million additional primary and secondary teachers worldwide by 2030, more than half of which is replacement of teachers who leave rather than expansion of the workforce (UNESCO and International Task Force on Teachers for Education 2030, 2024). The workforce doing the replacing is meanwhile ageing. Within the European Union it is Greece and Portugal where ageing is most acute, and in Italy teachers aged 55 and over significantly outnumber those under 30 (European Commission, 2023); in Germany, the 457 000 retired or pensioned teachers counted in 2021 stand against a serving workforce of roughly 800 000 (Deutsches Schulportal, 2023). Among serving teachers, 19% across OECD countries report a lot of stress at work, and one in five teachers under 30 intends to leave within five years (OECD, 2025b).</w:t>
      </w:r>
    </w:p>
    <w:p>
      <w:pPr>
        <w:spacing w:after="160" w:line="264" w:lineRule="auto"/>
        <w:jc w:val="both"/>
      </w:pPr>
      <w:r>
        <w:t xml:space="preserve">The same outflow builds the stock from which part of the replacement could come. England counted around 260 000 qualified teachers of working age out of service in 2018 (Worth, 2023); in Michigan (United States), 43% of the 141 810 teachers holding certificates were not teaching in a public school in 2017/18 (Lindsay, Gnedko-Berry and Wan, 2021); in Australia, around 19% of the country's 553 300 registered teachers were not working in schools, and more than half of these registrants reported that they would consider returning under the right circumstances (AITSL, 2025). Return flows from such stocks are already a substantial supply channel. Roughly 17 000 teachers return to English state schools each year, about one third of all new entrants (Department for Education, 2023), and re-entrants have made up between 37% and 49% of new hires in the United States (Sutcher, Darling-Hammond and Carver-Thomas, 2016), although only a minority of leavers, between one fifth and one half depending on the cohort, ever return (Grissom and Reininger, 2012; Moyer, 2022). Movement at this scale is consistent with teaching being a profession that people leave and rejoin over a working life, and most countries already maintain pathways for teachers to return if they wish (OECD, 2024; OECD, 2025a).</w:t>
      </w:r>
    </w:p>
    <w:p>
      <w:pPr>
        <w:spacing w:after="160" w:line="264" w:lineRule="auto"/>
        <w:jc w:val="both"/>
      </w:pPr>
      <w:r>
        <w:t xml:space="preserve">Governments have implemented active policies to re-attract former teachers for decades, as Section 3 documents. As early as 2005, the OECD recommended that education systems maintain contact with former teachers, keep them informed of educational developments and job opportunities, and provide targeted retraining (OECD, 2005). The statutory record begins earlier and continues later, and it runs from the return-to-work window that North Carolina (United States) opened to retired teachers in 1999 (Jarrold-Grapes and Mahler, 2024), through returner subsidies the Netherlands regulated in 2017 (Ministerie van OCW, 2017), to the returner contracts Portugal created in 2024 (Decreto-Lei n.º 51/2024) and the outreach campaigns mounted in Austria, Germany and New South Wales (Australia) in the 2020s. Most of the instruments now in force were adopted or expanded under post-pandemic staffing pressure, and few of them have been evaluated.</w:t>
      </w:r>
    </w:p>
    <w:p>
      <w:pPr>
        <w:spacing w:after="160" w:line="264" w:lineRule="auto"/>
        <w:jc w:val="both"/>
      </w:pPr>
      <w:r>
        <w:t xml:space="preserve">This policy paper compiles and analyses the international record of policies to re-attract former teachers, organised into four instrument families, together with the evidence on why teachers leave, where they go and what they can bring back. The families follow the sequence of the return decision and are, in the order in which Section 3 treats them, permission, the licence, eligibility and waiting-period rules that decide whether a return is possible; price, the pension, pay-step and subsidy settings that decide what a return produces financially; the job, the intensity and definition of the post offered; and reach, the contact and accompaniment through which former teachers learn that any of this exists. The first two families settle what a return costs the returner, in salary-step placement, in pension-salary concurrency, and in waiting and licensing costs, a sum Section 3 defines as the price of a return; the third settles what the returner is offered instead, and the fourth carries the offer to them. The population concerned justifies attention beyond the vacancies it might cover, since experienced returners carry teaching capacity that school systems themselves financed, of a kind shown to spill over to colleagues and their students (Jackson and Bruegmann, 2009).</w:t>
      </w:r>
    </w:p>
    <w:p>
      <w:pPr>
        <w:spacing w:after="160" w:line="264" w:lineRule="auto"/>
        <w:jc w:val="both"/>
      </w:pPr>
      <w:r>
        <w:t xml:space="preserve">The compiled record is administrative rather than experimental. It consists mainly of statutes and take-up counts, with a small number of independent audits and randomised trials, and the analysis extends only as far as such material allows. Section 2 examines who leaves the profession, for which motives, into which destinations and with what remaining capacity to teach; Section 3 analyses the four policy families and the take-up and evaluation record each has produced; Section 4 sets out the conclusions and recommendations that this record supports.</w:t>
      </w:r>
    </w:p>
    <w:p>
      <w:pPr>
        <w:pStyle w:val="Heading1"/>
        <w:pageBreakBefore/>
      </w:pPr>
      <w:r>
        <w:t xml:space="preserve">2. Why teachers leave, where they go and what they can bring back</w:t>
      </w:r>
    </w:p>
    <w:p>
      <w:pPr>
        <w:spacing w:after="160" w:line="264" w:lineRule="auto"/>
        <w:jc w:val="both"/>
      </w:pPr>
      <w:r>
        <w:t xml:space="preserve">Policies to bring former teachers back into classrooms rest on prior empirical questions about who leaves the profession, for which motives, into which destinations and with what remaining capacity to teach. The evidence on each of these questions has strengthened over the past two decades, as administrative registers and linked employer records have begun to supplement survey self-reports, and the picture it gives is of a population that differs sharply within itself.</w:t>
      </w:r>
    </w:p>
    <w:p>
      <w:pPr>
        <w:pStyle w:val="Heading2"/>
      </w:pPr>
      <w:r>
        <w:t xml:space="preserve">2.1 Three populations of leavers</w:t>
      </w:r>
    </w:p>
    <w:p>
      <w:pPr>
        <w:spacing w:after="160" w:line="264" w:lineRule="auto"/>
        <w:jc w:val="both"/>
      </w:pPr>
      <w:r>
        <w:t xml:space="preserve">Teachers who leave the profession form three distinct populations, those who move to other jobs, those who withdraw from the labour market and those who retire. Across the 19 OECD education systems with comparable data, 6.5% of fully qualified teachers left the profession in 2022/23, and on average 51% of these leavers resigned rather than retired (OECD, 2025a).</w:t>
      </w:r>
      <w:r>
        <w:rPr>
          <w:vertAlign w:val="superscript"/>
        </w:rPr>
        <w:t xml:space="preserve">2</w:t>
      </w:r>
      <w:r>
        <w:t xml:space="preserve"> The balance between the two margins differs widely across systems. Resignations accounted for over 80% of departures in Denmark, England (United Kingdom) and Estonia, whereas retirements exceeded half of all departures in France, the French Community of Belgium, Greece, Ireland and Israel (OECD, 2025a). England, where 40 800 full-time-equivalent teachers, 9.0% of the qualified workforce, left state schools in 2023/24, is the clearest case of a resignation-dominated system (Department for Education, 2025a).</w:t>
      </w:r>
    </w:p>
    <w:p>
      <w:pPr>
        <w:spacing w:after="160" w:line="264" w:lineRule="auto"/>
        <w:jc w:val="both"/>
      </w:pPr>
      <w:r>
        <w:t xml:space="preserve">The split matters for policy because the two margins respond to different levers. Systems in which most leavers resign face a working-age population whose departure reflects, at least in part, a judgement about the job itself; systems in which most leavers retire face an actuarial margin governed by pension rules more than by workplace motives. The resignation margin is also disproportionately young. Among the seven OECD countries reporting the seniority of resigning teachers, between 16% and 68% had less than five years of experience, one in three on average (OECD, 2025a).</w:t>
      </w:r>
      <w:r>
        <w:rPr>
          <w:vertAlign w:val="superscript"/>
        </w:rPr>
        <w:t xml:space="preserve">3</w:t>
      </w:r>
    </w:p>
    <w:p>
      <w:pPr>
        <w:spacing w:after="160" w:line="264" w:lineRule="auto"/>
        <w:jc w:val="both"/>
      </w:pPr>
      <w:r>
        <w:t xml:space="preserve">Within the resignation margin, teachers who take other jobs have to be separated again from teachers who leave paid work altogether. In the United States, school district records linked to tax and census data indicate that about one fifth of leavers exit the labour force entirely (Brummet et al., 2024). Australian panel data show a similar order of magnitude, with 28.0% of leavers not in the labour force in the first year after exit and a further 13.9% retired (Cuervo and Vera-Toscano, 2025). The composition has shifted over time. In a cohort of certified American women followed between 1973 and 1986, around two thirds of those who left teaching withdrew from the labour force entirely, with the arrival of a newborn child the dominant factor, ahead of marriage or pay (Stinebrickner, 2002); in the contemporary data, most leavers keep working.</w:t>
      </w:r>
    </w:p>
    <w:p>
      <w:pPr>
        <w:spacing w:after="160" w:line="264" w:lineRule="auto"/>
        <w:jc w:val="both"/>
      </w:pPr>
      <w:r>
        <w:t xml:space="preserve">Most departures on the resignation margin also appear voluntary. In the United States, roughly 74% of all departures in 2021/22 were voluntary and unrelated to retirement, and leaving rates are markedly higher among uncertified teachers, in special education and in schools serving the largest concentrations of low-income students (Tan et al., 2026). No source yet decomposes departures into the three populations for a set of countries at once; the shares reported here combine the system-level resignation and retirement split with national studies of labour-market status after exit, so comparisons of the labour-force-exit share across countries are only indicative.</w:t>
      </w:r>
    </w:p>
    <w:p>
      <w:pPr>
        <w:pStyle w:val="Heading2"/>
      </w:pPr>
      <w:r>
        <w:t xml:space="preserve">2.2 The motives behind departure</w:t>
      </w:r>
    </w:p>
    <w:p>
      <w:pPr>
        <w:spacing w:after="160" w:line="264" w:lineRule="auto"/>
        <w:jc w:val="both"/>
      </w:pPr>
      <w:r>
        <w:t xml:space="preserve">Among the main motives for which teachers leave, four categories stand out, namely intrinsic motives such as stress and declining satisfaction with the work itself; environmental motives rooted in workload, school leadership and working hours; economic motives concerning salary and pension design; and life-cycle motives linked to family formation, early-career exploration and retirement timing. The categories adapt a grouping established in the meta-analytic literature, in which the correlates of turnover cluster into personal characteristics, school factors and external policy factors (Nguyen et al., 2020). Each category weighs differently across the three exit populations and across countries, and each points towards a different family of re-entry policies (Table 1).</w:t>
      </w:r>
    </w:p>
    <w:p>
      <w:pPr>
        <w:keepNext/>
        <w:spacing w:after="120" w:before="200"/>
      </w:pPr>
      <w:r>
        <w:rPr>
          <w:b/>
          <w:bCs/>
          <w:color w:val="4E81BD"/>
          <w:sz w:val="23"/>
          <w:szCs w:val="23"/>
        </w:rPr>
        <w:t xml:space="preserve">Table 1. Motives for leaving the teaching profession</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3418"/>
        <w:gridCol w:w="5654"/>
      </w:tblGrid>
      <w:tr>
        <w:trPr>
          <w:tblHeader/>
        </w:trPr>
        <w:tc>
          <w:tcPr>
            <w:tcW w:type="dxa" w:w="3418"/>
            <w:tcBorders>
              <w:top w:val="single" w:color="000000" w:sz="6"/>
              <w:left w:val="none" w:color="FFFFFF" w:sz="0"/>
              <w:bottom w:val="single" w:color="000000" w:sz="6"/>
              <w:right w:val="none" w:color="FFFFFF" w:sz="0"/>
            </w:tcBorders>
            <w:shd w:fill="D2D2D2" w:val="clear"/>
            <w:tcMar>
              <w:top w:type="dxa" w:w="40"/>
              <w:left w:type="dxa" w:w="60"/>
              <w:bottom w:type="dxa" w:w="40"/>
              <w:right w:type="dxa" w:w="60"/>
            </w:tcMar>
            <w:vAlign w:val="center"/>
          </w:tcPr>
          <w:p>
            <w:pPr>
              <w:spacing w:after="0"/>
              <w:jc w:val="left"/>
            </w:pPr>
            <w:r>
              <w:rPr>
                <w:b/>
                <w:bCs/>
                <w:sz w:val="20"/>
                <w:szCs w:val="20"/>
              </w:rPr>
              <w:t xml:space="preserve">Category</w:t>
            </w:r>
          </w:p>
        </w:tc>
        <w:tc>
          <w:tcPr>
            <w:tcW w:type="dxa" w:w="5654"/>
            <w:tcBorders>
              <w:top w:val="single" w:color="000000" w:sz="6"/>
              <w:left w:val="none" w:color="FFFFFF" w:sz="0"/>
              <w:bottom w:val="single" w:color="000000" w:sz="6"/>
              <w:right w:val="none" w:color="FFFFFF" w:sz="0"/>
            </w:tcBorders>
            <w:shd w:fill="D2D2D2" w:val="clear"/>
            <w:tcMar>
              <w:top w:type="dxa" w:w="40"/>
              <w:left w:type="dxa" w:w="60"/>
              <w:bottom w:type="dxa" w:w="40"/>
              <w:right w:type="dxa" w:w="60"/>
            </w:tcMar>
            <w:vAlign w:val="center"/>
          </w:tcPr>
          <w:p>
            <w:pPr>
              <w:spacing w:after="0"/>
              <w:jc w:val="left"/>
            </w:pPr>
            <w:r>
              <w:rPr>
                <w:b/>
                <w:bCs/>
                <w:sz w:val="20"/>
                <w:szCs w:val="20"/>
              </w:rPr>
              <w:t xml:space="preserve">Motives</w:t>
            </w:r>
          </w:p>
        </w:tc>
      </w:tr>
      <w:tr>
        <w:trPr>
          <w:tblHeader w:val="false"/>
        </w:trPr>
        <w:tc>
          <w:tcPr>
            <w:tcW w:type="dxa" w:w="3418"/>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20"/>
                <w:szCs w:val="20"/>
              </w:rPr>
              <w:t xml:space="preserve">Intrinsic</w:t>
            </w:r>
          </w:p>
        </w:tc>
        <w:tc>
          <w:tcPr>
            <w:tcW w:type="dxa" w:w="5654"/>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20"/>
                <w:szCs w:val="20"/>
              </w:rPr>
              <w:t xml:space="preserve">Occupational stress; declining job satisfaction</w:t>
            </w:r>
          </w:p>
        </w:tc>
      </w:tr>
      <w:tr>
        <w:trPr>
          <w:tblHeader w:val="false"/>
        </w:trPr>
        <w:tc>
          <w:tcPr>
            <w:tcW w:type="dxa" w:w="3418"/>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20"/>
                <w:szCs w:val="20"/>
              </w:rPr>
              <w:t xml:space="preserve">Environmental</w:t>
            </w:r>
          </w:p>
        </w:tc>
        <w:tc>
          <w:tcPr>
            <w:tcW w:type="dxa" w:w="5654"/>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20"/>
                <w:szCs w:val="20"/>
              </w:rPr>
              <w:t xml:space="preserve">Workload and working hours; school leadership and collegial support</w:t>
            </w:r>
          </w:p>
        </w:tc>
      </w:tr>
      <w:tr>
        <w:trPr>
          <w:tblHeader w:val="false"/>
        </w:trPr>
        <w:tc>
          <w:tcPr>
            <w:tcW w:type="dxa" w:w="3418"/>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20"/>
                <w:szCs w:val="20"/>
              </w:rPr>
              <w:t xml:space="preserve">Economic</w:t>
            </w:r>
          </w:p>
        </w:tc>
        <w:tc>
          <w:tcPr>
            <w:tcW w:type="dxa" w:w="5654"/>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20"/>
                <w:szCs w:val="20"/>
              </w:rPr>
              <w:t xml:space="preserve">Salary relative to alternatives; pension design and contract terms</w:t>
            </w:r>
          </w:p>
        </w:tc>
      </w:tr>
      <w:tr>
        <w:trPr>
          <w:tblHeader w:val="false"/>
        </w:trPr>
        <w:tc>
          <w:tcPr>
            <w:tcW w:type="dxa" w:w="3418"/>
            <w:tcBorders>
              <w:top w:val="none" w:color="FFFFFF" w:sz="0"/>
              <w:left w:val="none" w:color="FFFFFF" w:sz="0"/>
              <w:bottom w:val="single" w:color="000000" w:sz="6"/>
              <w:right w:val="none" w:color="FFFFFF" w:sz="0"/>
            </w:tcBorders>
            <w:tcMar>
              <w:top w:type="dxa" w:w="40"/>
              <w:left w:type="dxa" w:w="60"/>
              <w:bottom w:type="dxa" w:w="40"/>
              <w:right w:type="dxa" w:w="60"/>
            </w:tcMar>
            <w:vAlign w:val="center"/>
          </w:tcPr>
          <w:p>
            <w:pPr>
              <w:spacing w:after="0"/>
              <w:jc w:val="left"/>
            </w:pPr>
            <w:r>
              <w:rPr>
                <w:sz w:val="20"/>
                <w:szCs w:val="20"/>
              </w:rPr>
              <w:t xml:space="preserve">Life-cycle</w:t>
            </w:r>
          </w:p>
        </w:tc>
        <w:tc>
          <w:tcPr>
            <w:tcW w:type="dxa" w:w="5654"/>
            <w:tcBorders>
              <w:top w:val="none" w:color="FFFFFF" w:sz="0"/>
              <w:left w:val="none" w:color="FFFFFF" w:sz="0"/>
              <w:bottom w:val="single" w:color="000000" w:sz="6"/>
              <w:right w:val="none" w:color="FFFFFF" w:sz="0"/>
            </w:tcBorders>
            <w:tcMar>
              <w:top w:type="dxa" w:w="40"/>
              <w:left w:type="dxa" w:w="60"/>
              <w:bottom w:type="dxa" w:w="40"/>
              <w:right w:type="dxa" w:w="60"/>
            </w:tcMar>
            <w:vAlign w:val="center"/>
          </w:tcPr>
          <w:p>
            <w:pPr>
              <w:spacing w:after="0"/>
              <w:jc w:val="left"/>
            </w:pPr>
            <w:r>
              <w:rPr>
                <w:sz w:val="20"/>
                <w:szCs w:val="20"/>
              </w:rPr>
              <w:t xml:space="preserve">Family formation and care; early-career exploration; retirement timing</w:t>
            </w:r>
          </w:p>
        </w:tc>
      </w:tr>
    </w:tbl>
    <w:p>
      <w:pPr>
        <w:spacing w:after="120"/>
      </w:pPr>
    </w:p>
    <w:p>
      <w:pPr>
        <w:spacing w:after="60"/>
        <w:jc w:val="left"/>
      </w:pPr>
      <w:r>
        <w:rPr>
          <w:sz w:val="18"/>
          <w:szCs w:val="18"/>
        </w:rPr>
        <w:t xml:space="preserve">Note: Categories adapt the meta-analytic grouping of personal, school and external factors in Nguyen et al. (2020). Each motive is discussed in turn below.</w:t>
      </w:r>
    </w:p>
    <w:p>
      <w:pPr>
        <w:spacing w:after="60"/>
        <w:jc w:val="left"/>
      </w:pPr>
      <w:r>
        <w:rPr>
          <w:sz w:val="18"/>
          <w:szCs w:val="18"/>
        </w:rPr>
        <w:t xml:space="preserve">Source: Authors' compilation.</w:t>
      </w:r>
    </w:p>
    <w:p>
      <w:pPr>
        <w:spacing w:after="160" w:line="264" w:lineRule="auto"/>
        <w:jc w:val="both"/>
      </w:pPr>
      <w:r>
        <w:t xml:space="preserve">Intrinsic motives are the best measured internationally, though mostly as intentions. Across OECD countries, 19% of teachers report experiencing a lot of stress at work, and stress arising from student intimidation or from maintaining classroom discipline is more closely associated with the intention to leave than workload, accountability or reform pressures (OECD, 2025b).</w:t>
      </w:r>
      <w:r>
        <w:rPr>
          <w:vertAlign w:val="superscript"/>
        </w:rPr>
        <w:t xml:space="preserve">4</w:t>
      </w:r>
      <w:r>
        <w:t xml:space="preserve"> Intentions overstate exits by a wide margin, since around 25% of teachers say they intend to leave within five years against realised leaving rates of 5% to 11%. Intention data therefore map who is unhappy and where, rather than how many will leave (OECD, 2020; Nguyen et al., 2025). Revealed trajectories point the same way. In the Australian panel, job satisfaction declines in the years before exit and rises afterwards, by 0.13 standard deviations at one year and 0.19 at three, whereas overall life satisfaction does not change significantly (Cuervo and Vera-Toscano, 2025); the pre-exit decline suggests that dissatisfaction is measurable in advance of departure.</w:t>
      </w:r>
    </w:p>
    <w:p>
      <w:pPr>
        <w:spacing w:after="160" w:line="264" w:lineRule="auto"/>
        <w:jc w:val="both"/>
      </w:pPr>
      <w:r>
        <w:t xml:space="preserve">Environmental motives carry the strongest revealed-preference support. Fixed-effects estimates from two decades of Australian panel data identify workload, stress and work-life balance, and not salary, as the factors behind exit (Cuervo and Vera-Toscano, 2025), and English leavers accept an average wage cut of around 10% relative to comparable stayers in exchange for shorter hours and higher job satisfaction (Worth, Bamford and Durbin, 2015). Stated reasons align with these estimates, with school leadership issues (17.7%) and workload (16.6%) leading the accounts of 256 Australian leavers surveyed between 2016 and 2022 (Brandenburg et al., 2024), and supportive school leadership is the main non-pay correlate in the quasi-experimental retention literature (Sims, Lowes-Belk and Routledge, 2026). A notable example is the case of the Netherlands, where the qualified teachers who constitute the country's hidden reserve were asked directly what would bring them back. Lower work pressure, more control over working hours and greater autonomy ranked ahead of salary, and inactive teachers rated several working conditions in their current jobs more favourably than active teachers rated theirs (Somers et al., 2024a).</w:t>
      </w:r>
    </w:p>
    <w:p>
      <w:pPr>
        <w:spacing w:after="160" w:line="264" w:lineRule="auto"/>
        <w:jc w:val="both"/>
      </w:pPr>
      <w:r>
        <w:t xml:space="preserve">The economic evidence is substantial but geographically skewed. In the United States, each additional USD 1 000 of cost-of-living-adjusted salary is associated with a turnover reduction of 0.34 percentage points (Tan et al., 2026), and 33% of Michigan certificate-holders outside the classroom placed higher salary among their top three reasons for not teaching, in a survey whose 30% response rate its authors describe as unrepresentative (Lindsay, Gnedko-Berry and Wan, 2021). Causal estimates indicate that targeted payments do retain teachers. In England, a payment of GBP 2 000 a year after tax made eligible early-career mathematics and physics teachers 23% less likely to leave in eligible years (Sims and Benhenda, 2022), and bonus and loan-forgiveness schemes in Florida and North Carolina cut attrition in shortage subjects by roughly 9% to 17%, and by as much as about 32% in the short run for a one-time Florida bonus (Feng and Sass, 2018; Clotfelter et al., 2008). Although these estimates price retention, no quasi-experimental study anywhere prices re-entry incentives, which concern people who have already revealed a preference against current conditions. The weight of the evidence is also American, since 72 of the roughly 86 studies in the causal base are from the United States (Fleck et al., 2025), and the salary margin cannot be read as universal on that base.</w:t>
      </w:r>
    </w:p>
    <w:p>
      <w:pPr>
        <w:spacing w:after="160" w:line="264" w:lineRule="auto"/>
        <w:jc w:val="both"/>
      </w:pPr>
      <w:r>
        <w:t xml:space="preserve">Life-cycle motives operate at both ends of the career. Early-career resignation partly reflects ordinary labour-market behaviour, as young teachers change jobs at rates comparable to young professionals in similar occupations (Harris and Adams, 2007), and one in five teachers under 30 intends to leave within five years, though in Estonia, Latvia and Lithuania the share is around half (OECD, 2025b). At the other end, teacher turnover differs from turnover in comparable professions in its early, pension-driven retirements. Pension wealth in six United States state systems accrues in spikes in the mid-to-late 50s and then declines, so teachers leave at ages young for professionals (Costrell and Podgursky, 2009; Harris and Adams, 2007), whereas pension enhancements that reward delayed retirement have been found to cut retirements by 4 to 10 percentage points (Fleck et al., 2025). Between the two ends lies the family margin. The segment of registrants for an English returner programme labelled career breakers returned at about double the rate of the other segments and sought part-time work that schools rarely advertise (Buchanan et al., 2018; Worth and Sharp, 2018).</w:t>
      </w:r>
    </w:p>
    <w:p>
      <w:pPr>
        <w:spacing w:after="160" w:line="264" w:lineRule="auto"/>
        <w:jc w:val="both"/>
      </w:pPr>
      <w:r>
        <w:t xml:space="preserve">Entry motives, by contrast, appear broadly similar across countries, and the differences lie in what the profession offers. In comparative applications of the FIT-Choice scale, social utility and intrinsic value rank highest everywhere, whereas perceptions of salary, status and demand carry the country differences (Watt et al., 2012). A parallel reading fits the exit evidence. Where the pay gap with alternative graduate employment is wide, as in the United States, the salary motive weighs most; where part-time work inside teaching is scarce, as in the Netherlands and England, hours and working conditions weigh most; and where retirement dominates departures, as in France, Greece and Ireland, pension rules matter more than any workplace motive. Education systems therefore have to diagnose their own exit mix before they choose an instrument.</w:t>
      </w:r>
    </w:p>
    <w:p>
      <w:pPr>
        <w:spacing w:after="160" w:line="264" w:lineRule="auto"/>
        <w:jc w:val="both"/>
      </w:pPr>
      <w:r>
        <w:t xml:space="preserve">The four categories point towards different remedies. Life-cycle motives, together with the administrative barriers that accumulate during an absence, are answered by permission, the licence, service-threshold and waiting-period rules that decide whether a return is possible at all. Price answers the economic motives, through the pension, pay-step and subsidy settings that determine what a return produces financially, while the job answers the environmental motives, through the intensity and definition of the post a returner is offered. Reach, the fourth family, answers no motive at all, because it changes nothing about a return and only tells former teachers that one is available. Section 3 examines the families in that order. The correspondence is imperfect, since no family addresses school leadership, the motive that leaver surveys most often place first.</w:t>
      </w:r>
    </w:p>
    <w:p>
      <w:pPr>
        <w:pStyle w:val="Heading2"/>
      </w:pPr>
      <w:r>
        <w:t xml:space="preserve">2.3 Where leavers go and what they can bring back</w:t>
      </w:r>
    </w:p>
    <w:p>
      <w:pPr>
        <w:spacing w:after="160" w:line="264" w:lineRule="auto"/>
        <w:jc w:val="both"/>
      </w:pPr>
      <w:r>
        <w:t xml:space="preserve">Not only does the leaving rate vary across countries; so does the mix of destinations. In the United States, district records linked to tax and census data show that more than half of leavers remain in education broadly defined, about one fifth exit the labour force entirely and fewer than one quarter take jobs outside education, although mean earnings remain slightly below pre-exit levels even eight years later (Brummet et al., 2024). Australian panel data draw a comparable picture, with 22.1% of leavers in non-teaching roles within school education and a further 21.8% elsewhere in education, health care and social assistance in the first year after exit (Cuervo and Vera-Toscano, 2025); in a national survey of Australian leavers, 62% reported using their teaching skills a great deal in their new work (Brandenburg et al., 2024). In England, more than half of non-retiring leavers take jobs in the education sector, at the wage cut of around 10% noted above (Worth, Bamford and Durbin, 2015).</w:t>
      </w:r>
    </w:p>
    <w:p>
      <w:pPr>
        <w:spacing w:after="160" w:line="264" w:lineRule="auto"/>
        <w:jc w:val="both"/>
      </w:pPr>
      <w:r>
        <w:t xml:space="preserve">The stock that these flows accumulate into is large, mostly of working age and formally still qualified. In Michigan, 61 252 of 141 810 certified teachers, 43%, were not teaching in a public school in 2017/18; 93% of them were under 60, and although 44% to 49% held expired certificates, against 6% of active teachers, an expired certificate can be restored (Lindsay, Gnedko-Berry and Wan, 2021). England counted around 260 000 qualified teachers of working age out of service in 2018, alongside 106 000 who never entered service (Worth, 2023). These stocks already generate substantial return flows. About one third of all new entrants to English state schools each year are returners, some 17 000 people (Department for Education, 2023), and in the United States re-entrants have accounted for 37% to 49% of new hires (Sutcher, Darling-Hammond and Carver-Thomas, 2016). Only a minority of leavers ever come back, though, between one fifth and one half depending on the cohort (Grissom and Reininger, 2012; Moyer, 2022).</w:t>
      </w:r>
    </w:p>
    <w:p>
      <w:pPr>
        <w:spacing w:after="160" w:line="264" w:lineRule="auto"/>
        <w:jc w:val="both"/>
      </w:pPr>
      <w:r>
        <w:t xml:space="preserve">Any contribution returners could make rests first of all on experience. The best causal footing for the claim that exposure to experienced educators transfers skill comes from peer effects among serving teachers. A one standard deviation increase in the quality of a teacher's peers raises her students' test-score growth by 0.02 standard deviations in reading and 0.04 in mathematics, about one third of the own-teacher effect, with the strongest spillovers accruing to less experienced colleagues (Jackson and Bruegmann, 2009). Experience is also what returns when rules change. When North Carolina allowed retirees to teach full-time without pension penalty, the roughly 3 500 teachers who returned over the decade, 2.1% of the sampled workforce, averaged 31 years of experience and went disproportionately to high-need schools (Jarrold-Grapes and Mahler, 2024).</w:t>
      </w:r>
    </w:p>
    <w:p>
      <w:pPr>
        <w:spacing w:after="160" w:line="264" w:lineRule="auto"/>
        <w:jc w:val="both"/>
      </w:pPr>
      <w:r>
        <w:t xml:space="preserve">A second line of evidence concerns structured tutoring, the designed role in which older and former educators have been tested most rigorously. Across randomised trials of tutoring from pre-school to secondary school, the pooled effect is 0.288 standard deviations, with the largest effects for teacher and paraprofessional tutors, in earlier grades and at doses of three or more days per week (Nickow, Oreopoulos and Quan, 2024). In the Number Rockets replication, 86 tutors drawn from retired and substitute teacher pools delivered a first-grade mathematics protocol to 994 students across 76 schools in four urban districts. The protocol had first been tested with graduate students, and the tutors reproduced its effect of 0.34 standard deviations at scale (Gersten et al., 2015; Rolfhus et al., 2012). These trials do not isolate former teachers as a tutor class; the Number Rockets pool mixed retirees with substitutes, and the meta-analytic tutor categories are broader still, so what these trials say about returners is indirect. Dose also recurs as a condition of effect across this literature, and tutors recruited for token hours cannot be expected to reproduce these results.</w:t>
      </w:r>
    </w:p>
    <w:p>
      <w:pPr>
        <w:spacing w:after="160" w:line="264" w:lineRule="auto"/>
        <w:jc w:val="both"/>
      </w:pPr>
      <w:r>
        <w:t xml:space="preserve">The mentoring record is thinner. The one randomised trial of retired educators as mentors to new teachers, rated by the What Works Clearinghouse as meeting standards without reservations, found indeterminate effects in all three reviewed domains of reading, mathematics and retention (DeCesare, McClelland and Randel, 2017; What Works Clearinghouse, 2019), and in the largest trial of comprehensive induction the teachers mentored proved no more likely to stay (Glazerman et al., 2010). The asymmetry between the tutoring and mentoring records measures how much effort went into testing each role, and it says nothing about returning teachers' craft. The tutoring role was scripted and dosed, and it was then tested at scale; the mentoring role was tested once, without a specified dose. More generally, no study in the international record links an individual returner to the outcomes of the students or colleagues they work with, and the authors of the largest re-entry episode note that their data did not permit the attempt (Jarrold-Grapes and Mahler, 2024). The record establishes something narrower. A former teacher holds a valid or restorable licence, can be deployed without consuming a place in initial teacher education, and brings institutional familiarity while standing outside the school's evaluation hierarchy (DeCesare, McClelland and Randel, 2017). Settling the wider question would require linking returner records to the classes and colleagues they join, and trials of designed roles at specified doses.</w:t>
      </w:r>
    </w:p>
    <w:p>
      <w:pPr>
        <w:spacing w:after="160" w:line="264" w:lineRule="auto"/>
        <w:jc w:val="both"/>
      </w:pPr>
      <w:r>
        <w:t xml:space="preserve">This evidence on destinations and contribution therefore describes a population that is mostly employed, mostly close to education and formally qualified, with tested usefulness in at least one specified role. Whether any part of it returns depends on conditions that governments set, namely the rules that permit a return, the pension and pay settings that price it, the shape of the post offered and the channels through which the offer reaches a former teacher. Across OECD countries these instruments have been deployed in varying combinations over the past two decades, and their results include audited take-up at scale and independently evaluated failure.</w:t>
      </w:r>
    </w:p>
    <w:p>
      <w:pPr>
        <w:pStyle w:val="Heading1"/>
        <w:pageBreakBefore/>
      </w:pPr>
      <w:r>
        <w:t xml:space="preserve">3. Policies to bring former teachers back</w:t>
      </w:r>
    </w:p>
    <w:p>
      <w:pPr>
        <w:spacing w:after="160" w:line="264" w:lineRule="auto"/>
        <w:jc w:val="both"/>
      </w:pPr>
      <w:r>
        <w:t xml:space="preserve">Governments have been legislating and campaigning for the return of former teachers for more than a quarter of a century. North Carolina (United States) suspended the pension penalty attached to re-employment in 1999 (Jarrold-Grapes and Mahler, 2024); the OECD recommended in 2005 that education systems maintain contact with teachers who had left, keep them informed of vacancies and provide targeted retraining (OECD, 2005); the Netherlands regulated a returner subsidy in 2017 (Ministerie van OCW, 2017); and the instruments adopted since 2022 include the fixed-term contracts Portugal offers retired teachers and the collaborator status that Andalusia (Spain) created for them in February 2026 (Decreto-Lei n.º 51/2024; Decreto 12/2026). Most of what is now in force was adopted or widened under post-pandemic staffing pressure, and very little of it has been evaluated. The record consists mainly of statutes, scheme regulations and administrative counts, produced by systems that differ in nearly everything except the population they address.</w:t>
      </w:r>
    </w:p>
    <w:p>
      <w:pPr>
        <w:spacing w:after="160" w:line="264" w:lineRule="auto"/>
        <w:jc w:val="both"/>
      </w:pPr>
      <w:r>
        <w:t xml:space="preserve">These instruments group into four families, ordered by the sequence in which a former teacher encounters them (Table 2). Permission governs whether a return is legally possible, through licence validity and refresh requirements, service thresholds, eligibility screens and waiting periods, and its levers belong to professional regulators and to pension legislation. Price governs what returning produces financially, through pension-salary concurrency, the salary step on which a returner is placed, and bonuses or subsidies paid to the teacher or to the school, and its levers belong to pension, civil-service and finance authorities. The job governs the shape of what is offered, whether a full-time post, supply work or a defined role such as tutoring, and its levers belong to employers and schools. Reach governs how former teachers learn that any of this exists and how they are helped through it, and its levers belong to education ministries and their agencies. The correspondence with the exit motives set out in Section 2 is close but not complete. Permission answers the life-cycle and administrative barriers that accumulate during an absence, price answers the economic motives, the job answers the environmental motives that the evidence ranks highest, and reach answers no motive at all, since its work is to deliver an offer that the other three families have already fixed.</w:t>
      </w:r>
    </w:p>
    <w:p>
      <w:pPr>
        <w:spacing w:after="160" w:line="264" w:lineRule="auto"/>
        <w:jc w:val="both"/>
      </w:pPr>
      <w:r>
        <w:t xml:space="preserve">What these families have produced is an administrative evidence base, and one pattern runs across it. Among the many campaigns implemented to attract teachers back, both those providing incentives and those easing certification, there is suggestive evidence that they weigh less than changes to the legal rules of the game, which appear more successful in re-attracting teachers. The counts behind that reading measure different outcomes against different denominators, among them a permanent post in a shortage subject, a casual placement and a subsidy grant, and none of them rests on a comparison with what would have happened otherwise. The pattern therefore orients a policy choice without settling it, and the sections below record for each instrument what its publisher counted as carefully as what the instrument did.</w:t>
      </w:r>
    </w:p>
    <w:p>
      <w:pPr>
        <w:keepNext/>
        <w:spacing w:after="120" w:before="200"/>
      </w:pPr>
      <w:r>
        <w:rPr>
          <w:b/>
          <w:bCs/>
          <w:color w:val="4E81BD"/>
          <w:sz w:val="23"/>
          <w:szCs w:val="23"/>
        </w:rPr>
        <w:t xml:space="preserve">Table 2. Four families of re-entry policy</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1583"/>
        <w:gridCol w:w="2324"/>
        <w:gridCol w:w="2700"/>
        <w:gridCol w:w="2465"/>
      </w:tblGrid>
      <w:tr>
        <w:trPr>
          <w:tblHeader/>
        </w:trPr>
        <w:tc>
          <w:tcPr>
            <w:tcW w:type="dxa" w:w="1583"/>
            <w:tcBorders>
              <w:top w:val="single" w:color="000000" w:sz="6"/>
              <w:left w:val="none" w:color="FFFFFF" w:sz="0"/>
              <w:bottom w:val="single" w:color="000000" w:sz="6"/>
              <w:right w:val="none" w:color="FFFFFF" w:sz="0"/>
            </w:tcBorders>
            <w:shd w:fill="D2D2D2" w:val="clear"/>
            <w:tcMar>
              <w:top w:type="dxa" w:w="40"/>
              <w:left w:type="dxa" w:w="60"/>
              <w:bottom w:type="dxa" w:w="40"/>
              <w:right w:type="dxa" w:w="60"/>
            </w:tcMar>
            <w:vAlign w:val="center"/>
          </w:tcPr>
          <w:p>
            <w:pPr>
              <w:spacing w:after="0"/>
              <w:jc w:val="left"/>
            </w:pPr>
            <w:r>
              <w:rPr>
                <w:b/>
                <w:bCs/>
                <w:sz w:val="20"/>
                <w:szCs w:val="20"/>
              </w:rPr>
              <w:t xml:space="preserve">Family</w:t>
            </w:r>
          </w:p>
        </w:tc>
        <w:tc>
          <w:tcPr>
            <w:tcW w:type="dxa" w:w="2324"/>
            <w:tcBorders>
              <w:top w:val="single" w:color="000000" w:sz="6"/>
              <w:left w:val="none" w:color="FFFFFF" w:sz="0"/>
              <w:bottom w:val="single" w:color="000000" w:sz="6"/>
              <w:right w:val="none" w:color="FFFFFF" w:sz="0"/>
            </w:tcBorders>
            <w:shd w:fill="D2D2D2" w:val="clear"/>
            <w:tcMar>
              <w:top w:type="dxa" w:w="40"/>
              <w:left w:type="dxa" w:w="60"/>
              <w:bottom w:type="dxa" w:w="40"/>
              <w:right w:type="dxa" w:w="60"/>
            </w:tcMar>
            <w:vAlign w:val="center"/>
          </w:tcPr>
          <w:p>
            <w:pPr>
              <w:spacing w:after="0"/>
              <w:jc w:val="left"/>
            </w:pPr>
            <w:r>
              <w:rPr>
                <w:b/>
                <w:bCs/>
                <w:sz w:val="20"/>
                <w:szCs w:val="20"/>
              </w:rPr>
              <w:t xml:space="preserve">What it changes</w:t>
            </w:r>
          </w:p>
        </w:tc>
        <w:tc>
          <w:tcPr>
            <w:tcW w:type="dxa" w:w="2700"/>
            <w:tcBorders>
              <w:top w:val="single" w:color="000000" w:sz="6"/>
              <w:left w:val="none" w:color="FFFFFF" w:sz="0"/>
              <w:bottom w:val="single" w:color="000000" w:sz="6"/>
              <w:right w:val="none" w:color="FFFFFF" w:sz="0"/>
            </w:tcBorders>
            <w:shd w:fill="D2D2D2" w:val="clear"/>
            <w:tcMar>
              <w:top w:type="dxa" w:w="40"/>
              <w:left w:type="dxa" w:w="60"/>
              <w:bottom w:type="dxa" w:w="40"/>
              <w:right w:type="dxa" w:w="60"/>
            </w:tcMar>
            <w:vAlign w:val="center"/>
          </w:tcPr>
          <w:p>
            <w:pPr>
              <w:spacing w:after="0"/>
              <w:jc w:val="left"/>
            </w:pPr>
            <w:r>
              <w:rPr>
                <w:b/>
                <w:bCs/>
                <w:sz w:val="20"/>
                <w:szCs w:val="20"/>
              </w:rPr>
              <w:t xml:space="preserve">Who owns the lever</w:t>
            </w:r>
          </w:p>
        </w:tc>
        <w:tc>
          <w:tcPr>
            <w:tcW w:type="dxa" w:w="2465"/>
            <w:tcBorders>
              <w:top w:val="single" w:color="000000" w:sz="6"/>
              <w:left w:val="none" w:color="FFFFFF" w:sz="0"/>
              <w:bottom w:val="single" w:color="000000" w:sz="6"/>
              <w:right w:val="none" w:color="FFFFFF" w:sz="0"/>
            </w:tcBorders>
            <w:shd w:fill="D2D2D2" w:val="clear"/>
            <w:tcMar>
              <w:top w:type="dxa" w:w="40"/>
              <w:left w:type="dxa" w:w="60"/>
              <w:bottom w:type="dxa" w:w="40"/>
              <w:right w:type="dxa" w:w="60"/>
            </w:tcMar>
            <w:vAlign w:val="center"/>
          </w:tcPr>
          <w:p>
            <w:pPr>
              <w:spacing w:after="0"/>
              <w:jc w:val="left"/>
            </w:pPr>
            <w:r>
              <w:rPr>
                <w:b/>
                <w:bCs/>
                <w:sz w:val="20"/>
                <w:szCs w:val="20"/>
              </w:rPr>
              <w:t xml:space="preserve">Who principally benefits</w:t>
            </w:r>
          </w:p>
        </w:tc>
      </w:tr>
      <w:tr>
        <w:trPr>
          <w:tblHeader w:val="false"/>
        </w:trPr>
        <w:tc>
          <w:tcPr>
            <w:tcW w:type="dxa" w:w="1583"/>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20"/>
                <w:szCs w:val="20"/>
              </w:rPr>
              <w:t xml:space="preserve">Permission</w:t>
            </w:r>
          </w:p>
        </w:tc>
        <w:tc>
          <w:tcPr>
            <w:tcW w:type="dxa" w:w="2324"/>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20"/>
                <w:szCs w:val="20"/>
              </w:rPr>
              <w:t xml:space="preserve">Whether a return is legally possible</w:t>
            </w:r>
          </w:p>
        </w:tc>
        <w:tc>
          <w:tcPr>
            <w:tcW w:type="dxa" w:w="270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20"/>
                <w:szCs w:val="20"/>
              </w:rPr>
              <w:t xml:space="preserve">Professional regulators; pension legislation</w:t>
            </w:r>
          </w:p>
        </w:tc>
        <w:tc>
          <w:tcPr>
            <w:tcW w:type="dxa" w:w="2465"/>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20"/>
                <w:szCs w:val="20"/>
              </w:rPr>
              <w:t xml:space="preserve">The returning teacher</w:t>
            </w:r>
          </w:p>
        </w:tc>
      </w:tr>
      <w:tr>
        <w:trPr>
          <w:tblHeader w:val="false"/>
        </w:trPr>
        <w:tc>
          <w:tcPr>
            <w:tcW w:type="dxa" w:w="1583"/>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20"/>
                <w:szCs w:val="20"/>
              </w:rPr>
              <w:t xml:space="preserve">Price</w:t>
            </w:r>
          </w:p>
        </w:tc>
        <w:tc>
          <w:tcPr>
            <w:tcW w:type="dxa" w:w="2324"/>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20"/>
                <w:szCs w:val="20"/>
              </w:rPr>
              <w:t xml:space="preserve">What a return pays</w:t>
            </w:r>
          </w:p>
        </w:tc>
        <w:tc>
          <w:tcPr>
            <w:tcW w:type="dxa" w:w="270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20"/>
                <w:szCs w:val="20"/>
              </w:rPr>
              <w:t xml:space="preserve">Pension, civil-service and finance authorities</w:t>
            </w:r>
          </w:p>
        </w:tc>
        <w:tc>
          <w:tcPr>
            <w:tcW w:type="dxa" w:w="2465"/>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20"/>
                <w:szCs w:val="20"/>
              </w:rPr>
              <w:t xml:space="preserve">The returning teacher, or the school</w:t>
            </w:r>
          </w:p>
        </w:tc>
      </w:tr>
      <w:tr>
        <w:trPr>
          <w:tblHeader w:val="false"/>
        </w:trPr>
        <w:tc>
          <w:tcPr>
            <w:tcW w:type="dxa" w:w="1583"/>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20"/>
                <w:szCs w:val="20"/>
              </w:rPr>
              <w:t xml:space="preserve">The job</w:t>
            </w:r>
          </w:p>
        </w:tc>
        <w:tc>
          <w:tcPr>
            <w:tcW w:type="dxa" w:w="2324"/>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20"/>
                <w:szCs w:val="20"/>
              </w:rPr>
              <w:t xml:space="preserve">The shape of the post offered</w:t>
            </w:r>
          </w:p>
        </w:tc>
        <w:tc>
          <w:tcPr>
            <w:tcW w:type="dxa" w:w="270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20"/>
                <w:szCs w:val="20"/>
              </w:rPr>
              <w:t xml:space="preserve">Employers and schools</w:t>
            </w:r>
          </w:p>
        </w:tc>
        <w:tc>
          <w:tcPr>
            <w:tcW w:type="dxa" w:w="2465"/>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20"/>
                <w:szCs w:val="20"/>
              </w:rPr>
              <w:t xml:space="preserve">Students and the school</w:t>
            </w:r>
          </w:p>
        </w:tc>
      </w:tr>
      <w:tr>
        <w:trPr>
          <w:tblHeader w:val="false"/>
        </w:trPr>
        <w:tc>
          <w:tcPr>
            <w:tcW w:type="dxa" w:w="1583"/>
            <w:tcBorders>
              <w:top w:val="none" w:color="FFFFFF" w:sz="0"/>
              <w:left w:val="none" w:color="FFFFFF" w:sz="0"/>
              <w:bottom w:val="single" w:color="000000" w:sz="6"/>
              <w:right w:val="none" w:color="FFFFFF" w:sz="0"/>
            </w:tcBorders>
            <w:tcMar>
              <w:top w:type="dxa" w:w="40"/>
              <w:left w:type="dxa" w:w="60"/>
              <w:bottom w:type="dxa" w:w="40"/>
              <w:right w:type="dxa" w:w="60"/>
            </w:tcMar>
            <w:vAlign w:val="center"/>
          </w:tcPr>
          <w:p>
            <w:pPr>
              <w:spacing w:after="0"/>
              <w:jc w:val="left"/>
            </w:pPr>
            <w:r>
              <w:rPr>
                <w:sz w:val="20"/>
                <w:szCs w:val="20"/>
              </w:rPr>
              <w:t xml:space="preserve">Reach</w:t>
            </w:r>
          </w:p>
        </w:tc>
        <w:tc>
          <w:tcPr>
            <w:tcW w:type="dxa" w:w="2324"/>
            <w:tcBorders>
              <w:top w:val="none" w:color="FFFFFF" w:sz="0"/>
              <w:left w:val="none" w:color="FFFFFF" w:sz="0"/>
              <w:bottom w:val="single" w:color="000000" w:sz="6"/>
              <w:right w:val="none" w:color="FFFFFF" w:sz="0"/>
            </w:tcBorders>
            <w:tcMar>
              <w:top w:type="dxa" w:w="40"/>
              <w:left w:type="dxa" w:w="60"/>
              <w:bottom w:type="dxa" w:w="40"/>
              <w:right w:type="dxa" w:w="60"/>
            </w:tcMar>
            <w:vAlign w:val="center"/>
          </w:tcPr>
          <w:p>
            <w:pPr>
              <w:spacing w:after="0"/>
              <w:jc w:val="left"/>
            </w:pPr>
            <w:r>
              <w:rPr>
                <w:sz w:val="20"/>
                <w:szCs w:val="20"/>
              </w:rPr>
              <w:t xml:space="preserve">Who hears of the offer</w:t>
            </w:r>
          </w:p>
        </w:tc>
        <w:tc>
          <w:tcPr>
            <w:tcW w:type="dxa" w:w="2700"/>
            <w:tcBorders>
              <w:top w:val="none" w:color="FFFFFF" w:sz="0"/>
              <w:left w:val="none" w:color="FFFFFF" w:sz="0"/>
              <w:bottom w:val="single" w:color="000000" w:sz="6"/>
              <w:right w:val="none" w:color="FFFFFF" w:sz="0"/>
            </w:tcBorders>
            <w:tcMar>
              <w:top w:type="dxa" w:w="40"/>
              <w:left w:type="dxa" w:w="60"/>
              <w:bottom w:type="dxa" w:w="40"/>
              <w:right w:type="dxa" w:w="60"/>
            </w:tcMar>
            <w:vAlign w:val="center"/>
          </w:tcPr>
          <w:p>
            <w:pPr>
              <w:spacing w:after="0"/>
              <w:jc w:val="left"/>
            </w:pPr>
            <w:r>
              <w:rPr>
                <w:sz w:val="20"/>
                <w:szCs w:val="20"/>
              </w:rPr>
              <w:t xml:space="preserve">Education ministries and agencies</w:t>
            </w:r>
          </w:p>
        </w:tc>
        <w:tc>
          <w:tcPr>
            <w:tcW w:type="dxa" w:w="2465"/>
            <w:tcBorders>
              <w:top w:val="none" w:color="FFFFFF" w:sz="0"/>
              <w:left w:val="none" w:color="FFFFFF" w:sz="0"/>
              <w:bottom w:val="single" w:color="000000" w:sz="6"/>
              <w:right w:val="none" w:color="FFFFFF" w:sz="0"/>
            </w:tcBorders>
            <w:tcMar>
              <w:top w:type="dxa" w:w="40"/>
              <w:left w:type="dxa" w:w="60"/>
              <w:bottom w:type="dxa" w:w="40"/>
              <w:right w:type="dxa" w:w="60"/>
            </w:tcMar>
            <w:vAlign w:val="center"/>
          </w:tcPr>
          <w:p>
            <w:pPr>
              <w:spacing w:after="0"/>
              <w:jc w:val="left"/>
            </w:pPr>
            <w:r>
              <w:rPr>
                <w:sz w:val="20"/>
                <w:szCs w:val="20"/>
              </w:rPr>
              <w:t xml:space="preserve">Employers, through applications</w:t>
            </w:r>
          </w:p>
        </w:tc>
      </w:tr>
    </w:tbl>
    <w:p>
      <w:pPr>
        <w:spacing w:after="120"/>
      </w:pPr>
    </w:p>
    <w:p>
      <w:pPr>
        <w:spacing w:after="60"/>
        <w:jc w:val="left"/>
      </w:pPr>
      <w:r>
        <w:rPr>
          <w:sz w:val="18"/>
          <w:szCs w:val="18"/>
        </w:rPr>
        <w:t xml:space="preserve">Note: The families are mutually exclusive and are ordered by the sequence of the return decision.</w:t>
      </w:r>
    </w:p>
    <w:p>
      <w:pPr>
        <w:spacing w:after="60"/>
        <w:jc w:val="left"/>
      </w:pPr>
      <w:r>
        <w:rPr>
          <w:sz w:val="18"/>
          <w:szCs w:val="18"/>
        </w:rPr>
        <w:t xml:space="preserve">Source: Authors' compilation from the sources cited in Section 3.</w:t>
      </w:r>
    </w:p>
    <w:p>
      <w:pPr>
        <w:pStyle w:val="Heading2"/>
      </w:pPr>
      <w:r>
        <w:t xml:space="preserve">3.1 Permission</w:t>
      </w:r>
    </w:p>
    <w:p>
      <w:pPr>
        <w:spacing w:after="160" w:line="264" w:lineRule="auto"/>
        <w:jc w:val="both"/>
      </w:pPr>
      <w:r>
        <w:t xml:space="preserve">The first question a former teacher meets is whether returning is allowed. A licence expires during the absence, a pension statute imposes a wait, a service threshold excludes teachers who retired early, and a subject or geography screen limits where a return may take place. Instruments in this family remove or soften those conditions, and because they cost the budget little at the point of adoption they are the most common re-entry measures in the record. The empirical warrant for the family is a study conducted for the education department of Michigan (United States), which linked certification and employment records for 141 810 certificate-holders and found that certificates had expired for 5.7% of those teaching in 2017/18, against 44.2% of those who had taught since 2013/14 but not in that year and 48.5% of those who had not taught since 2013/14 (Lindsay, Gnedko-Berry and Wan, 2021). Roughly half of the visible reserve in that system would have to re-certify before returning.</w:t>
      </w:r>
    </w:p>
    <w:p>
      <w:pPr>
        <w:spacing w:after="160" w:line="264" w:lineRule="auto"/>
        <w:jc w:val="both"/>
      </w:pPr>
      <w:r>
        <w:t xml:space="preserve">One set of instruments acts on the licence, by waiving refresher requirements, by extending permission to teach without a current certificate, or by dropping the requirement that certification match the subject of the vacancy. A second acts on time and status, by shortening the break in service a pensioner must observe, by setting or keeping service thresholds, and by capping how much a returner may earn or work. The settings that result are documented for the systems examined here in Table 3. They are also, in most systems, written outside education law, in pension statutes and civil-service codes, so the decisive parameters sit with authorities that do not answer for staffing.</w:t>
      </w:r>
    </w:p>
    <w:p>
      <w:pPr>
        <w:keepNext/>
        <w:spacing w:after="120" w:before="200"/>
      </w:pPr>
      <w:r>
        <w:rPr>
          <w:b/>
          <w:bCs/>
          <w:color w:val="4E81BD"/>
          <w:sz w:val="23"/>
          <w:szCs w:val="23"/>
        </w:rPr>
        <w:t xml:space="preserve">Table 3. The four regulatory dials that price a return, selected systems</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1474"/>
        <w:gridCol w:w="2275"/>
        <w:gridCol w:w="1792"/>
        <w:gridCol w:w="1792"/>
        <w:gridCol w:w="1739"/>
      </w:tblGrid>
      <w:tr>
        <w:trPr>
          <w:tblHeader/>
        </w:trPr>
        <w:tc>
          <w:tcPr>
            <w:tcW w:type="dxa" w:w="1474"/>
            <w:tcBorders>
              <w:top w:val="single" w:color="000000" w:sz="6"/>
              <w:left w:val="none" w:color="FFFFFF" w:sz="0"/>
              <w:bottom w:val="single" w:color="000000" w:sz="6"/>
              <w:right w:val="none" w:color="FFFFFF" w:sz="0"/>
            </w:tcBorders>
            <w:shd w:fill="D2D2D2" w:val="clear"/>
            <w:tcMar>
              <w:top w:type="dxa" w:w="40"/>
              <w:left w:type="dxa" w:w="60"/>
              <w:bottom w:type="dxa" w:w="40"/>
              <w:right w:type="dxa" w:w="60"/>
            </w:tcMar>
            <w:vAlign w:val="center"/>
          </w:tcPr>
          <w:p>
            <w:pPr>
              <w:spacing w:after="0"/>
              <w:jc w:val="left"/>
            </w:pPr>
            <w:r>
              <w:rPr>
                <w:b/>
                <w:bCs/>
                <w:sz w:val="18"/>
                <w:szCs w:val="18"/>
              </w:rPr>
              <w:t xml:space="preserve">System</w:t>
            </w:r>
          </w:p>
        </w:tc>
        <w:tc>
          <w:tcPr>
            <w:tcW w:type="dxa" w:w="2275"/>
            <w:tcBorders>
              <w:top w:val="single" w:color="000000" w:sz="6"/>
              <w:left w:val="none" w:color="FFFFFF" w:sz="0"/>
              <w:bottom w:val="single" w:color="000000" w:sz="6"/>
              <w:right w:val="none" w:color="FFFFFF" w:sz="0"/>
            </w:tcBorders>
            <w:shd w:fill="D2D2D2" w:val="clear"/>
            <w:tcMar>
              <w:top w:type="dxa" w:w="40"/>
              <w:left w:type="dxa" w:w="60"/>
              <w:bottom w:type="dxa" w:w="40"/>
              <w:right w:type="dxa" w:w="60"/>
            </w:tcMar>
            <w:vAlign w:val="center"/>
          </w:tcPr>
          <w:p>
            <w:pPr>
              <w:spacing w:after="0"/>
              <w:jc w:val="left"/>
            </w:pPr>
            <w:r>
              <w:rPr>
                <w:b/>
                <w:bCs/>
                <w:sz w:val="18"/>
                <w:szCs w:val="18"/>
              </w:rPr>
              <w:t xml:space="preserve">Pay and pension</w:t>
            </w:r>
          </w:p>
        </w:tc>
        <w:tc>
          <w:tcPr>
            <w:tcW w:type="dxa" w:w="1792"/>
            <w:tcBorders>
              <w:top w:val="single" w:color="000000" w:sz="6"/>
              <w:left w:val="none" w:color="FFFFFF" w:sz="0"/>
              <w:bottom w:val="single" w:color="000000" w:sz="6"/>
              <w:right w:val="none" w:color="FFFFFF" w:sz="0"/>
            </w:tcBorders>
            <w:shd w:fill="D2D2D2" w:val="clear"/>
            <w:tcMar>
              <w:top w:type="dxa" w:w="40"/>
              <w:left w:type="dxa" w:w="60"/>
              <w:bottom w:type="dxa" w:w="40"/>
              <w:right w:type="dxa" w:w="60"/>
            </w:tcMar>
            <w:vAlign w:val="center"/>
          </w:tcPr>
          <w:p>
            <w:pPr>
              <w:spacing w:after="0"/>
              <w:jc w:val="left"/>
            </w:pPr>
            <w:r>
              <w:rPr>
                <w:b/>
                <w:bCs/>
                <w:sz w:val="18"/>
                <w:szCs w:val="18"/>
              </w:rPr>
              <w:t xml:space="preserve">Waits and thresholds</w:t>
            </w:r>
          </w:p>
        </w:tc>
        <w:tc>
          <w:tcPr>
            <w:tcW w:type="dxa" w:w="1792"/>
            <w:tcBorders>
              <w:top w:val="single" w:color="000000" w:sz="6"/>
              <w:left w:val="none" w:color="FFFFFF" w:sz="0"/>
              <w:bottom w:val="single" w:color="000000" w:sz="6"/>
              <w:right w:val="none" w:color="FFFFFF" w:sz="0"/>
            </w:tcBorders>
            <w:shd w:fill="D2D2D2" w:val="clear"/>
            <w:tcMar>
              <w:top w:type="dxa" w:w="40"/>
              <w:left w:type="dxa" w:w="60"/>
              <w:bottom w:type="dxa" w:w="40"/>
              <w:right w:type="dxa" w:w="60"/>
            </w:tcMar>
            <w:vAlign w:val="center"/>
          </w:tcPr>
          <w:p>
            <w:pPr>
              <w:spacing w:after="0"/>
              <w:jc w:val="left"/>
            </w:pPr>
            <w:r>
              <w:rPr>
                <w:b/>
                <w:bCs/>
                <w:sz w:val="18"/>
                <w:szCs w:val="18"/>
              </w:rPr>
              <w:t xml:space="preserve">Caps on quantity</w:t>
            </w:r>
          </w:p>
        </w:tc>
        <w:tc>
          <w:tcPr>
            <w:tcW w:type="dxa" w:w="1739"/>
            <w:tcBorders>
              <w:top w:val="single" w:color="000000" w:sz="6"/>
              <w:left w:val="none" w:color="FFFFFF" w:sz="0"/>
              <w:bottom w:val="single" w:color="000000" w:sz="6"/>
              <w:right w:val="none" w:color="FFFFFF" w:sz="0"/>
            </w:tcBorders>
            <w:shd w:fill="D2D2D2" w:val="clear"/>
            <w:tcMar>
              <w:top w:type="dxa" w:w="40"/>
              <w:left w:type="dxa" w:w="60"/>
              <w:bottom w:type="dxa" w:w="40"/>
              <w:right w:type="dxa" w:w="60"/>
            </w:tcMar>
            <w:vAlign w:val="center"/>
          </w:tcPr>
          <w:p>
            <w:pPr>
              <w:spacing w:after="0"/>
              <w:jc w:val="left"/>
            </w:pPr>
            <w:r>
              <w:rPr>
                <w:b/>
                <w:bCs/>
                <w:sz w:val="18"/>
                <w:szCs w:val="18"/>
              </w:rPr>
              <w:t xml:space="preserve">Licence</w:t>
            </w:r>
          </w:p>
        </w:tc>
      </w:tr>
      <w:tr>
        <w:trPr>
          <w:tblHeader w:val="false"/>
        </w:trPr>
        <w:tc>
          <w:tcPr>
            <w:tcW w:type="dxa" w:w="1474"/>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18"/>
                <w:szCs w:val="18"/>
              </w:rPr>
              <w:t xml:space="preserve">North Carolina (1999-2009)</w:t>
            </w:r>
          </w:p>
        </w:tc>
        <w:tc>
          <w:tcPr>
            <w:tcW w:type="dxa" w:w="2275"/>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18"/>
                <w:szCs w:val="18"/>
              </w:rPr>
              <w:t xml:space="preserve">Full pension and full salary</w:t>
            </w:r>
          </w:p>
        </w:tc>
        <w:tc>
          <w:tcPr>
            <w:tcW w:type="dxa" w:w="1792"/>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18"/>
                <w:szCs w:val="18"/>
              </w:rPr>
              <w:t xml:space="preserve">First year only</w:t>
            </w:r>
          </w:p>
        </w:tc>
        <w:tc>
          <w:tcPr>
            <w:tcW w:type="dxa" w:w="1792"/>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18"/>
                <w:szCs w:val="18"/>
              </w:rPr>
              <w:t xml:space="preserve">None</w:t>
            </w:r>
          </w:p>
        </w:tc>
        <w:tc>
          <w:tcPr>
            <w:tcW w:type="dxa" w:w="1739"/>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18"/>
                <w:szCs w:val="18"/>
              </w:rPr>
              <w:t xml:space="preserve">Match required in year one</w:t>
            </w:r>
          </w:p>
        </w:tc>
      </w:tr>
      <w:tr>
        <w:trPr>
          <w:tblHeader w:val="false"/>
        </w:trPr>
        <w:tc>
          <w:tcPr>
            <w:tcW w:type="dxa" w:w="1474"/>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18"/>
                <w:szCs w:val="18"/>
              </w:rPr>
              <w:t xml:space="preserve">Georgia</w:t>
            </w:r>
          </w:p>
        </w:tc>
        <w:tc>
          <w:tcPr>
            <w:tcW w:type="dxa" w:w="2275"/>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18"/>
                <w:szCs w:val="18"/>
              </w:rPr>
              <w:t xml:space="preserve">Full pension plus scheduled salary</w:t>
            </w:r>
          </w:p>
        </w:tc>
        <w:tc>
          <w:tcPr>
            <w:tcW w:type="dxa" w:w="1792"/>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18"/>
                <w:szCs w:val="18"/>
              </w:rPr>
              <w:t xml:space="preserve">One year; 30 years' service; high-need subjects</w:t>
            </w:r>
          </w:p>
        </w:tc>
        <w:tc>
          <w:tcPr>
            <w:tcW w:type="dxa" w:w="1792"/>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18"/>
                <w:szCs w:val="18"/>
              </w:rPr>
              <w:t xml:space="preserve">Full-time only</w:t>
            </w:r>
          </w:p>
        </w:tc>
        <w:tc>
          <w:tcPr>
            <w:tcW w:type="dxa" w:w="1739"/>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18"/>
                <w:szCs w:val="18"/>
              </w:rPr>
              <w:t xml:space="preserve">Certification required</w:t>
            </w:r>
          </w:p>
        </w:tc>
      </w:tr>
      <w:tr>
        <w:trPr>
          <w:tblHeader w:val="false"/>
        </w:trPr>
        <w:tc>
          <w:tcPr>
            <w:tcW w:type="dxa" w:w="1474"/>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18"/>
                <w:szCs w:val="18"/>
              </w:rPr>
              <w:t xml:space="preserve">Virginia</w:t>
            </w:r>
          </w:p>
        </w:tc>
        <w:tc>
          <w:tcPr>
            <w:tcW w:type="dxa" w:w="2275"/>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18"/>
                <w:szCs w:val="18"/>
              </w:rPr>
              <w:t xml:space="preserve">Pension plus salary in shortage posts</w:t>
            </w:r>
          </w:p>
        </w:tc>
        <w:tc>
          <w:tcPr>
            <w:tcW w:type="dxa" w:w="1792"/>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18"/>
                <w:szCs w:val="18"/>
              </w:rPr>
              <w:t xml:space="preserve">Six months; sunset 2028</w:t>
            </w:r>
          </w:p>
        </w:tc>
        <w:tc>
          <w:tcPr>
            <w:tcW w:type="dxa" w:w="1792"/>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18"/>
                <w:szCs w:val="18"/>
              </w:rPr>
              <w:t xml:space="preserve">Full-time posts</w:t>
            </w:r>
          </w:p>
        </w:tc>
        <w:tc>
          <w:tcPr>
            <w:tcW w:type="dxa" w:w="1739"/>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18"/>
                <w:szCs w:val="18"/>
              </w:rPr>
              <w:t xml:space="preserve">Renewal fast-tracked since 2022</w:t>
            </w:r>
          </w:p>
        </w:tc>
      </w:tr>
      <w:tr>
        <w:trPr>
          <w:tblHeader w:val="false"/>
        </w:trPr>
        <w:tc>
          <w:tcPr>
            <w:tcW w:type="dxa" w:w="1474"/>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18"/>
                <w:szCs w:val="18"/>
              </w:rPr>
              <w:t xml:space="preserve">New Mexico</w:t>
            </w:r>
          </w:p>
        </w:tc>
        <w:tc>
          <w:tcPr>
            <w:tcW w:type="dxa" w:w="2275"/>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18"/>
                <w:szCs w:val="18"/>
              </w:rPr>
              <w:t xml:space="preserve">Pension kept; no limits on the main route</w:t>
            </w:r>
          </w:p>
        </w:tc>
        <w:tc>
          <w:tcPr>
            <w:tcW w:type="dxa" w:w="1792"/>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18"/>
                <w:szCs w:val="18"/>
              </w:rPr>
              <w:t xml:space="preserve">90-day layout; board approval</w:t>
            </w:r>
          </w:p>
        </w:tc>
        <w:tc>
          <w:tcPr>
            <w:tcW w:type="dxa" w:w="1792"/>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18"/>
                <w:szCs w:val="18"/>
              </w:rPr>
              <w:t xml:space="preserve">By route, up to none</w:t>
            </w:r>
          </w:p>
        </w:tc>
        <w:tc>
          <w:tcPr>
            <w:tcW w:type="dxa" w:w="1739"/>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18"/>
                <w:szCs w:val="18"/>
              </w:rPr>
              <w:t xml:space="preserve">—</w:t>
            </w:r>
          </w:p>
        </w:tc>
      </w:tr>
      <w:tr>
        <w:trPr>
          <w:tblHeader w:val="false"/>
        </w:trPr>
        <w:tc>
          <w:tcPr>
            <w:tcW w:type="dxa" w:w="1474"/>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18"/>
                <w:szCs w:val="18"/>
              </w:rPr>
              <w:t xml:space="preserve">Michigan</w:t>
            </w:r>
          </w:p>
        </w:tc>
        <w:tc>
          <w:tcPr>
            <w:tcW w:type="dxa" w:w="2275"/>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18"/>
                <w:szCs w:val="18"/>
              </w:rPr>
              <w:t xml:space="preserve">Pension kept</w:t>
            </w:r>
          </w:p>
        </w:tc>
        <w:tc>
          <w:tcPr>
            <w:tcW w:type="dxa" w:w="1792"/>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18"/>
                <w:szCs w:val="18"/>
              </w:rPr>
              <w:t xml:space="preserve">Six months</w:t>
            </w:r>
          </w:p>
        </w:tc>
        <w:tc>
          <w:tcPr>
            <w:tcW w:type="dxa" w:w="1792"/>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18"/>
                <w:szCs w:val="18"/>
              </w:rPr>
              <w:t xml:space="preserve">None after the wait</w:t>
            </w:r>
          </w:p>
        </w:tc>
        <w:tc>
          <w:tcPr>
            <w:tcW w:type="dxa" w:w="1739"/>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18"/>
                <w:szCs w:val="18"/>
              </w:rPr>
              <w:t xml:space="preserve">—</w:t>
            </w:r>
          </w:p>
        </w:tc>
      </w:tr>
      <w:tr>
        <w:trPr>
          <w:tblHeader w:val="false"/>
        </w:trPr>
        <w:tc>
          <w:tcPr>
            <w:tcW w:type="dxa" w:w="1474"/>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18"/>
                <w:szCs w:val="18"/>
              </w:rPr>
              <w:t xml:space="preserve">Louisiana</w:t>
            </w:r>
          </w:p>
        </w:tc>
        <w:tc>
          <w:tcPr>
            <w:tcW w:type="dxa" w:w="2275"/>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18"/>
                <w:szCs w:val="18"/>
              </w:rPr>
              <w:t xml:space="preserve">Pension kept in shortage posts</w:t>
            </w:r>
          </w:p>
        </w:tc>
        <w:tc>
          <w:tcPr>
            <w:tcW w:type="dxa" w:w="1792"/>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18"/>
                <w:szCs w:val="18"/>
              </w:rPr>
              <w:t xml:space="preserve">12 months; fewer than three applicants</w:t>
            </w:r>
          </w:p>
        </w:tc>
        <w:tc>
          <w:tcPr>
            <w:tcW w:type="dxa" w:w="1792"/>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18"/>
                <w:szCs w:val="18"/>
              </w:rPr>
              <w:t xml:space="preserve">50% of final pay elsewhere</w:t>
            </w:r>
          </w:p>
        </w:tc>
        <w:tc>
          <w:tcPr>
            <w:tcW w:type="dxa" w:w="1739"/>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18"/>
                <w:szCs w:val="18"/>
              </w:rPr>
              <w:t xml:space="preserve">General certification only</w:t>
            </w:r>
          </w:p>
        </w:tc>
      </w:tr>
      <w:tr>
        <w:trPr>
          <w:tblHeader w:val="false"/>
        </w:trPr>
        <w:tc>
          <w:tcPr>
            <w:tcW w:type="dxa" w:w="1474"/>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18"/>
                <w:szCs w:val="18"/>
              </w:rPr>
              <w:t xml:space="preserve">France</w:t>
            </w:r>
          </w:p>
        </w:tc>
        <w:tc>
          <w:tcPr>
            <w:tcW w:type="dxa" w:w="2275"/>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18"/>
                <w:szCs w:val="18"/>
              </w:rPr>
              <w:t xml:space="preserve">Ceiling unless full-cumul conditions met</w:t>
            </w:r>
          </w:p>
        </w:tc>
        <w:tc>
          <w:tcPr>
            <w:tcW w:type="dxa" w:w="1792"/>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18"/>
                <w:szCs w:val="18"/>
              </w:rPr>
              <w:t xml:space="preserve">Six months with the last employer</w:t>
            </w:r>
          </w:p>
        </w:tc>
        <w:tc>
          <w:tcPr>
            <w:tcW w:type="dxa" w:w="1792"/>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18"/>
                <w:szCs w:val="18"/>
              </w:rPr>
              <w:t xml:space="preserve">Earnings ceiling</w:t>
            </w:r>
          </w:p>
        </w:tc>
        <w:tc>
          <w:tcPr>
            <w:tcW w:type="dxa" w:w="1739"/>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18"/>
                <w:szCs w:val="18"/>
              </w:rPr>
              <w:t xml:space="preserve">—</w:t>
            </w:r>
          </w:p>
        </w:tc>
      </w:tr>
      <w:tr>
        <w:trPr>
          <w:tblHeader w:val="false"/>
        </w:trPr>
        <w:tc>
          <w:tcPr>
            <w:tcW w:type="dxa" w:w="1474"/>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18"/>
                <w:szCs w:val="18"/>
              </w:rPr>
              <w:t xml:space="preserve">England</w:t>
            </w:r>
          </w:p>
        </w:tc>
        <w:tc>
          <w:tcPr>
            <w:tcW w:type="dxa" w:w="2275"/>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18"/>
                <w:szCs w:val="18"/>
              </w:rPr>
              <w:t xml:space="preserve">Abatement of final-salary benefits only</w:t>
            </w:r>
          </w:p>
        </w:tc>
        <w:tc>
          <w:tcPr>
            <w:tcW w:type="dxa" w:w="1792"/>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18"/>
                <w:szCs w:val="18"/>
              </w:rPr>
              <w:t xml:space="preserve">—</w:t>
            </w:r>
          </w:p>
        </w:tc>
        <w:tc>
          <w:tcPr>
            <w:tcW w:type="dxa" w:w="1792"/>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18"/>
                <w:szCs w:val="18"/>
              </w:rPr>
              <w:t xml:space="preserve">Earnings limit</w:t>
            </w:r>
          </w:p>
        </w:tc>
        <w:tc>
          <w:tcPr>
            <w:tcW w:type="dxa" w:w="1739"/>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18"/>
                <w:szCs w:val="18"/>
              </w:rPr>
              <w:t xml:space="preserve">—</w:t>
            </w:r>
          </w:p>
        </w:tc>
      </w:tr>
      <w:tr>
        <w:trPr>
          <w:tblHeader w:val="false"/>
        </w:trPr>
        <w:tc>
          <w:tcPr>
            <w:tcW w:type="dxa" w:w="1474"/>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18"/>
                <w:szCs w:val="18"/>
              </w:rPr>
              <w:t xml:space="preserve">Ontario</w:t>
            </w:r>
          </w:p>
        </w:tc>
        <w:tc>
          <w:tcPr>
            <w:tcW w:type="dxa" w:w="2275"/>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18"/>
                <w:szCs w:val="18"/>
              </w:rPr>
              <w:t xml:space="preserve">Pension kept within the cap</w:t>
            </w:r>
          </w:p>
        </w:tc>
        <w:tc>
          <w:tcPr>
            <w:tcW w:type="dxa" w:w="1792"/>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18"/>
                <w:szCs w:val="18"/>
              </w:rPr>
              <w:t xml:space="preserve">—</w:t>
            </w:r>
          </w:p>
        </w:tc>
        <w:tc>
          <w:tcPr>
            <w:tcW w:type="dxa" w:w="1792"/>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18"/>
                <w:szCs w:val="18"/>
              </w:rPr>
              <w:t xml:space="preserve">50 days a school year</w:t>
            </w:r>
          </w:p>
        </w:tc>
        <w:tc>
          <w:tcPr>
            <w:tcW w:type="dxa" w:w="1739"/>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18"/>
                <w:szCs w:val="18"/>
              </w:rPr>
              <w:t xml:space="preserve">—</w:t>
            </w:r>
          </w:p>
        </w:tc>
      </w:tr>
      <w:tr>
        <w:trPr>
          <w:tblHeader w:val="false"/>
        </w:trPr>
        <w:tc>
          <w:tcPr>
            <w:tcW w:type="dxa" w:w="1474"/>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18"/>
                <w:szCs w:val="18"/>
              </w:rPr>
              <w:t xml:space="preserve">Austria</w:t>
            </w:r>
          </w:p>
        </w:tc>
        <w:tc>
          <w:tcPr>
            <w:tcW w:type="dxa" w:w="2275"/>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18"/>
                <w:szCs w:val="18"/>
              </w:rPr>
              <w:t xml:space="preserve">Pension plus entry salary for ex-civil-servants</w:t>
            </w:r>
          </w:p>
        </w:tc>
        <w:tc>
          <w:tcPr>
            <w:tcW w:type="dxa" w:w="1792"/>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18"/>
                <w:szCs w:val="18"/>
              </w:rPr>
              <w:t xml:space="preserve">—</w:t>
            </w:r>
          </w:p>
        </w:tc>
        <w:tc>
          <w:tcPr>
            <w:tcW w:type="dxa" w:w="1792"/>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18"/>
                <w:szCs w:val="18"/>
              </w:rPr>
              <w:t xml:space="preserve">Early pension lost above the earnings floor</w:t>
            </w:r>
          </w:p>
        </w:tc>
        <w:tc>
          <w:tcPr>
            <w:tcW w:type="dxa" w:w="1739"/>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18"/>
                <w:szCs w:val="18"/>
              </w:rPr>
              <w:t xml:space="preserve">—</w:t>
            </w:r>
          </w:p>
        </w:tc>
      </w:tr>
      <w:tr>
        <w:trPr>
          <w:tblHeader w:val="false"/>
        </w:trPr>
        <w:tc>
          <w:tcPr>
            <w:tcW w:type="dxa" w:w="1474"/>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18"/>
                <w:szCs w:val="18"/>
              </w:rPr>
              <w:t xml:space="preserve">Portugal</w:t>
            </w:r>
          </w:p>
        </w:tc>
        <w:tc>
          <w:tcPr>
            <w:tcW w:type="dxa" w:w="2275"/>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18"/>
                <w:szCs w:val="18"/>
              </w:rPr>
              <w:t xml:space="preserve">Pension plus first-step pay, pro-rated</w:t>
            </w:r>
          </w:p>
        </w:tc>
        <w:tc>
          <w:tcPr>
            <w:tcW w:type="dxa" w:w="1792"/>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18"/>
                <w:szCs w:val="18"/>
              </w:rPr>
              <w:t xml:space="preserve">Retired five years or less; annual quota</w:t>
            </w:r>
          </w:p>
        </w:tc>
        <w:tc>
          <w:tcPr>
            <w:tcW w:type="dxa" w:w="1792"/>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18"/>
                <w:szCs w:val="18"/>
              </w:rPr>
              <w:t xml:space="preserve">By teaching hours</w:t>
            </w:r>
          </w:p>
        </w:tc>
        <w:tc>
          <w:tcPr>
            <w:tcW w:type="dxa" w:w="1739"/>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18"/>
                <w:szCs w:val="18"/>
              </w:rPr>
              <w:t xml:space="preserve">—</w:t>
            </w:r>
          </w:p>
        </w:tc>
      </w:tr>
      <w:tr>
        <w:trPr>
          <w:tblHeader w:val="false"/>
        </w:trPr>
        <w:tc>
          <w:tcPr>
            <w:tcW w:type="dxa" w:w="1474"/>
            <w:tcBorders>
              <w:top w:val="none" w:color="FFFFFF" w:sz="0"/>
              <w:left w:val="none" w:color="FFFFFF" w:sz="0"/>
              <w:bottom w:val="single" w:color="000000" w:sz="6"/>
              <w:right w:val="none" w:color="FFFFFF" w:sz="0"/>
            </w:tcBorders>
            <w:tcMar>
              <w:top w:type="dxa" w:w="40"/>
              <w:left w:type="dxa" w:w="60"/>
              <w:bottom w:type="dxa" w:w="40"/>
              <w:right w:type="dxa" w:w="60"/>
            </w:tcMar>
            <w:vAlign w:val="center"/>
          </w:tcPr>
          <w:p>
            <w:pPr>
              <w:spacing w:after="0"/>
              <w:jc w:val="left"/>
            </w:pPr>
            <w:r>
              <w:rPr>
                <w:sz w:val="18"/>
                <w:szCs w:val="18"/>
              </w:rPr>
              <w:t xml:space="preserve">New Zealand</w:t>
            </w:r>
          </w:p>
        </w:tc>
        <w:tc>
          <w:tcPr>
            <w:tcW w:type="dxa" w:w="2275"/>
            <w:tcBorders>
              <w:top w:val="none" w:color="FFFFFF" w:sz="0"/>
              <w:left w:val="none" w:color="FFFFFF" w:sz="0"/>
              <w:bottom w:val="single" w:color="000000" w:sz="6"/>
              <w:right w:val="none" w:color="FFFFFF" w:sz="0"/>
            </w:tcBorders>
            <w:tcMar>
              <w:top w:type="dxa" w:w="40"/>
              <w:left w:type="dxa" w:w="60"/>
              <w:bottom w:type="dxa" w:w="40"/>
              <w:right w:type="dxa" w:w="60"/>
            </w:tcMar>
            <w:vAlign w:val="center"/>
          </w:tcPr>
          <w:p>
            <w:pPr>
              <w:spacing w:after="0"/>
              <w:jc w:val="left"/>
            </w:pPr>
            <w:r>
              <w:rPr>
                <w:sz w:val="18"/>
                <w:szCs w:val="18"/>
              </w:rPr>
              <w:t xml:space="preserve">—</w:t>
            </w:r>
          </w:p>
        </w:tc>
        <w:tc>
          <w:tcPr>
            <w:tcW w:type="dxa" w:w="1792"/>
            <w:tcBorders>
              <w:top w:val="none" w:color="FFFFFF" w:sz="0"/>
              <w:left w:val="none" w:color="FFFFFF" w:sz="0"/>
              <w:bottom w:val="single" w:color="000000" w:sz="6"/>
              <w:right w:val="none" w:color="FFFFFF" w:sz="0"/>
            </w:tcBorders>
            <w:tcMar>
              <w:top w:type="dxa" w:w="40"/>
              <w:left w:type="dxa" w:w="60"/>
              <w:bottom w:type="dxa" w:w="40"/>
              <w:right w:type="dxa" w:w="60"/>
            </w:tcMar>
            <w:vAlign w:val="center"/>
          </w:tcPr>
          <w:p>
            <w:pPr>
              <w:spacing w:after="0"/>
              <w:jc w:val="left"/>
            </w:pPr>
            <w:r>
              <w:rPr>
                <w:sz w:val="18"/>
                <w:szCs w:val="18"/>
              </w:rPr>
              <w:t xml:space="preserve">—</w:t>
            </w:r>
          </w:p>
        </w:tc>
        <w:tc>
          <w:tcPr>
            <w:tcW w:type="dxa" w:w="1792"/>
            <w:tcBorders>
              <w:top w:val="none" w:color="FFFFFF" w:sz="0"/>
              <w:left w:val="none" w:color="FFFFFF" w:sz="0"/>
              <w:bottom w:val="single" w:color="000000" w:sz="6"/>
              <w:right w:val="none" w:color="FFFFFF" w:sz="0"/>
            </w:tcBorders>
            <w:tcMar>
              <w:top w:type="dxa" w:w="40"/>
              <w:left w:type="dxa" w:w="60"/>
              <w:bottom w:type="dxa" w:w="40"/>
              <w:right w:type="dxa" w:w="60"/>
            </w:tcMar>
            <w:vAlign w:val="center"/>
          </w:tcPr>
          <w:p>
            <w:pPr>
              <w:spacing w:after="0"/>
              <w:jc w:val="left"/>
            </w:pPr>
            <w:r>
              <w:rPr>
                <w:sz w:val="18"/>
                <w:szCs w:val="18"/>
              </w:rPr>
              <w:t xml:space="preserve">20 half-days without a certificate</w:t>
            </w:r>
          </w:p>
        </w:tc>
        <w:tc>
          <w:tcPr>
            <w:tcW w:type="dxa" w:w="1739"/>
            <w:tcBorders>
              <w:top w:val="none" w:color="FFFFFF" w:sz="0"/>
              <w:left w:val="none" w:color="FFFFFF" w:sz="0"/>
              <w:bottom w:val="single" w:color="000000" w:sz="6"/>
              <w:right w:val="none" w:color="FFFFFF" w:sz="0"/>
            </w:tcBorders>
            <w:tcMar>
              <w:top w:type="dxa" w:w="40"/>
              <w:left w:type="dxa" w:w="60"/>
              <w:bottom w:type="dxa" w:w="40"/>
              <w:right w:type="dxa" w:w="60"/>
            </w:tcMar>
            <w:vAlign w:val="center"/>
          </w:tcPr>
          <w:p>
            <w:pPr>
              <w:spacing w:after="0"/>
              <w:jc w:val="left"/>
            </w:pPr>
            <w:r>
              <w:rPr>
                <w:sz w:val="18"/>
                <w:szCs w:val="18"/>
              </w:rPr>
              <w:t xml:space="preserve">Refresh waived with a job offer</w:t>
            </w:r>
          </w:p>
        </w:tc>
      </w:tr>
    </w:tbl>
    <w:p>
      <w:pPr>
        <w:spacing w:after="120"/>
      </w:pPr>
    </w:p>
    <w:p>
      <w:pPr>
        <w:spacing w:after="60"/>
        <w:jc w:val="left"/>
      </w:pPr>
      <w:r>
        <w:rPr>
          <w:sz w:val="18"/>
          <w:szCs w:val="18"/>
        </w:rPr>
        <w:t xml:space="preserve">Note: "—" indicates no provision specific to returners in the sources consulted. The table records rule design, not effect.</w:t>
      </w:r>
    </w:p>
    <w:p>
      <w:pPr>
        <w:spacing w:after="60"/>
        <w:jc w:val="left"/>
      </w:pPr>
      <w:r>
        <w:rPr>
          <w:sz w:val="18"/>
          <w:szCs w:val="18"/>
        </w:rPr>
        <w:t xml:space="preserve">Source: As cited for each system in Sections 3.1 and 3.2.</w:t>
      </w:r>
    </w:p>
    <w:p>
      <w:pPr>
        <w:spacing w:after="160" w:line="264" w:lineRule="auto"/>
        <w:jc w:val="both"/>
      </w:pPr>
      <w:r>
        <w:rPr>
          <w:b/>
          <w:bCs/>
        </w:rPr>
        <w:t xml:space="preserve">Georgia.</w:t>
      </w:r>
      <w:r>
        <w:t xml:space="preserve"> Georgia (United States) employs about 125 000 teachers and reported roughly 6 000 vacant or not-fully-certified positions when its legislature acted in 2022 (Georgia Department of Audits and Accounts, 2025). House Bill 385, codified at O.C.G.A. § 47-3-127.1, allows a certified teacher retired for at least a year, with at least 30 years of creditable service, to work full-time on a full pension, provided the post lies in one of the three highest-need content areas of the employer's regional education service agency as determined annually from five-year vacancy surveys; the employer pays both the employer and the employee pension contribution, and the returner accrues no further service. The statute set an expiry date and commissioned a performance audit before it. That audit counted 635 retired teachers working full-time under the law for at least one school year between fiscal years 2023 and 2025, in 133 of about 240 school systems, roughly 350 in any given year and under 1% of the workforce (Georgia Department of Audits and Accounts, 2025). Its method combined administrative pension and personnel records with a comparison of 12 other southern states and a census survey of school systems, to which 163 of 236 responded, a response rate the auditors say should not be generalised to the population. Although it judged the effect on the shortage and on the pension fund alike to be minimal, the audit also reported that 45% of responding systems had been stopped from making a hire by the statutory conditions, whereas 63% of non-users could not find candidates both willing to work full-time and meeting the criteria. The case supports the finding that stacked eligibility screens hold take-up down; it cannot show what a looser design would have produced, since no counterfactual and no actuarial study of the alternative exists. Box 1 sets out how the statute, the audit and the renewal decision followed one another.</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9072"/>
      </w:tblGrid>
      <w:tr>
        <w:tc>
          <w:tcPr>
            <w:tcW w:type="dxa" w:w="9072"/>
            <w:tcBorders>
              <w:top w:val="single" w:color="4E81BD" w:sz="6"/>
              <w:left w:val="single" w:color="4E81BD" w:sz="6"/>
              <w:bottom w:val="single" w:color="4E81BD" w:sz="6"/>
              <w:right w:val="single" w:color="4E81BD" w:sz="6"/>
            </w:tcBorders>
            <w:shd w:fill="EEECE1" w:val="clear"/>
            <w:tcMar>
              <w:top w:type="dxa" w:w="160"/>
              <w:left w:type="dxa" w:w="200"/>
              <w:bottom w:type="dxa" w:w="120"/>
              <w:right w:type="dxa" w:w="200"/>
            </w:tcMar>
          </w:tcPr>
          <w:p>
            <w:pPr>
              <w:spacing w:after="140"/>
            </w:pPr>
            <w:r>
              <w:rPr>
                <w:b/>
                <w:bCs/>
                <w:color w:val="4E81BD"/>
                <w:sz w:val="23"/>
                <w:szCs w:val="23"/>
              </w:rPr>
              <w:t xml:space="preserve">Box 1. A statutory audit loop in Georgia (United States)</w:t>
            </w:r>
          </w:p>
          <w:p>
            <w:pPr>
              <w:spacing w:after="120" w:line="252" w:lineRule="auto"/>
              <w:jc w:val="both"/>
            </w:pPr>
            <w:r>
              <w:rPr>
                <w:sz w:val="22"/>
                <w:szCs w:val="22"/>
              </w:rPr>
              <w:t xml:space="preserve">House Bill 385 of 2022 combined in one law the re-employment rule itself, an expiry date of 30 June 2026 and a duty on the state auditor to examine the programme before that date. The audit, published in April 2025, reported the take-up counts and employer survey summarised in the text, noted that return-to-work laws may induce earlier retirement, and recommended an actuarial study before any loosening and repairs to the annual survey that identifies high-need subjects. It also recorded that the State Auditor sits ex officio on the board of the teachers' retirement system.</w:t>
            </w:r>
          </w:p>
          <w:p>
            <w:pPr>
              <w:spacing w:after="120" w:line="252" w:lineRule="auto"/>
              <w:jc w:val="both"/>
            </w:pPr>
            <w:r>
              <w:rPr>
                <w:sz w:val="22"/>
                <w:szCs w:val="22"/>
              </w:rPr>
              <w:t xml:space="preserve">The legislature then decided with that evidence on the table. Senate Bill 150, as introduced in February 2025, would have extended the programme to 2034, cut the service threshold to 25 years and the wait to 60 days. The House substitute restored the 30-year threshold, extended the programme to 2030 and moved the determination of high-need areas from the regional agency to each school system. It was signed on 5 May 2026 and took effect on 1 July 2026.</w:t>
            </w:r>
          </w:p>
          <w:p>
            <w:pPr>
              <w:spacing w:after="40"/>
            </w:pPr>
            <w:r>
              <w:rPr>
                <w:sz w:val="18"/>
                <w:szCs w:val="18"/>
              </w:rPr>
              <w:t xml:space="preserve">Source: Georgia Department of Audits and Accounts (2025); Office of the Governor of Georgia (2026); PAGE (2026); Teachers Retirement System of Georgia (2026).</w:t>
            </w:r>
          </w:p>
        </w:tc>
      </w:tr>
    </w:tbl>
    <w:p>
      <w:pPr>
        <w:spacing w:after="160"/>
      </w:pPr>
    </w:p>
    <w:p>
      <w:pPr>
        <w:spacing w:after="160" w:line="264" w:lineRule="auto"/>
        <w:jc w:val="both"/>
      </w:pPr>
      <w:r>
        <w:rPr>
          <w:b/>
          <w:bCs/>
        </w:rPr>
        <w:t xml:space="preserve">Virginia.</w:t>
      </w:r>
      <w:r>
        <w:t xml:space="preserve"> Virginia (United States) has allowed retirees to draw salary and pension concurrently in designated critical-shortage posts since 2001, when the twelve-month break in service was set after analysis by the retirement system, the legislature's audit commission and their actuaries (Virginia Retirement System, 2026). The licence side was moved administratively rather than by statute. Executive Directive Three, signed on 1 September 2022, instructed the Superintendent of Public Instruction to use all discretion within law to issue teaching and renewal licences, including to teachers licensed in another state and retired teachers whose licences may have lapsed (Commonwealth of Virginia, 2022; SwailLandis, 2023). No count exists of licences issued under that instruction to returners with lapsed licences, and the statutory follow-through went to the adjacent margin, with universal licensure by reciprocity legislated in 2024 and 4 535 such licences granted to currently licensed teachers from other states (Virginia Department of Education, 2025). What Virginia does count is the wait. After the break in service for critical-shortage teacher posts was halved to six months in 2023, the retirement system recorded 107 retirees in such posts in 2022/23 and 154 by late October 2023, against 18 at the equivalent point of the previous year, and summarised the episode as a general doubling of returns (Virginia Retirement System, 2023; Virginia Retirement System, 2026). The case supports treating a lapsed licence as a discretionary administrative obstacle rather than a legal one, and the wait is the parameter whose movement shows up in the counts. It cannot support attributing the decline in the state's vacancy rate to either instrument, nor reading the reciprocity licences as returners, since they describe currently licensed teachers from elsewhere. Box 2 sets out how the retirement system priced a shorter wait.</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9072"/>
      </w:tblGrid>
      <w:tr>
        <w:tc>
          <w:tcPr>
            <w:tcW w:type="dxa" w:w="9072"/>
            <w:tcBorders>
              <w:top w:val="single" w:color="4E81BD" w:sz="6"/>
              <w:left w:val="single" w:color="4E81BD" w:sz="6"/>
              <w:bottom w:val="single" w:color="4E81BD" w:sz="6"/>
              <w:right w:val="single" w:color="4E81BD" w:sz="6"/>
            </w:tcBorders>
            <w:shd w:fill="EEECE1" w:val="clear"/>
            <w:tcMar>
              <w:top w:type="dxa" w:w="160"/>
              <w:left w:type="dxa" w:w="200"/>
              <w:bottom w:type="dxa" w:w="120"/>
              <w:right w:type="dxa" w:w="200"/>
            </w:tcMar>
          </w:tcPr>
          <w:p>
            <w:pPr>
              <w:spacing w:after="140"/>
            </w:pPr>
            <w:r>
              <w:rPr>
                <w:b/>
                <w:bCs/>
                <w:color w:val="4E81BD"/>
                <w:sz w:val="23"/>
                <w:szCs w:val="23"/>
              </w:rPr>
              <w:t xml:space="preserve">Box 2. Pricing a shorter waiting period in Virginia (United States)</w:t>
            </w:r>
          </w:p>
          <w:p>
            <w:pPr>
              <w:spacing w:after="120" w:line="252" w:lineRule="auto"/>
              <w:jc w:val="both"/>
            </w:pPr>
            <w:r>
              <w:rPr>
                <w:sz w:val="22"/>
                <w:szCs w:val="22"/>
              </w:rPr>
              <w:t xml:space="preserve">House Bill 1306 of 2026 would have cut the break in service for retired teachers from six months to one. The retirement system's fiscal impact statement observed that credible data on member behaviour under such programmes are lacking, and therefore assumed that every member reaching unreduced eligibility would retire at the earliest permitted date, describing the resulting figures as a lower bound. On that assumption the teacher plan's unfunded liability would rise from USD 11.18 billion to USD 13.91 billion, an increase of USD 2.73 billion, and the employer contribution rate from 12.20% to 14.63% of payroll, about USD 290.8 million a year.</w:t>
            </w:r>
          </w:p>
          <w:p>
            <w:pPr>
              <w:spacing w:after="120" w:line="252" w:lineRule="auto"/>
              <w:jc w:val="both"/>
            </w:pPr>
            <w:r>
              <w:rPr>
                <w:sz w:val="22"/>
                <w:szCs w:val="22"/>
              </w:rPr>
              <w:t xml:space="preserve">The statement added the observation that matters most for re-entry policy, namely that the change "likely will not net additional active teachers but instead will reclassify a portion of the current active population", and that in a pooled plan the divisions using the route shift costs onto those that do not. House Appropriations struck the bill from the docket on 13 February 2026 by 22 votes to none.</w:t>
            </w:r>
          </w:p>
          <w:p>
            <w:pPr>
              <w:spacing w:after="40"/>
            </w:pPr>
            <w:r>
              <w:rPr>
                <w:sz w:val="18"/>
                <w:szCs w:val="18"/>
              </w:rPr>
              <w:t xml:space="preserve">Source: Virginia Retirement System (2026).</w:t>
            </w:r>
          </w:p>
        </w:tc>
      </w:tr>
    </w:tbl>
    <w:p>
      <w:pPr>
        <w:spacing w:after="160"/>
      </w:pPr>
    </w:p>
    <w:p>
      <w:pPr>
        <w:spacing w:after="160" w:line="264" w:lineRule="auto"/>
        <w:jc w:val="both"/>
      </w:pPr>
      <w:r>
        <w:rPr>
          <w:b/>
          <w:bCs/>
        </w:rPr>
        <w:t xml:space="preserve">New Mexico.</w:t>
      </w:r>
      <w:r>
        <w:t xml:space="preserve"> The educational retirement system of New Mexico had 62 970 active members and 55 706 retirees and beneficiaries at 30 June 2024, and estimated when it legislated in 2022 that 12.9% of active members were already eligible to retire (New Mexico Educational Retirement Board, 2025b; New Mexico Legislative Finance Committee, 2022). House Bill 73 of 2022 and Senate Bill 133 of 2025 allow a retiree to work for any participating employer for up to 36 months, extended to 60 in 2025, with no limit on salary or hours and no suspension of the pension, subject to a 90-day layout, a prohibition on pre-arranged returns, board approval, and contributions that are not refunded and buy no further service credit (New Mexico Legislative Finance Committee, 2025). Participation on that route rose from 154 in fiscal 2023 to 361 in fiscal 2024 and 506 in fiscal 2025, reported by the pension board to a legislative oversight committee; across all four statutory routes, returners amount to under 6% of retirees and beneficiaries (New Mexico Educational Retirement Board, 2025b). No outcome evaluation exists. The legislature's finance committee has instead priced the design. It warned in 2022 that the route incentivises earlier retirement, observed that the companion bill for other public employees had closed that channel by restricting eligibility to those already retired on a fixed date, and costed the 2025 loosening at USD 2.22 million to USD 3.10 million a year in foregone contributions (New Mexico Legislative Finance Committee, 2022; 2025). The case shows what the most permissive design on record yields, and says nothing about posts filled, since the board counts participants rather than positions.</w:t>
      </w:r>
    </w:p>
    <w:p>
      <w:pPr>
        <w:spacing w:after="160" w:line="264" w:lineRule="auto"/>
        <w:jc w:val="both"/>
      </w:pPr>
      <w:r>
        <w:rPr>
          <w:b/>
          <w:bCs/>
        </w:rPr>
        <w:t xml:space="preserve">Michigan.</w:t>
      </w:r>
      <w:r>
        <w:t xml:space="preserve"> Michigan (United States) inherited its nine-month waiting period from anti-double-dipping rules adopted in 2010, and district leaders pressed on staffing grounds to have it relaxed. The state teachers' union supported the change, although it described retiree return as a temporary and limited solution (Michigan Education Association, 2023). Public Act 184 of 2022 replaced a patchwork of critical-shortage exceptions with two bright-line conditions, a bona fide termination and nine consecutive months in retirement, after which a retiree may hold any public-school position with no earnings limit and no loss of pension or insurance subsidy; Public Act 147 of 2023 cut the wait to six months, permitted up to USD 15 100 of earnings during it, and carries an expiry in October 2028 that leaves the underlying framework permanent (Michigan Office of Retirement Services, 2022; 2023). No official count of retirees working under either act has been published, since the state simplified the rule without building a reporting series around it. Michigan does hold the family's best measure of the problem. In the study of certificate-holders cited above, respondents who had previously taught were significantly more likely to select pension retention and salary as what would move them, whereas those who had never taught were the ones selecting a cheaper or easier route to certification and the availability of full-time posts (Lindsay, Gnedko-Berry and Wan, 2021). Clearing the licence obstacle is therefore necessary for people who have taught, though it is not by itself an inducement to them.</w:t>
      </w:r>
    </w:p>
    <w:p>
      <w:pPr>
        <w:spacing w:after="160" w:line="264" w:lineRule="auto"/>
        <w:jc w:val="both"/>
      </w:pPr>
      <w:r>
        <w:rPr>
          <w:b/>
          <w:bCs/>
        </w:rPr>
        <w:t xml:space="preserve">New Zealand.</w:t>
      </w:r>
      <w:r>
        <w:t xml:space="preserve"> Registration in New Zealand is administered by the Teaching Council of Aotearoa New Zealand, whose standard-setting functions passed to the Secretary for Education in July 2026 (New Zealand Ministry of Education, 2026b). Provisions under Schedule 3 of the Education and Training Act 2020 operate together. A registered teacher without a current practising certificate may undertake relief teaching for up to 20 half-days a calendar year, the Council may issue an Extension to Teach beyond that limit where the certificate has expired and an offer of employment exists, and a returner renewing a certificate with a relief-teaching offer in hand is not required to complete the Teacher Education Refresh programme however long the absence has been, and completes a future-ready teaching plan with the hiring principal instead (New Zealand Ministry of Education, 2026; New Zealand Legislation, 2020). Since July 2025 the government has also paid certificate fees and levies until 30 June 2028, a universal measure of NZD 53.3 million covering about 115 000 school and early-learning teachers rather than a subsidy aimed at returners (New Zealand Government, 2025b). No take-up has been published for any of these provisions, and the Council publishes no series of extensions granted or refresh exemptions. The design point the case supports is that a waiver keyed to an employer's offer converts the offer into the market test of whether a return is real, and that it can be written as a standing rule rather than an annual suspension.</w:t>
      </w:r>
    </w:p>
    <w:p>
      <w:pPr>
        <w:spacing w:after="160" w:line="264" w:lineRule="auto"/>
        <w:jc w:val="both"/>
      </w:pPr>
      <w:r>
        <w:rPr>
          <w:b/>
          <w:bCs/>
        </w:rPr>
        <w:t xml:space="preserve">Ireland.</w:t>
      </w:r>
      <w:r>
        <w:t xml:space="preserve"> Ireland renews its permission measures one year at a time. The Department reported 2.1% of 74 611 allocated posts unfilled in November 2024, called that level low, and presented the measures extended in the same announcement as short-term (Department of Education and Youth, 2025b). Chapter 7 of Circular 0054/2019 limits the substitute cover a teacher on career break or job-sharing may provide, and that limit has been suspended for each school year since 2021/22, for 2025/26 by Information Note TC/IN 0005/2025, alongside a scheme allowing post-primary teachers on full contracts up to 35 additional hours of substitution a term (Department of Education, 2019; Department of Education and Youth, 2025). No count of career-break teachers substituting has been published. Two features of the case travel beyond it. The population it activates is made up of temporary leavers who have not resigned, the cheapest reserve any system can reach; and because the suspension is renewed one year at a time, neither schools nor teachers can plan around it, a limitation the responsible minister acknowledged in describing the measures as not long-term solutions (Department of Education and Youth, 2025b).</w:t>
      </w:r>
    </w:p>
    <w:p>
      <w:pPr>
        <w:spacing w:after="160" w:line="264" w:lineRule="auto"/>
        <w:jc w:val="both"/>
      </w:pPr>
      <w:r>
        <w:rPr>
          <w:b/>
          <w:bCs/>
        </w:rPr>
        <w:t xml:space="preserve">France.</w:t>
      </w:r>
      <w:r>
        <w:t xml:space="preserve"> A career public-school teacher in France retires as a State civil servant, so the pension code rather than education law sets the terms of any re-employment, and no exception for teaching has been enacted. Under the Code des pensions civiles et militaires de retraite, a retiree who does not meet the conditions for unlimited concurrent earnings may earn EUR 8 198.04 plus one third of the gross pension in a calendar year, above which the excess is deducted from the pension, and new rights accrue only where those conditions are met and a six-month carence is observed when the return is to the last employer, which for a public-school teacher means the education ministry itself (Service des Retraites de l'État, 2026). From 1 January 2027 an age-based test replaces the full-rate criterion for new pensioners. No official aggregate of retired teachers re-employed by regional education authorities exists, and a Senate finance committee inquiry into replacement capacity, which documented unreplaced absences rising by 49% in primary and 93.2% in secondary schools between 2018 and 2024, published none (Sénat, 2025). A general anti-abuse architecture can therefore operate as an unlegislated charge on re-entry, and repeated parliamentary initiative has not changed it, since a bill creating a reserve of retired teachers for replacement duty, tabled in May 2024 and endorsed by that committee, has never been examined (Sénat, 2024).</w:t>
      </w:r>
    </w:p>
    <w:p>
      <w:pPr>
        <w:spacing w:after="160" w:line="264" w:lineRule="auto"/>
        <w:jc w:val="both"/>
      </w:pPr>
      <w:r>
        <w:rPr>
          <w:b/>
          <w:bCs/>
        </w:rPr>
        <w:t xml:space="preserve">Louisiana.</w:t>
      </w:r>
      <w:r>
        <w:t xml:space="preserve"> Louisiana (United States) screens shortage posts by a market test rather than by a subject list, and legislated its licence change inside a pension bill. Act 344 of 2026, in force from 1 July 2026, consolidates the return-to-work rules for all retirees of the teachers' retirement system and, on the permission margin, requires a retiree hired into a critical-shortage post to hold general teacher certification rather than certification in the shortage subject, adds further eligible areas including adult education and specialists for visually impaired students, and streamlines the advertising and certification steps through which an employer declares a shortage (Teachers' Retirement System of Louisiana, 2026). The underlying test requires the post to be advertised and fewer than three certified applicants to have applied, and the 2024 act that preceded it added an explicit priority for a certified applicant who is not a retiree (Louisiana Legislature, 2024). No take-up has been published, and the act was weeks old when the research for this paper closed. The case supports separating certification matching, an adjustable screen, from certification itself, and it shows that legislatures make licensing changes inside pension bills, where a reading of licensure statutes alone would miss them. It supports no outcome claim, and the first evidence instrument written into the act is an actuarial report due before the 2034 session.</w:t>
      </w:r>
    </w:p>
    <w:p>
      <w:pPr>
        <w:spacing w:after="160" w:line="264" w:lineRule="auto"/>
        <w:jc w:val="both"/>
      </w:pPr>
      <w:r>
        <w:t xml:space="preserve">The reach of this family is bounded by what it does. Permission determines who may return and on what terms, and the counts show movement when a wait is shortened, as in Virginia, or when a permissive route is opened, as in New Mexico, whereas the systems that stack screens record take-up below 1% of their workforce and can name the screens their own employers found binding, as in Georgia. The Michigan evidence sets the limit of the family's ambition, since the people who want cheaper and easier certification are those who never taught, whereas former teachers rank pension retention and salary first. Permission is therefore best read as a precondition rather than as an inducement, and the same movements that open it carry a cost that pension actuaries, not education ministries, are the ones to price. That cost is priced in the family that follows.</w:t>
      </w:r>
    </w:p>
    <w:p>
      <w:pPr>
        <w:pStyle w:val="Heading2"/>
      </w:pPr>
      <w:r>
        <w:t xml:space="preserve">3.2 Price</w:t>
      </w:r>
    </w:p>
    <w:p>
      <w:pPr>
        <w:spacing w:after="160" w:line="264" w:lineRule="auto"/>
        <w:jc w:val="both"/>
      </w:pPr>
      <w:r>
        <w:t xml:space="preserve">Two systems that were never designed together settle what a return pays. A pension scheme decides whether a benefit continues, is abated or is suspended while its holder earns a salary again, and a pay scale decides which step a returner is placed on after an absence. The sum of those decisions, together with the waiting periods and licensing costs of the family above, is what this paper terms the price of a return. Instruments in this family move that price, either by removing a penalty already in the rules or by adding money on top, paid to the teacher as a supplement or allowance and to the school as a subsidy for making the appointment.</w:t>
      </w:r>
    </w:p>
    <w:p>
      <w:pPr>
        <w:spacing w:after="160" w:line="264" w:lineRule="auto"/>
        <w:jc w:val="both"/>
      </w:pPr>
      <w:r>
        <w:t xml:space="preserve">The family divides between rules and payments, and the two have produced different records. Rule changes generate administrative data as a by-product, and that is why the largest documented return flows in this paper belong to them; they also generate actuarial objections, since a rule that makes returning attractive makes retiring earlier attractive as well. Payments generate budget lines and, in several systems, unspent budgets. No study anywhere prices re-entry incentives quasi-experimentally, so every figure below is a count of take-up against a stated denominator rather than an estimate of what the money bought.</w:t>
      </w:r>
    </w:p>
    <w:p>
      <w:pPr>
        <w:spacing w:after="160" w:line="264" w:lineRule="auto"/>
        <w:jc w:val="both"/>
      </w:pPr>
      <w:r>
        <w:rPr>
          <w:b/>
          <w:bCs/>
        </w:rPr>
        <w:t xml:space="preserve">North Carolina.</w:t>
      </w:r>
      <w:r>
        <w:t xml:space="preserve"> The retirement system of North Carolina allows an unreduced benefit after 30 years of service at any age, so retirements concentrate sharply at that threshold, and the state legislated in 1999 to pre-empt the retirement wave then approaching. Outside the window, a retiree returning full-time forfeited the pension and retiree health coverage, and part-time work was permitted only under an earnings cap of half the previous full-time salary; the window suspended that constraint and allowed a full salary alongside a full annuity, restricted in its first year to low-performing schools and interim roles and opened to all schools from June 2000. It was extended repeatedly and expired in autumn 2009 (Jarrold-Grapes and Mahler, 2024). Roughly 3 500 teachers returned over the decade, 2.1% of a sample of about 169 000 teachers in 2 900 schools; more than half of schools hired at least one; returners averaged 16.5 more years of experience than other teachers and went disproportionately to schools with higher shares of economically disadvantaged and Black students without any rule directing them there; and 54% returned to the school they had retired from. The evaluation is descriptive, on administrative records with year fixed effects, and its authors state that they cannot say whether the policy induced any return, since the structure of the policy provides no natural experiment. The state's own actuaries have since priced the mechanism from the other side. Scoring a 2025 bill that would revive a narrower version, they assumed that the design would raise the probability of unreduced retirement at first eligibility by between 2.5 and 10 percentage points, at a cost of 0.01% to 0.02% of pay, or USD 4.10 million in 2025/26 rising to USD 4.66 million in 2029/30 (North Carolina General Assembly, 2025). The successor programme that ran from 2019 to 2021, confined to Title I schools and schools graded D or F and paying returners at the first step of the scale, published no participation count at all (North Carolina General Assembly, 2019).</w:t>
      </w:r>
    </w:p>
    <w:p>
      <w:pPr>
        <w:spacing w:after="160" w:line="264" w:lineRule="auto"/>
        <w:jc w:val="both"/>
      </w:pPr>
      <w:r>
        <w:rPr>
          <w:b/>
          <w:bCs/>
        </w:rPr>
        <w:t xml:space="preserve">Portugal.</w:t>
      </w:r>
      <w:r>
        <w:t xml:space="preserve"> Portugal legislated for two margins at once in 2024, within a package of measures the government described as exceptional and temporary. Article 5 of Decreto-Lei n.º 51/2024 authorises fixed-term contracts with retired teachers in shortage recruitment groups or under-staffed schools, subject to ministerial authorisation grounded in exceptional public interest and closed to teachers retired more than five years; the returner keeps the pension and receives compensation at the first step of the salary scale, pro-rated to the teaching hours assigned, with a full timetable defined as 20 weekly hours in pre-school and the first cycle and 14 hours at other levels, and the annual volume is fixed by a joint order of the finance, public administration and education ministries. Article 6 pays a supplement of EUR 750 a month to teachers who already meet the conditions for retirement and remain in effective teaching duties to the end of the school year. In 2024/25, 63 retired teachers were accepted under Article 5 against a government target of 200, of whom 55 were placed. The ministerial balance sheet for 2025/26 records 1 008 teachers returning after at least a year away, on a definition much broader than the Article 5 route, and 2 232 teachers postponing retirement under Article 6, with more than 2 000 drawing the supplement at a cost of about EUR 10 million for the school year (ECO, 2026; Executive Digest, 2026). The comparison the case supports is asymmetric and hedged. Under a single law and at broadly comparable money, the instrument that prevented an exit attracted an order of magnitude more takers than the instrument that reversed one, and the government subsequently narrowed the supplement to shortage areas for 2026/27 on the ground that its blanket form had in many cases not been justified (RTP, 2026). What the case cannot support is a verdict on the EUR 750, which was never offered to returners, or a reading of the 1 008 as retirees returning under Article 5.</w:t>
      </w:r>
    </w:p>
    <w:p>
      <w:pPr>
        <w:spacing w:after="160" w:line="264" w:lineRule="auto"/>
        <w:jc w:val="both"/>
      </w:pPr>
      <w:r>
        <w:rPr>
          <w:b/>
          <w:bCs/>
        </w:rPr>
        <w:t xml:space="preserve">Austria.</w:t>
      </w:r>
      <w:r>
        <w:t xml:space="preserve"> Austria prices the return of its former civil-servant teachers by an explicit rule against double counting. Periods of service that already generate a pension are excluded from prior-service crediting throughout the federal service and for teachers employed by the Länder, so an established civil-servant teacher who returns draws the pension together with the entry salary of a beginning teacher, whereas a former contract-scheme teacher has earlier teaching service counted and broadly recovers pre-retirement pay; the ministry has confirmed the exclusion as deliberate policy rather than oversight (BMBWF, 2023). A second charge sits in general pension law, under which a person drawing an early old-age pension loses it for any month in which earnings exceed the marginal-earnings threshold of EUR 551.10 in 2026, whereas a person past the standard pension age faces no earnings limit at all (oesterreich.gv.at, 2026). Since January 2026 a partial-pension option allows working time to be reduced by a quarter, a half or three quarters with the corresponding share of the pension drawn (Pensionsversicherungsanstalt, 2026). The Court of Audit counted 1 062 teachers in retirement or retired status resuming teaching duties nationwide across the six school years to 2023/24, in a workforce of about 123 000, concentrated in 2021/22 and 2022/23 and not sustained thereafter (Rechnungshof, 2025). Those counts cannot be attributed to the crediting rule, since there is no design variation to exploit, and the qualitative work on Austrian returners finds the decision biographically rooted rather than pay-driven (Resch, 2025a; Resch, 2025b).</w:t>
      </w:r>
    </w:p>
    <w:p>
      <w:pPr>
        <w:spacing w:after="160" w:line="264" w:lineRule="auto"/>
        <w:jc w:val="both"/>
      </w:pPr>
      <w:r>
        <w:rPr>
          <w:b/>
          <w:bCs/>
        </w:rPr>
        <w:t xml:space="preserve">China.</w:t>
      </w:r>
      <w:r>
        <w:t xml:space="preserve"> China attaches its money to a posting in an underserved county. The Silver Age plans, established in 2018 and extended in 2023 to a corps of about 120 000 across five strands of the education system, recruit retired principals, senior teachers and teaching-research staff, generally aged 65 or under, to serve in schools in formerly poor, ethnic-minority and border counties (MOE and MOF, 2018; MOE et al., 2023). The 2025 implementation notice sets a recruitment target of 7 000 for compulsory education, after 6 000 in 2023 and 7 000 in 2024, and specifies the money as working funds of CNY 20 000 per person per year covering the work subsidy, travel and accident insurance premiums rather than as salary, with the pension unchanged and the receiving county providing housing and judging the work; provinces that fall short are investigated and criticised publicly (MOE and MOF, 2025). One design rule closes the deadweight case directly, since re-employment of a retiree by their own former employer does not count under the plan. No figure for actual recruitment against any annual target has been published in Chinese or English, and the cumulative claim of more than 20 000 recruits by mid-2023 comes from the sponsoring ministry. A small research literature now exists without measuring effects. A qualitative case study of one rural primary school in Gansu, with ten interviewees and reported intercoder agreement of 0.92, describes retirees working through classroom teaching and school governance on one side and collective lesson planning and monthly training of local teachers on the other, and states that only successful practice was examined and that students were not assessed (Cheng, 2025). One study of how the plans are carried out identifies ambiguity in the policy text, uneven administrative capacity and constraints on the retirees themselves (Zhang, Jiang and Jiang, 2025), a formation study places the plans in the response to population ageing and records one province recruiting 378 lecturing teachers against a plan of 200 (Jiang, 2023), and a reading of the policy documents locates them within a wider redistribution strategy (Zhang, Fang and Jiang, 2025). A prominent education researcher has warned publicly against treating silver-age teachers as a main force rather than a supplement (CCTV, 2025).</w:t>
      </w:r>
    </w:p>
    <w:p>
      <w:pPr>
        <w:spacing w:after="160" w:line="264" w:lineRule="auto"/>
        <w:jc w:val="both"/>
      </w:pPr>
      <w:r>
        <w:rPr>
          <w:b/>
          <w:bCs/>
        </w:rPr>
        <w:t xml:space="preserve">Netherlands.</w:t>
      </w:r>
      <w:r>
        <w:t xml:space="preserve"> The Netherlands attached its money to the school rather than to the teacher. From November 2017 to October 2020 a regulation paid a school board EUR 2 500 for each returner appointed for at least six months who had not taught for at least twelve consecutive months, announced as a way of activating a hidden reserve then estimated at 31 000 or more in primary education alone, with an initial ceiling of EUR 1.25 million and room for 500 grants (Ministerie van OCW, 2017). Just over 100 returners were subsidised in 2018 and nearly 200 cumulatively by autumn 2019, and the regulator responded to the under-subscription by writing it into law, so that the annual ceilings for 2019 and 2020 covered at most 120 and 100 grants because the budget had not been exhausted (Ministerie van OCW, 2019a; Tweede Kamer, 2019). Final grant counts for those two years were never published, and the instrument was never evaluated. The activation goal it carried has become progressively less visible as it was absorbed into larger structures. It appears among the fundable but least-realised activities of the regional staffing partnerships evaluated in 2022, and it is absent from the second interim evaluation of their successor network in December 2025 (De Jong et al., 2022; Berenschot, 2025b). The case cannot show that subsidies do not work, since this one was small, paid to boards and never tested. It supports the narrower finding that a returner budget can go unclaimed in the system with the best-measured reserve in the record.</w:t>
      </w:r>
    </w:p>
    <w:p>
      <w:pPr>
        <w:spacing w:after="160" w:line="264" w:lineRule="auto"/>
        <w:jc w:val="both"/>
      </w:pPr>
      <w:r>
        <w:rPr>
          <w:b/>
          <w:bCs/>
        </w:rPr>
        <w:t xml:space="preserve">Hesse.</w:t>
      </w:r>
      <w:r>
        <w:t xml:space="preserve"> German re-entry policy is made by the Länder and is priced through pension law rather than through bonuses. Thirteen of the sixteen Länder actively approach pensioned teachers, and the recurring instrument is relief from the earnings limit that otherwise offsets teaching income against the pension, with non-pensionable supplements of about 10% as a second-order addition where the limit still binds; one Land abolished its mandatory retirement age, another proposed a supplement of 20% for teachers continuing three years past 65, and none imposes an age ceiling on employed retirees (Deutsches Schulportal, 2023; Deutsches Schulportal, 2023b). Just over 5 000 pensioners were teaching nationwide when the sixteen ministries were surveyed in 2023, under 1% of a workforce of about 800 000. Hesse, which employs about 67 000 teachers, publishes the only dated series, in answers by its minister to parliamentary questions. Teachers aged 66 and over in its primary schools rose from 130 in 2018 to 282 at 1 October 2024, with parallel increases at other school types (news4teachers, 2025). No Land publishes an evaluation, definitions of a reactivated teacher are not harmonised across the survey, and Hesse attributes the roughly 550 posts filled by its short-term package to retiree hiring, service extensions and part-time increases together rather than to retirees alone (Hessisches Ministerium für Kultus, Bildung und Chancen, 2024).</w:t>
      </w:r>
    </w:p>
    <w:p>
      <w:pPr>
        <w:spacing w:after="160" w:line="264" w:lineRule="auto"/>
        <w:jc w:val="both"/>
      </w:pPr>
      <w:r>
        <w:rPr>
          <w:b/>
          <w:bCs/>
        </w:rPr>
        <w:t xml:space="preserve">England.</w:t>
      </w:r>
      <w:r>
        <w:t xml:space="preserve"> England's pension charge on returning is narrow and shrinking. Only final-salary benefits are abated, so that a retiree drawing them may earn up to an index-linked salary of reference less the annual pension before the pension is suspended for the remainder of the scheme year, whereas the career-average benefits that cover all service since 2015 are not abated at all, and compliance runs through employers' monthly data returns or a certificate of re-employment (Teachers' Pensions, n.d.). No count of pensioners returning under these rules is published. The most informative episode is a decision not to act. Asked in January 2022 whether abatement would be suspended for retired teachers covering pandemic absence, as emergency legislation had done for the health service scheme, the government declined. It reasoned that returning retirees would be engaged by supply agencies that tend not to participate in the scheme, and that short or part-time appointments would fall below the threshold in any case (UK Parliament, 2022b). The barrier was left standing because the labour market routes around it, through agencies that sit outside the scheme and therefore outside pension accrual. The national return flow of 17 274 teachers to state-funded schools in 2024/25, the highest in a decade, owes nothing to the rule and is not a measure of it (Department for Education, 2026).</w:t>
      </w:r>
    </w:p>
    <w:p>
      <w:pPr>
        <w:spacing w:after="160" w:line="264" w:lineRule="auto"/>
        <w:jc w:val="both"/>
      </w:pPr>
      <w:r>
        <w:rPr>
          <w:b/>
          <w:bCs/>
        </w:rPr>
        <w:t xml:space="preserve">Ontario.</w:t>
      </w:r>
      <w:r>
        <w:t xml:space="preserve"> Ontario (Canada) caps the quantity of work a retiree may do and leaves the pay alone. Under the plan rules, a retired teacher may work 50 days in a school year for a participating employer without any effect on the pension, and forfeits the pension for subsequent months in which work continues, with tracking left to the member (Ontario Teachers' Pension Plan, 2026). The cap has moved in both directions. It stood at 20 days before 1990, was raised to 95 days for the first three post-retirement years during the shortage of that period, and was reduced to a flat 50 days from September 2012, a change announced in 2010 after journalists documented CAD 108.3 million spent on retired teachers by the ten largest boards in a single year, a daily cost for retirees well above that of new teachers, and newly certified graduates outnumbering available openings (Hammer and Alphonso, 2010). During the pandemic it was temporarily restored to 95 days for three school years, with monthly reporting by boards to the ministry as a condition set by the teachers' federation, and returned to 50 days on 1 July 2023 (Ontario Ministry of Education, 2022; OTF, 2023). The parameter moves only by agreement between the plan's two co-sponsors, and in March 2024 the federation declined a fourth extension. Its president said that the pension plan is designed to provide an income to retired teachers and is not a tool for addressing labour market challenges (Ontario Teachers' Federation, 2024; Alphonso, 2024). Against 142 000 retired members, about 60 had expressed interest in the pandemic arrangement by January 2022 (Global News, 2022), and the monthly returns collected as its price have never been published.</w:t>
      </w:r>
    </w:p>
    <w:p>
      <w:pPr>
        <w:spacing w:after="160" w:line="264" w:lineRule="auto"/>
        <w:jc w:val="both"/>
      </w:pPr>
      <w:r>
        <w:t xml:space="preserve">What this family teaches depends on whether a price is removed or added. Where a penalty on concurrent pension and salary is removed outright, as in North Carolina, returns are visible in the administrative record and stop when the removal stops. Where money is added on top, as in the Netherlands and Portugal, the sums have been small relative to a teaching salary and the budgets have gone unclaimed or have performed better at holding teachers in post than at bringing them back. Where the price is set inside a pension code, as in Austria, France and Ontario, the education authority is not the authority that can change it. Cost-effectiveness is beyond what the family can deliver, since no system has estimated what any of this money or forgone revenue bought, and the only quantified counterweights in the record are actuarial statements of what a loosening would cost the fund (Louisiana Legislative Auditor, 2024; Virginia Retirement System, 2026). Price also leaves untouched the motive that leaver surveys place first, the shape of the job.</w:t>
      </w:r>
    </w:p>
    <w:p>
      <w:pPr>
        <w:pStyle w:val="Heading2"/>
      </w:pPr>
      <w:r>
        <w:t xml:space="preserve">3.3 The job</w:t>
      </w:r>
    </w:p>
    <w:p>
      <w:pPr>
        <w:spacing w:after="160" w:line="264" w:lineRule="auto"/>
        <w:jc w:val="both"/>
      </w:pPr>
      <w:r>
        <w:t xml:space="preserve">Instruments in this family change what a returner is asked to do. They act either on the intensity of the post, through part-time hours, job-share, supply and reserve work, or on the definition of the role, which need not be a classroom post at all and may be tutoring a small group to a protocol or mentoring novice teachers. The lever belongs to employers and schools rather than to ministries or pension authorities, so this is the family education systems can move fastest, and the one whose parameters are least often written down. It also addresses the motive the evidence ranks highest, since workload, control of time and working hours explain the resignations of working-age teachers better than pay does, and the returner segment with the highest documented return rate has been the one seeking part-time work that schools rarely advertise (Section 2).</w:t>
      </w:r>
    </w:p>
    <w:p>
      <w:pPr>
        <w:spacing w:after="160" w:line="264" w:lineRule="auto"/>
        <w:jc w:val="both"/>
      </w:pPr>
      <w:r>
        <w:t xml:space="preserve">The family carries the only randomised evidence in this paper, and that evidence tracks role specification closely. Where the role was scripted, dosed and trialled, an effect was measured; where the role was left to the judgement of the person filling it, the trial returned an indeterminate answer; and where a tutoring role was taken to system scale, the measured effects fell to a fraction of trial values. The corresponding weakness is compositional, since none of the trials or programmes below publishes what share of the people doing the work were former teachers.</w:t>
      </w:r>
    </w:p>
    <w:p>
      <w:pPr>
        <w:spacing w:after="160" w:line="264" w:lineRule="auto"/>
        <w:jc w:val="both"/>
      </w:pPr>
      <w:r>
        <w:rPr>
          <w:b/>
          <w:bCs/>
        </w:rPr>
        <w:t xml:space="preserve">Japan.</w:t>
      </w:r>
      <w:r>
        <w:t xml:space="preserve"> Japan has long treated the retiree reserve as part of ordinary employment practice. Boards of education conventionally re-employ teachers after mandatory retirement, and retirees dominate the substitute and adjunct pool; in the one prefecture studied in depth, 52.7% of part-time adjunct hires were in their sixties and 7.1% in their seventies, whereas only about 35% of age-based retirees in elementary schools sought full-time re-employment (Sakuma and Shimazaki, 2024). The national shortage survey now records that reserve thinning. The shortage survey published in March 2026 counted a shortfall of 3 827 teachers, or 0.45%, at 1 May 2025, against 2 065 and 0.25% in 2021, and the ministry asked every board to rate candidate causes; of roughly 68 boards answering, 29 said that the number of mandatory retirees wishing to be re-employed had fallen short of expectations and 27 said the same of already re-employed staff wishing to continue (MEXT, 2026). The ministry says it will create further opportunities for experienced retired teachers, redistribute non-teaching duties in view of the physical demands, and pilot a supply-teacher system of the Japanese type. The case is the strongest official evidence in the record that a staffing model resting on retirees depletes on the retirees' schedule, and the raising of the civil-service retirement age from 60 to 65 by 2031 is converting the category back into ordinary employment. No current national count of re-employed teachers exists.</w:t>
      </w:r>
    </w:p>
    <w:p>
      <w:pPr>
        <w:spacing w:after="160" w:line="264" w:lineRule="auto"/>
        <w:jc w:val="both"/>
      </w:pPr>
      <w:r>
        <w:rPr>
          <w:b/>
          <w:bCs/>
        </w:rPr>
        <w:t xml:space="preserve">New South Wales.</w:t>
      </w:r>
      <w:r>
        <w:t xml:space="preserve"> New South Wales (Australia) offered returners the kind of work its schools needed covered. From November 2023 its education department approached teachers who had resigned in the previous five years and placed them in casual and temporary roles, with permanent posts and small-group tutoring also open, and with accreditation reactivation and the working-with-children clearance handled inside the same contact (NSW Department of Education, 2026). Of the 145 teachers placed by May 2024 across more than 600 schools, about 60% were returning from retirement, and the placements were casual and temporary rather than permanent (NSW Government, 2024); the contact funnel that produced them is discussed with the reach family in Section 3.4. No programme-specific payment was attached, and no evaluation exists. The case shows that the offer and the take-up matched, since a system offering casual work drew mainly retirees willing to do casual work, and it cannot support any inference about the permanent workforce. Nor can it explain the fall in vacancies recorded in the same period, which followed a large pay settlement as well.</w:t>
      </w:r>
    </w:p>
    <w:p>
      <w:pPr>
        <w:spacing w:after="160" w:line="264" w:lineRule="auto"/>
        <w:jc w:val="both"/>
      </w:pPr>
      <w:r>
        <w:rPr>
          <w:b/>
          <w:bCs/>
        </w:rPr>
        <w:t xml:space="preserve">Bahamas.</w:t>
      </w:r>
      <w:r>
        <w:t xml:space="preserve"> The Bahamas answered its shortfall with a standing register. Facing a shortfall of about 300 teachers across 162 public schools on 24 islands, the ministry created a teacher reservist programme on the platform of the existing supply-teacher scheme, in which retired educators, trained teachers who left for other work and recent university graduates enlist once and are called on by schools as needed, with a multi-agency task force fast-tracking vetting, credential assessment and public service commission processing (ZNS Bahamas, 2026; Cooper, 2026). No reservist-specific payment has been published. By August 2026 about 100 Bahamians had been enlisted for the September school year, a figure that belongs to the recruitment drive as a whole rather than to the reserve alone, with 42 applications then before the commission (The Tribune, 2026). No enrolment count for the register itself, no retiree share and no cost have been published. The design point is institutional, since a register that a former teacher joins once removes the need for a campaign to find the same people again each year.</w:t>
      </w:r>
    </w:p>
    <w:p>
      <w:pPr>
        <w:spacing w:after="160" w:line="264" w:lineRule="auto"/>
        <w:jc w:val="both"/>
      </w:pPr>
      <w:r>
        <w:rPr>
          <w:b/>
          <w:bCs/>
        </w:rPr>
        <w:t xml:space="preserve">Victoria.</w:t>
      </w:r>
      <w:r>
        <w:t xml:space="preserve"> Victoria (Australia) deployed the largest out-of-service teacher pool on record into a defined role. Its tutor learning initiative was announced in October 2020 as a learning-recovery measure with an initial package of AUD 250 million, and was extended to AUD 1.2 billion over 2021 to 2025. It called explicitly on pre-service teachers, teachers on leave, retired teachers and casual relief teachers, and employed them as qualified tutors delivering small-group instruction of two to five students during school hours (Premier of Victoria, 2020). More than 4 100 tutors worked in government schools in 2021 and more than 5 150 in 2022, and over 127 000 government-school students were tutored in 2023; the share of tutors who were retired teachers has never been published, and that gap is the central weakness of the case. The Victorian Auditor-General's Office compared the learning gains of tutored students with those of non-tutored students at similar baseline scores and found no significant improvement, the median year 3 tutored student gaining 7.1 in reading against 7.4 for a comparable non-tutored student. Although 96% of schools delivered tutoring on time, fewer than a third had reached fully effective practice on targeting and fit by 2023 (Victorian Auditor-General's Office, 2024). The audit locates the failure in role specification rather than in tutoring as such, and role specification is the variable this family turns on.</w:t>
      </w:r>
    </w:p>
    <w:p>
      <w:pPr>
        <w:spacing w:after="160" w:line="264" w:lineRule="auto"/>
        <w:jc w:val="both"/>
      </w:pPr>
      <w:r>
        <w:rPr>
          <w:b/>
          <w:bCs/>
        </w:rPr>
        <w:t xml:space="preserve">United States (Number Rockets).</w:t>
      </w:r>
      <w:r>
        <w:t xml:space="preserve"> The clearest test of whether former teachers can deliver a specified instructional role at scale was conducted in four urban districts of the southern United States. A scripted second-tier mathematics protocol for at-risk first-grade students was delivered in groups of two or three, three times a week over 17 weeks, by tutors recruited through a temporary services agency and trained in a single day with short follow-ups; 77.3% of them reported being retired teachers or working as substitutes, 44.0% had five years of teaching experience or less, and 27 replacement tutors were hired mid-year against 84 trained originally (Rolfhus et al., 2012). The cluster-randomised trial covered 994 students in 76 schools and measured an effect of 0.34 standard deviations, with no spillover to other students, at an estimated cost of about USD 10 000 per school and USD 700 per student (Rolfhus et al., 2012; Gersten et al., 2015). Two qualifications travel with the result. The tutor statistic combines retirees with substitutes and no split was published, so the trial cannot isolate former teachers as a class. And the effect must be quoted at its at-scale value, since an expanded meta-analysis of 265 randomised trials finds effects declining almost linearly with programme size, from 0.55 standard deviations below 100 students to 0.14 above 1 000, with preferred estimates for programmes at scale of 0.16 to 0.21 standard deviations, between a third and a half of the pooled figure; the same analysis puts the penalty for tutors who are community members or volunteers at 0.16 standard deviations relative to a teacher (Kraft, Schueler and Falken, 2024). Those two findings pull in opposite directions and are the family's most useful pair, since they deflate the promise of tutoring while strengthening the case for staffing it with people who have taught.</w:t>
      </w:r>
    </w:p>
    <w:p>
      <w:pPr>
        <w:spacing w:after="160" w:line="264" w:lineRule="auto"/>
        <w:jc w:val="both"/>
      </w:pPr>
      <w:r>
        <w:rPr>
          <w:b/>
          <w:bCs/>
        </w:rPr>
        <w:t xml:space="preserve">United States (Aurora).</w:t>
      </w:r>
      <w:r>
        <w:t xml:space="preserve"> The one rigorous causal test of retirees mentoring novices was run in a district in Colorado. Recently retired master educators of the district, screened for excellence and paid USD 41 an hour, mentored probationary teachers in Title I elementary schools over two years through weekly one-to-one sessions and monthly cohort meetings, with caseloads of three to seven and no evaluative role, layered on top of the district's ordinary induction (DeCesare, McClelland and Randel, 2017). Seventy-seven probationary teachers in 11 schools were randomised within school. The trial was rated by the What Works Clearinghouse as meeting standards without reservations, and all three reviewed domains were characterised as indeterminate, with no statistically significant findings in reading or mathematics on student samples above 960 in each year, and none on teacher retention on samples of 74 to 77 (What Works Clearinghouse, 2019). The student side was adequately powered and the retention side was not. The result is a statement about evidential power rather than a verdict for or against retiree mentoring, and nobody has replicated the trial.</w:t>
      </w:r>
    </w:p>
    <w:p>
      <w:pPr>
        <w:spacing w:after="160" w:line="264" w:lineRule="auto"/>
        <w:jc w:val="both"/>
      </w:pPr>
      <w:r>
        <w:rPr>
          <w:b/>
          <w:bCs/>
        </w:rPr>
        <w:t xml:space="preserve">Andalusia.</w:t>
      </w:r>
      <w:r>
        <w:t xml:space="preserve"> The defined-role logic has produced a standing legal figure in Andalusia (Spain). Decreto 12/2026 of 4 February 2026 regulates the status of collaborating emeritus teacher in publicly funded non-university schools and creates a network through which retired teachers, under 75 and with at least 15 years of service in the region's schools, may promote reading and libraries, give lectures and workshops, mentor new teachers, support university student interns, mediate in conflicts and advise on guidance (Junta de Andalucía, 2026; Decreto 12/2026). The status confers no right to occupy a post, no active-teacher functions and no remuneration, and offers in return insurance cover, annual certification and access to cultural institutions on the terms serving teachers enjoy; appointments are annual and renewable within a maximum of three years, applications open for one month each June, and the decree caps participation at 2 500 collaborators a year. That figure is a ceiling and not a count, since the first application window opened in June 2026 and no enrolment has been published. The case is the purest available test of whether role definition alone mobilises former teachers, and by fencing the role away from the establishment the decree makes it politically survivable and at the same time limits what it can deliver. The unpaid design has been contested in national coverage.</w:t>
      </w:r>
    </w:p>
    <w:p>
      <w:pPr>
        <w:spacing w:after="160" w:line="264" w:lineRule="auto"/>
        <w:jc w:val="both"/>
      </w:pPr>
      <w:r>
        <w:t xml:space="preserve">Comparable defined roles operate at national scale without isolating former teachers within them. The third-year evaluation of England's national tutoring programme measured 0.06 standard deviations in mathematics and 0.03 in English at the end of primary school, and null effects at the end of secondary school; the district and state tutoring corps funded from federal pandemic relief in the United States recruited retired teachers among several sources and reported no share for them (Kraft, Schueler and Falken, 2024).</w:t>
      </w:r>
    </w:p>
    <w:p>
      <w:pPr>
        <w:spacing w:after="160" w:line="264" w:lineRule="auto"/>
        <w:jc w:val="both"/>
      </w:pPr>
      <w:r>
        <w:t xml:space="preserve">The job is the family with the strongest theoretical claim on the evidence about why teachers leave and the weakest reporting of who fills its roles. Two lessons survive that asymmetry. Offers of partial intensity match the documented preferences of the returner segments that move, and the systems whose take-up is dominated by casual and adjunct work, in Japan and New South Wales, are the systems that offered casual and adjunct work. And the value of a defined role appears to depend on how tightly it is specified, since the scripted protocol reproduced its effect with a workforce drawn largely from retired and substitute teachers, the audited billion-dollar deployment of a similar pool did not improve learning and was faulted on targeting and fit, and the discretionary mentoring role returned an indeterminate result. None of this reaches a former teacher who never hears of it, and how they hear is the concern of the last family.</w:t>
      </w:r>
    </w:p>
    <w:p>
      <w:pPr>
        <w:pStyle w:val="Heading2"/>
      </w:pPr>
      <w:r>
        <w:t xml:space="preserve">3.4 Reach</w:t>
      </w:r>
    </w:p>
    <w:p>
      <w:pPr>
        <w:spacing w:after="160" w:line="264" w:lineRule="auto"/>
        <w:jc w:val="both"/>
      </w:pPr>
      <w:r>
        <w:t xml:space="preserve">Reach covers the instruments through which education authorities find former teachers and accompany them back, among them letters written to names held in employer or pension records, advisers, refresher courses and help with applications. Education ministries own this family outright. It is the cheapest to launch and the only one that changes nothing about the terms of a return. That last property is analytically useful, since a contact campaign holds permission, price and the job constant and therefore measures how much of the gap between a large reserve and a small return flow is an information problem.</w:t>
      </w:r>
    </w:p>
    <w:p>
      <w:pPr>
        <w:spacing w:after="160" w:line="264" w:lineRule="auto"/>
        <w:jc w:val="both"/>
      </w:pPr>
      <w:r>
        <w:t xml:space="preserve">Enough systems have now published conversion figures to answer the question provisionally. Letters convert at low single-digit rates, advisory services at rates an order of magnitude higher on looser outcome definitions, and employer-records outreach that bundles re-licensing with placement somewhere between the two. Interest itself is not the constraint. The English pilot below exceeded its registration target by a wide margin and missed its placement target by a wider one, and Dutch regional partnerships reported receiving more applications from returners and side entrants than schools could place (De Jong et al., 2022).</w:t>
      </w:r>
    </w:p>
    <w:p>
      <w:pPr>
        <w:spacing w:after="160" w:line="264" w:lineRule="auto"/>
        <w:jc w:val="both"/>
      </w:pPr>
      <w:r>
        <w:rPr>
          <w:b/>
          <w:bCs/>
        </w:rPr>
        <w:t xml:space="preserve">England.</w:t>
      </w:r>
      <w:r>
        <w:t xml:space="preserve"> England has the only published end-to-end returner funnel with costs attached. The national college established a return-to-teaching pilot in 2015 for secondary shortage subjects, grant-funding partnerships led by lead schools, with in-school support delivered between January and October 2016 to teachers not then teaching in the English public sector and no payments to returners; the targets were about 3 000 registrations of interest and about 650 returners in permanent posts in target subjects by autumn 2016 (Buchanan et al., 2018). Registrations reached 5 729, 412 began training, 354 were supported, 62 were in any state-funded teaching post at the November 2016 census and 27 were in a permanent post in a target subject in a state-funded secondary school. Non-supported registrants returned at about 4%, a figure the evaluator states is not a valid estimate of additionality because supported returners were already more certain of returning. Grant payments totalled GBP 586 900, and the cost per additional returner ran from GBP 17 800 to GBP 142 500 depending on the additionality assumed, against GBP 33 300 to GBP 46 900 for training a new teacher still teaching after a year. The evaluator judged the pilot unlikely to represent good value for money, and attributed the shortfall to the timing of school recruitment, the suitability of some participants and the scarcity of part-time work (Buchanan et al., 2018). The same evaluation supplies the base rate any such scheme must beat, since the annual rate at which qualified out-of-service secondary teachers return unaided is 14% to 15% at ages 20 to 29 and 3% at ages 50 to 59. The successor programme, restricted to two regions and three subjects, paid schools up to GBP 5 000 and returners up to GBP 600 for a course with GBP 150 a week towards childcare, ran two intakes in 2017 and was withdrawn in March 2018 without evaluation (NCTL, 2017). What England kept was its cheapest instrument. Two advisers supported 541 eligible returners in 2015/16 and 63 of them had secured teaching posts in state-funded schools by the end of September 2016, a conversion of 11.6% against a strand target of 50, in a process evaluation whose participants praised the prompt contact but struggled to get classroom experience out of schools (Straw et al., 2017). The service later cost about GBP 340 000 a year and recorded 128 returns in its three eligible subjects across 2019/20 and 2020/21, a count the responsible minister noted excludes returns to other subjects and returns not reported back (UK Parliament, 2022a). It now runs without subject or phase restriction and is listed among the measures of the government's 2026 teacher-supply plan (Department for Education, 2026).</w:t>
      </w:r>
    </w:p>
    <w:p>
      <w:pPr>
        <w:spacing w:after="160" w:line="264" w:lineRule="auto"/>
        <w:jc w:val="both"/>
      </w:pPr>
      <w:r>
        <w:rPr>
          <w:b/>
          <w:bCs/>
        </w:rPr>
        <w:t xml:space="preserve">Austria.</w:t>
      </w:r>
      <w:r>
        <w:t xml:space="preserve"> Austria mailed at scale and published what came back. From autumn 2022, under a federal recruitment strategy, the regional education directorates wrote to retired teachers. The directorate in Vienna contacted about 300 already-retired teachers in December 2022, Salzburg wrote to all retirees up to age 67 and attached transport tickets and higher premiums, and Vorarlberg sent re-entry information out with the retirement paperwork (APA/ORF, 2023). More than 3 000 letters went out nationally and about 45 teachers accepted, a conversion of roughly 1.5%; in Vienna the 300 letters produced three returns (Resch, 2025a; ORF Wien, 2023). The directorate in Vienna then changed instrument. It asked principals to speak individually to staff approaching retirement about staying on, and recorded 46 deferrals in the preceding year and 20 more by late March 2023. Neither the letters nor the conversations can be credited with the audited stock of returns discussed in Section 3.2, since that series begins four years before the mailing and peaks in the years of maximum staffing emergency. The case establishes that mass personalised contact with a named, addressable population converts at low single digits, and that the instrument which visibly moved people in the same city and the same months was a conversation about not leaving.</w:t>
      </w:r>
    </w:p>
    <w:p>
      <w:pPr>
        <w:spacing w:after="160" w:line="264" w:lineRule="auto"/>
        <w:jc w:val="both"/>
      </w:pPr>
      <w:r>
        <w:rPr>
          <w:b/>
          <w:bCs/>
        </w:rPr>
        <w:t xml:space="preserve">Hesse.</w:t>
      </w:r>
      <w:r>
        <w:t xml:space="preserve"> Hesse has contacted its retired teachers since 2020 and wrote to about 7 000 of them in 2022/23, within a national pattern in which 13 of 16 Länder approach pensioned teachers (Deutsches Schulportal, 2023). The ministry's own account puts the annual yield of the exercise at up to 200 posts, a conversion of roughly 3%, and about 200 retired teachers returned to school service at the start of 2024/25 alongside service extensions and other short-term measures (fuldainfo, 2024). No cost has been published for the mailing, no Land publishes an evaluation, and the ministry attributes its short-term package as a whole rather than the letters in particular to the posts filled. The German case adds a warning about denominators as much as a conversion rate, since the country holds no register of qualified teachers outside its schools and the recruitment debate therefore defaults to the one population that can be counted.</w:t>
      </w:r>
    </w:p>
    <w:p>
      <w:pPr>
        <w:spacing w:after="160" w:line="264" w:lineRule="auto"/>
        <w:jc w:val="both"/>
      </w:pPr>
      <w:r>
        <w:rPr>
          <w:b/>
          <w:bCs/>
        </w:rPr>
        <w:t xml:space="preserve">New South Wales.</w:t>
      </w:r>
      <w:r>
        <w:t xml:space="preserve"> The outreach that produced the placements described in Section 3.3 worked from the department's own staffing records rather than from advertising. More than 1 500 former teachers who had resigned within the previous five years were contacted from November 2023, more than 260 expressed interest and 145 were placed, a contact-to-placement conversion of about 10% and an interest-to-placement conversion of about 56% (NSW Government, 2024). The case supports one design feature, that accreditation reactivation, background clearance and placement were bundled into a single contact, and nothing about the message. Nothing has been published since May 2024, so whether the programme continues can be inferred but not established, and no cost or additionality estimate exists.</w:t>
      </w:r>
    </w:p>
    <w:p>
      <w:pPr>
        <w:spacing w:after="160" w:line="264" w:lineRule="auto"/>
        <w:jc w:val="both"/>
      </w:pPr>
      <w:r>
        <w:rPr>
          <w:b/>
          <w:bCs/>
        </w:rPr>
        <w:t xml:space="preserve">Ireland.</w:t>
      </w:r>
      <w:r>
        <w:t xml:space="preserve"> Ireland removed a price barrier before advertising. Retired public servants in Ireland have their pensions abated where pension and new salary together exceed pre-retirement pay, a direct bar to substitute work, and since 2021 the first 50 days worked in a calendar year have been exempted from abatement, each working day counting as one day whatever the hours, with the exemption extended by circular for 2024 and 2025 and again for 2026 and 2027 (Retired Teachers' Association of Ireland, 2024; Association of Secondary Teachers, Ireland, n.d.). A communications campaign encouraging retired teachers to return followed in early 2024 (Houses of the Oireachtas, 2024). The department measures the outcome of this pairing in days rather than heads, and reports a 49% increase in teaching days worked by retired teachers between 2021/22 and 2022/23. That is a pre-and-post comparison on a base depressed by the pandemic, and it measures the exemption rather than the later campaign. Departmental figures relayed by teachers' representative bodies put the number of retired teachers who had returned to work in the primary sector at 1 388 by the end of 2023, of whom 2.88% remained subject to abatement (Retired Teachers' Association of Ireland, 2024). The campaign's reach, budget and cost have not been published, and the day cap is designed to keep returners as a supplement to the standing workforce.</w:t>
      </w:r>
    </w:p>
    <w:p>
      <w:pPr>
        <w:spacing w:after="160" w:line="264" w:lineRule="auto"/>
        <w:jc w:val="both"/>
      </w:pPr>
      <w:r>
        <w:rPr>
          <w:b/>
          <w:bCs/>
        </w:rPr>
        <w:t xml:space="preserve">Scotland.</w:t>
      </w:r>
      <w:r>
        <w:t xml:space="preserve"> Scotland (United Kingdom) offers the contrast that shows reach to be a choice. Teachers who left the register or lapsed through non-payment return to it by sending scanned identity and clearance documents to the regulator under a stated subject line, supported by a booklet on returning to teaching, with no outreach campaign and nobody to accompany them (General Teaching Council for Scotland, n.d.). No take-up has been published. A system with the same measurement infrastructure as England has chosen registration mechanics over contact, and the choice shows that a government may decline the reach family altogether.</w:t>
      </w:r>
    </w:p>
    <w:p>
      <w:pPr>
        <w:keepNext/>
        <w:spacing w:after="120" w:before="200"/>
      </w:pPr>
      <w:r>
        <w:rPr>
          <w:b/>
          <w:bCs/>
          <w:color w:val="4E81BD"/>
          <w:sz w:val="23"/>
          <w:szCs w:val="23"/>
        </w:rPr>
        <w:t xml:space="preserve">Table 4. Published take-up of re-entry instruments</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3212"/>
        <w:gridCol w:w="3027"/>
        <w:gridCol w:w="2833"/>
      </w:tblGrid>
      <w:tr>
        <w:trPr>
          <w:tblHeader/>
        </w:trPr>
        <w:tc>
          <w:tcPr>
            <w:tcW w:type="dxa" w:w="3212"/>
            <w:tcBorders>
              <w:top w:val="single" w:color="000000" w:sz="6"/>
              <w:left w:val="none" w:color="FFFFFF" w:sz="0"/>
              <w:bottom w:val="single" w:color="000000" w:sz="6"/>
              <w:right w:val="none" w:color="FFFFFF" w:sz="0"/>
            </w:tcBorders>
            <w:shd w:fill="D2D2D2" w:val="clear"/>
            <w:tcMar>
              <w:top w:type="dxa" w:w="40"/>
              <w:left w:type="dxa" w:w="60"/>
              <w:bottom w:type="dxa" w:w="40"/>
              <w:right w:type="dxa" w:w="60"/>
            </w:tcMar>
            <w:vAlign w:val="center"/>
          </w:tcPr>
          <w:p>
            <w:pPr>
              <w:spacing w:after="0"/>
              <w:jc w:val="left"/>
            </w:pPr>
            <w:r>
              <w:rPr>
                <w:b/>
                <w:bCs/>
                <w:sz w:val="20"/>
                <w:szCs w:val="20"/>
              </w:rPr>
              <w:t xml:space="preserve">Instrument (system, period)</w:t>
            </w:r>
          </w:p>
        </w:tc>
        <w:tc>
          <w:tcPr>
            <w:tcW w:type="dxa" w:w="3027"/>
            <w:tcBorders>
              <w:top w:val="single" w:color="000000" w:sz="6"/>
              <w:left w:val="none" w:color="FFFFFF" w:sz="0"/>
              <w:bottom w:val="single" w:color="000000" w:sz="6"/>
              <w:right w:val="none" w:color="FFFFFF" w:sz="0"/>
            </w:tcBorders>
            <w:shd w:fill="D2D2D2" w:val="clear"/>
            <w:tcMar>
              <w:top w:type="dxa" w:w="40"/>
              <w:left w:type="dxa" w:w="60"/>
              <w:bottom w:type="dxa" w:w="40"/>
              <w:right w:type="dxa" w:w="60"/>
            </w:tcMar>
            <w:vAlign w:val="center"/>
          </w:tcPr>
          <w:p>
            <w:pPr>
              <w:spacing w:after="0"/>
              <w:jc w:val="left"/>
            </w:pPr>
            <w:r>
              <w:rPr>
                <w:b/>
                <w:bCs/>
                <w:sz w:val="20"/>
                <w:szCs w:val="20"/>
              </w:rPr>
              <w:t xml:space="preserve">What the publisher counted</w:t>
            </w:r>
          </w:p>
        </w:tc>
        <w:tc>
          <w:tcPr>
            <w:tcW w:type="dxa" w:w="2833"/>
            <w:tcBorders>
              <w:top w:val="single" w:color="000000" w:sz="6"/>
              <w:left w:val="none" w:color="FFFFFF" w:sz="0"/>
              <w:bottom w:val="single" w:color="000000" w:sz="6"/>
              <w:right w:val="none" w:color="FFFFFF" w:sz="0"/>
            </w:tcBorders>
            <w:shd w:fill="D2D2D2" w:val="clear"/>
            <w:tcMar>
              <w:top w:type="dxa" w:w="40"/>
              <w:left w:type="dxa" w:w="60"/>
              <w:bottom w:type="dxa" w:w="40"/>
              <w:right w:type="dxa" w:w="60"/>
            </w:tcMar>
            <w:vAlign w:val="center"/>
          </w:tcPr>
          <w:p>
            <w:pPr>
              <w:spacing w:after="0"/>
              <w:jc w:val="left"/>
            </w:pPr>
            <w:r>
              <w:rPr>
                <w:b/>
                <w:bCs/>
                <w:sz w:val="20"/>
                <w:szCs w:val="20"/>
              </w:rPr>
              <w:t xml:space="preserve">Count with its denominator</w:t>
            </w:r>
          </w:p>
        </w:tc>
      </w:tr>
      <w:tr>
        <w:trPr>
          <w:tblHeader w:val="false"/>
        </w:trPr>
        <w:tc>
          <w:tcPr>
            <w:tcW w:type="dxa" w:w="3212"/>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20"/>
                <w:szCs w:val="20"/>
              </w:rPr>
              <w:t xml:space="preserve">Return-to-work window (North Carolina, 1999-2009)</w:t>
            </w:r>
          </w:p>
        </w:tc>
        <w:tc>
          <w:tcPr>
            <w:tcW w:type="dxa" w:w="3027"/>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20"/>
                <w:szCs w:val="20"/>
              </w:rPr>
              <w:t xml:space="preserve">Retirees in full-time posts on salary and pension</w:t>
            </w:r>
          </w:p>
        </w:tc>
        <w:tc>
          <w:tcPr>
            <w:tcW w:type="dxa" w:w="2833"/>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20"/>
                <w:szCs w:val="20"/>
              </w:rPr>
              <w:t xml:space="preserve">~3 500, of ~169 000 teachers sampled</w:t>
            </w:r>
          </w:p>
        </w:tc>
      </w:tr>
      <w:tr>
        <w:trPr>
          <w:tblHeader w:val="false"/>
        </w:trPr>
        <w:tc>
          <w:tcPr>
            <w:tcW w:type="dxa" w:w="3212"/>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20"/>
                <w:szCs w:val="20"/>
              </w:rPr>
              <w:t xml:space="preserve">HB 385 (Georgia, FY2023-FY2025)</w:t>
            </w:r>
          </w:p>
        </w:tc>
        <w:tc>
          <w:tcPr>
            <w:tcW w:type="dxa" w:w="3027"/>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20"/>
                <w:szCs w:val="20"/>
              </w:rPr>
              <w:t xml:space="preserve">Full-time rehires employed for a school year, audited</w:t>
            </w:r>
          </w:p>
        </w:tc>
        <w:tc>
          <w:tcPr>
            <w:tcW w:type="dxa" w:w="2833"/>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20"/>
                <w:szCs w:val="20"/>
              </w:rPr>
              <w:t xml:space="preserve">635, in a workforce of ~125 000</w:t>
            </w:r>
          </w:p>
        </w:tc>
      </w:tr>
      <w:tr>
        <w:trPr>
          <w:tblHeader w:val="false"/>
        </w:trPr>
        <w:tc>
          <w:tcPr>
            <w:tcW w:type="dxa" w:w="3212"/>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20"/>
                <w:szCs w:val="20"/>
              </w:rPr>
              <w:t xml:space="preserve">Critical-shortage rehires (Virginia, 2022/23)</w:t>
            </w:r>
          </w:p>
        </w:tc>
        <w:tc>
          <w:tcPr>
            <w:tcW w:type="dxa" w:w="3027"/>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20"/>
                <w:szCs w:val="20"/>
              </w:rPr>
              <w:t xml:space="preserve">Retirees in critical-shortage teacher posts</w:t>
            </w:r>
          </w:p>
        </w:tc>
        <w:tc>
          <w:tcPr>
            <w:tcW w:type="dxa" w:w="2833"/>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20"/>
                <w:szCs w:val="20"/>
              </w:rPr>
              <w:t xml:space="preserve">107, of ~101 900 posts needed</w:t>
            </w:r>
          </w:p>
        </w:tc>
      </w:tr>
      <w:tr>
        <w:trPr>
          <w:tblHeader w:val="false"/>
        </w:trPr>
        <w:tc>
          <w:tcPr>
            <w:tcW w:type="dxa" w:w="3212"/>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20"/>
                <w:szCs w:val="20"/>
              </w:rPr>
              <w:t xml:space="preserve">Critical-shortage rehires (Virginia, to Oct. 2023)</w:t>
            </w:r>
          </w:p>
        </w:tc>
        <w:tc>
          <w:tcPr>
            <w:tcW w:type="dxa" w:w="3027"/>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20"/>
                <w:szCs w:val="20"/>
              </w:rPr>
              <w:t xml:space="preserve">The same count part-way through the year</w:t>
            </w:r>
          </w:p>
        </w:tc>
        <w:tc>
          <w:tcPr>
            <w:tcW w:type="dxa" w:w="2833"/>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20"/>
                <w:szCs w:val="20"/>
              </w:rPr>
              <w:t xml:space="preserve">154, against 18 a year earlier</w:t>
            </w:r>
          </w:p>
        </w:tc>
      </w:tr>
      <w:tr>
        <w:trPr>
          <w:tblHeader w:val="false"/>
        </w:trPr>
        <w:tc>
          <w:tcPr>
            <w:tcW w:type="dxa" w:w="3212"/>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20"/>
                <w:szCs w:val="20"/>
              </w:rPr>
              <w:t xml:space="preserve">Return-to-work route (New Mexico, FY2025)</w:t>
            </w:r>
          </w:p>
        </w:tc>
        <w:tc>
          <w:tcPr>
            <w:tcW w:type="dxa" w:w="3027"/>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20"/>
                <w:szCs w:val="20"/>
              </w:rPr>
              <w:t xml:space="preserve">Retirees on the no-limits route</w:t>
            </w:r>
          </w:p>
        </w:tc>
        <w:tc>
          <w:tcPr>
            <w:tcW w:type="dxa" w:w="2833"/>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20"/>
                <w:szCs w:val="20"/>
              </w:rPr>
              <w:t xml:space="preserve">506, of 55 706 retirees and beneficiaries</w:t>
            </w:r>
          </w:p>
        </w:tc>
      </w:tr>
      <w:tr>
        <w:trPr>
          <w:tblHeader w:val="false"/>
        </w:trPr>
        <w:tc>
          <w:tcPr>
            <w:tcW w:type="dxa" w:w="3212"/>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20"/>
                <w:szCs w:val="20"/>
              </w:rPr>
              <w:t xml:space="preserve">Retiree re-employment (Austria, 2018/19-2023/24)</w:t>
            </w:r>
          </w:p>
        </w:tc>
        <w:tc>
          <w:tcPr>
            <w:tcW w:type="dxa" w:w="3027"/>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20"/>
                <w:szCs w:val="20"/>
              </w:rPr>
              <w:t xml:space="preserve">Retired teachers resuming duties, audited</w:t>
            </w:r>
          </w:p>
        </w:tc>
        <w:tc>
          <w:tcPr>
            <w:tcW w:type="dxa" w:w="2833"/>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20"/>
                <w:szCs w:val="20"/>
              </w:rPr>
              <w:t xml:space="preserve">1 062, in a workforce of ~123 000</w:t>
            </w:r>
          </w:p>
        </w:tc>
      </w:tr>
      <w:tr>
        <w:trPr>
          <w:tblHeader w:val="false"/>
        </w:trPr>
        <w:tc>
          <w:tcPr>
            <w:tcW w:type="dxa" w:w="3212"/>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20"/>
                <w:szCs w:val="20"/>
              </w:rPr>
              <w:t xml:space="preserve">Länder retiree recruitment (Germany, 2022/23)</w:t>
            </w:r>
          </w:p>
        </w:tc>
        <w:tc>
          <w:tcPr>
            <w:tcW w:type="dxa" w:w="3027"/>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20"/>
                <w:szCs w:val="20"/>
              </w:rPr>
              <w:t xml:space="preserve">Pensioners teaching, as surveyed</w:t>
            </w:r>
          </w:p>
        </w:tc>
        <w:tc>
          <w:tcPr>
            <w:tcW w:type="dxa" w:w="2833"/>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20"/>
                <w:szCs w:val="20"/>
              </w:rPr>
              <w:t xml:space="preserve">Just over 5 000, of ~800 000 teachers</w:t>
            </w:r>
          </w:p>
        </w:tc>
      </w:tr>
      <w:tr>
        <w:trPr>
          <w:tblHeader w:val="false"/>
        </w:trPr>
        <w:tc>
          <w:tcPr>
            <w:tcW w:type="dxa" w:w="3212"/>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20"/>
                <w:szCs w:val="20"/>
              </w:rPr>
              <w:t xml:space="preserve">Retiree letters (Hesse, annual)</w:t>
            </w:r>
          </w:p>
        </w:tc>
        <w:tc>
          <w:tcPr>
            <w:tcW w:type="dxa" w:w="3027"/>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20"/>
                <w:szCs w:val="20"/>
              </w:rPr>
              <w:t xml:space="preserve">Posts gained from the mailing</w:t>
            </w:r>
          </w:p>
        </w:tc>
        <w:tc>
          <w:tcPr>
            <w:tcW w:type="dxa" w:w="2833"/>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20"/>
                <w:szCs w:val="20"/>
              </w:rPr>
              <w:t xml:space="preserve">Up to 200, from ~7 000 contacted</w:t>
            </w:r>
          </w:p>
        </w:tc>
      </w:tr>
      <w:tr>
        <w:trPr>
          <w:tblHeader w:val="false"/>
        </w:trPr>
        <w:tc>
          <w:tcPr>
            <w:tcW w:type="dxa" w:w="3212"/>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20"/>
                <w:szCs w:val="20"/>
              </w:rPr>
              <w:t xml:space="preserve">Decreto-Lei 51/2024, Art. 5 (Portugal, 2024/25)</w:t>
            </w:r>
          </w:p>
        </w:tc>
        <w:tc>
          <w:tcPr>
            <w:tcW w:type="dxa" w:w="3027"/>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20"/>
                <w:szCs w:val="20"/>
              </w:rPr>
              <w:t xml:space="preserve">Accepted for a returner contract</w:t>
            </w:r>
          </w:p>
        </w:tc>
        <w:tc>
          <w:tcPr>
            <w:tcW w:type="dxa" w:w="2833"/>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20"/>
                <w:szCs w:val="20"/>
              </w:rPr>
              <w:t xml:space="preserve">63, against a target of 200</w:t>
            </w:r>
          </w:p>
        </w:tc>
      </w:tr>
      <w:tr>
        <w:trPr>
          <w:tblHeader w:val="false"/>
        </w:trPr>
        <w:tc>
          <w:tcPr>
            <w:tcW w:type="dxa" w:w="3212"/>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20"/>
                <w:szCs w:val="20"/>
              </w:rPr>
              <w:t xml:space="preserve">Decreto-Lei 51/2024, Art. 6 (Portugal, 2025/26)</w:t>
            </w:r>
          </w:p>
        </w:tc>
        <w:tc>
          <w:tcPr>
            <w:tcW w:type="dxa" w:w="3027"/>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20"/>
                <w:szCs w:val="20"/>
              </w:rPr>
              <w:t xml:space="preserve">Teachers postponing retirement</w:t>
            </w:r>
          </w:p>
        </w:tc>
        <w:tc>
          <w:tcPr>
            <w:tcW w:type="dxa" w:w="2833"/>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20"/>
                <w:szCs w:val="20"/>
              </w:rPr>
              <w:t xml:space="preserve">2 232, at a cost of ~EUR 10 million</w:t>
            </w:r>
          </w:p>
        </w:tc>
      </w:tr>
      <w:tr>
        <w:trPr>
          <w:tblHeader w:val="false"/>
        </w:trPr>
        <w:tc>
          <w:tcPr>
            <w:tcW w:type="dxa" w:w="3212"/>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20"/>
                <w:szCs w:val="20"/>
              </w:rPr>
              <w:t xml:space="preserve">Herintreders subsidy (Netherlands, 2017-19)</w:t>
            </w:r>
          </w:p>
        </w:tc>
        <w:tc>
          <w:tcPr>
            <w:tcW w:type="dxa" w:w="3027"/>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20"/>
                <w:szCs w:val="20"/>
              </w:rPr>
              <w:t xml:space="preserve">Grants paid to boards for an appointment</w:t>
            </w:r>
          </w:p>
        </w:tc>
        <w:tc>
          <w:tcPr>
            <w:tcW w:type="dxa" w:w="2833"/>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20"/>
                <w:szCs w:val="20"/>
              </w:rPr>
              <w:t xml:space="preserve">~200, against room for 500</w:t>
            </w:r>
          </w:p>
        </w:tc>
      </w:tr>
      <w:tr>
        <w:trPr>
          <w:tblHeader w:val="false"/>
        </w:trPr>
        <w:tc>
          <w:tcPr>
            <w:tcW w:type="dxa" w:w="3212"/>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20"/>
                <w:szCs w:val="20"/>
              </w:rPr>
              <w:t xml:space="preserve">Silver Age plans (China, to mid-2023)</w:t>
            </w:r>
          </w:p>
        </w:tc>
        <w:tc>
          <w:tcPr>
            <w:tcW w:type="dxa" w:w="3027"/>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20"/>
                <w:szCs w:val="20"/>
              </w:rPr>
              <w:t xml:space="preserve">Cumulative recruits, sponsor-reported</w:t>
            </w:r>
          </w:p>
        </w:tc>
        <w:tc>
          <w:tcPr>
            <w:tcW w:type="dxa" w:w="2833"/>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20"/>
                <w:szCs w:val="20"/>
              </w:rPr>
              <w:t xml:space="preserve">Over 20 000, against a corps target of 120 000</w:t>
            </w:r>
          </w:p>
        </w:tc>
      </w:tr>
      <w:tr>
        <w:trPr>
          <w:tblHeader w:val="false"/>
        </w:trPr>
        <w:tc>
          <w:tcPr>
            <w:tcW w:type="dxa" w:w="3212"/>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20"/>
                <w:szCs w:val="20"/>
              </w:rPr>
              <w:t xml:space="preserve">Teachers Re-Engage (New South Wales, 2023-24)</w:t>
            </w:r>
          </w:p>
        </w:tc>
        <w:tc>
          <w:tcPr>
            <w:tcW w:type="dxa" w:w="3027"/>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20"/>
                <w:szCs w:val="20"/>
              </w:rPr>
              <w:t xml:space="preserve">Placed in casual or temporary work</w:t>
            </w:r>
          </w:p>
        </w:tc>
        <w:tc>
          <w:tcPr>
            <w:tcW w:type="dxa" w:w="2833"/>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20"/>
                <w:szCs w:val="20"/>
              </w:rPr>
              <w:t xml:space="preserve">145, of over 1 500 contacted</w:t>
            </w:r>
          </w:p>
        </w:tc>
      </w:tr>
      <w:tr>
        <w:trPr>
          <w:tblHeader w:val="false"/>
        </w:trPr>
        <w:tc>
          <w:tcPr>
            <w:tcW w:type="dxa" w:w="3212"/>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20"/>
                <w:szCs w:val="20"/>
              </w:rPr>
              <w:t xml:space="preserve">Return to Teaching pilot (England, 2015-16)</w:t>
            </w:r>
          </w:p>
        </w:tc>
        <w:tc>
          <w:tcPr>
            <w:tcW w:type="dxa" w:w="3027"/>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20"/>
                <w:szCs w:val="20"/>
              </w:rPr>
              <w:t xml:space="preserve">In a permanent post in a target subject</w:t>
            </w:r>
          </w:p>
        </w:tc>
        <w:tc>
          <w:tcPr>
            <w:tcW w:type="dxa" w:w="2833"/>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20"/>
                <w:szCs w:val="20"/>
              </w:rPr>
              <w:t xml:space="preserve">27, of 354 supported and 5 729 registered</w:t>
            </w:r>
          </w:p>
        </w:tc>
      </w:tr>
      <w:tr>
        <w:trPr>
          <w:tblHeader w:val="false"/>
        </w:trPr>
        <w:tc>
          <w:tcPr>
            <w:tcW w:type="dxa" w:w="3212"/>
            <w:tcBorders>
              <w:top w:val="none" w:color="FFFFFF" w:sz="0"/>
              <w:left w:val="none" w:color="FFFFFF" w:sz="0"/>
              <w:bottom w:val="single" w:color="000000" w:sz="6"/>
              <w:right w:val="none" w:color="FFFFFF" w:sz="0"/>
            </w:tcBorders>
            <w:tcMar>
              <w:top w:type="dxa" w:w="40"/>
              <w:left w:type="dxa" w:w="60"/>
              <w:bottom w:type="dxa" w:w="40"/>
              <w:right w:type="dxa" w:w="60"/>
            </w:tcMar>
            <w:vAlign w:val="center"/>
          </w:tcPr>
          <w:p>
            <w:pPr>
              <w:spacing w:after="0"/>
              <w:jc w:val="left"/>
            </w:pPr>
            <w:r>
              <w:rPr>
                <w:sz w:val="20"/>
                <w:szCs w:val="20"/>
              </w:rPr>
              <w:t xml:space="preserve">Adviser service (England, 2015/16)</w:t>
            </w:r>
          </w:p>
        </w:tc>
        <w:tc>
          <w:tcPr>
            <w:tcW w:type="dxa" w:w="3027"/>
            <w:tcBorders>
              <w:top w:val="none" w:color="FFFFFF" w:sz="0"/>
              <w:left w:val="none" w:color="FFFFFF" w:sz="0"/>
              <w:bottom w:val="single" w:color="000000" w:sz="6"/>
              <w:right w:val="none" w:color="FFFFFF" w:sz="0"/>
            </w:tcBorders>
            <w:tcMar>
              <w:top w:type="dxa" w:w="40"/>
              <w:left w:type="dxa" w:w="60"/>
              <w:bottom w:type="dxa" w:w="40"/>
              <w:right w:type="dxa" w:w="60"/>
            </w:tcMar>
            <w:vAlign w:val="center"/>
          </w:tcPr>
          <w:p>
            <w:pPr>
              <w:spacing w:after="0"/>
              <w:jc w:val="left"/>
            </w:pPr>
            <w:r>
              <w:rPr>
                <w:sz w:val="20"/>
                <w:szCs w:val="20"/>
              </w:rPr>
              <w:t xml:space="preserve">In any state-funded teaching post</w:t>
            </w:r>
          </w:p>
        </w:tc>
        <w:tc>
          <w:tcPr>
            <w:tcW w:type="dxa" w:w="2833"/>
            <w:tcBorders>
              <w:top w:val="none" w:color="FFFFFF" w:sz="0"/>
              <w:left w:val="none" w:color="FFFFFF" w:sz="0"/>
              <w:bottom w:val="single" w:color="000000" w:sz="6"/>
              <w:right w:val="none" w:color="FFFFFF" w:sz="0"/>
            </w:tcBorders>
            <w:tcMar>
              <w:top w:type="dxa" w:w="40"/>
              <w:left w:type="dxa" w:w="60"/>
              <w:bottom w:type="dxa" w:w="40"/>
              <w:right w:type="dxa" w:w="60"/>
            </w:tcMar>
            <w:vAlign w:val="center"/>
          </w:tcPr>
          <w:p>
            <w:pPr>
              <w:spacing w:after="0"/>
              <w:jc w:val="left"/>
            </w:pPr>
            <w:r>
              <w:rPr>
                <w:sz w:val="20"/>
                <w:szCs w:val="20"/>
              </w:rPr>
              <w:t xml:space="preserve">63, of 541 advised</w:t>
            </w:r>
          </w:p>
        </w:tc>
      </w:tr>
    </w:tbl>
    <w:p>
      <w:pPr>
        <w:spacing w:after="120"/>
      </w:pPr>
    </w:p>
    <w:p>
      <w:pPr>
        <w:spacing w:after="60"/>
        <w:jc w:val="left"/>
      </w:pPr>
      <w:r>
        <w:rPr>
          <w:sz w:val="18"/>
          <w:szCs w:val="18"/>
        </w:rPr>
        <w:t xml:space="preserve">Note: Each row counts a different outcome against a different denominator, so the rows cannot be ranked against one another.</w:t>
      </w:r>
    </w:p>
    <w:p>
      <w:pPr>
        <w:spacing w:after="60"/>
        <w:jc w:val="left"/>
      </w:pPr>
      <w:r>
        <w:rPr>
          <w:sz w:val="18"/>
          <w:szCs w:val="18"/>
        </w:rPr>
        <w:t xml:space="preserve">Source: As cited for each instrument in Section 3.</w:t>
      </w:r>
    </w:p>
    <w:p>
      <w:pPr>
        <w:spacing w:after="160" w:line="264" w:lineRule="auto"/>
        <w:jc w:val="both"/>
      </w:pPr>
      <w:r>
        <w:t xml:space="preserve">Reach is the family whose yield is measured most often and found smallest, and the measurements are consistent enough across systems to be treated as a finding rather than as a set of local failures. Contact is cheap wherever employer or pension records hold names, and conversion is the binding constraint. It runs at roughly 1% to 3% for letters, at about 10% where re-licensing and placement are bundled into the contact, and at 11.6% for an advisory service measured against any teaching post. No additionality estimate exists anywhere in the record, and publication tends to stop at the launch announcement, so that the instrument itself is rarely followed; the reading below is qualified throughout by both. Ranked by the scale of return their records document, the rules of permission and price come first, since only rule changes have moved more than 1% of a stated denominator; the job comes next, in the systems where retirees fill a standing supply and adjunct function; and reach comes last, as the classification predicts, since it alone changes nothing about what a return costs or offers.</w:t>
      </w:r>
    </w:p>
    <w:p>
      <w:pPr>
        <w:pStyle w:val="Heading1"/>
        <w:pageBreakBefore/>
      </w:pPr>
      <w:r>
        <w:t xml:space="preserve">4. Conclusions and recommendations</w:t>
      </w:r>
    </w:p>
    <w:p>
      <w:pPr>
        <w:spacing w:after="160" w:line="264" w:lineRule="auto"/>
        <w:jc w:val="both"/>
      </w:pPr>
      <w:r>
        <w:t xml:space="preserve">Most OECD countries face serious teacher shortages, and a growing number of governments have turned to the profession's former members as part of the response. The record those efforts have produced is uneven across systems and administrative in kind, though it is no longer thin. Read family by family in the order a former teacher meets them, it supports a small set of conclusions about how re-entry policy is designed and accounted for.</w:t>
      </w:r>
    </w:p>
    <w:p>
      <w:pPr>
        <w:pStyle w:val="Heading2"/>
      </w:pPr>
      <w:r>
        <w:t xml:space="preserve">4.1 What the compiled record supports</w:t>
      </w:r>
    </w:p>
    <w:p>
      <w:pPr>
        <w:spacing w:after="160" w:line="264" w:lineRule="auto"/>
        <w:jc w:val="both"/>
      </w:pPr>
      <w:r>
        <w:t xml:space="preserve">Former teachers form three populations whose differences govern which instruments can reach them (Section 2). Systems in which retirements dominate departures are addressed most directly by permission and price, whose levers sit in pension statute, whereas systems dominated by working-age resignations, whose leavers cite workload and hours ahead of pay, are addressed by the job, the family of part-time, supply and defined-role designs (Table 1). Reach answers no motive at all, since it works only on what a former teacher knows. Education systems could benefit from decomposing their own departures into the three populations before they choose an instrument, since a measure that succeeds with one population says little about the others.</w:t>
      </w:r>
    </w:p>
    <w:p>
      <w:pPr>
        <w:spacing w:after="160" w:line="264" w:lineRule="auto"/>
        <w:jc w:val="both"/>
      </w:pPr>
      <w:r>
        <w:t xml:space="preserve">Across the four families, the largest documented return flows follow changes to the statutory terms on which a former teacher may be employed and paid. Among the many campaigns implemented to re-attract teachers, both those providing incentives and those easing certification, there is suggestive evidence that they weigh less than changes to the legal rules of the game. Those rule changes appear the more successful route back into the classroom (Section 3). Virginia (United States) halved the break in service for a retiree entering a critical-shortage post and recorded 154 such retirees by late October 2023 against 18 a year earlier (Virginia Retirement System, 2023), whereas North Carolina (United States), which suspended the penalty on drawing pension and salary together, saw roughly 3 500 teachers return over a decade and the flow end with the window (Jarrold-Grapes and Mahler, 2024). Georgia (United States), which stacked screens in front of the same concurrency, recorded 635 full-time rehires in three years in a workforce of about 125 000 and an effect its auditor judged minimal (Georgia Department of Audits and Accounts, 2025). The counts measure different outcomes against different denominators (Table 4), so the reading orients policy without measuring it.</w:t>
      </w:r>
    </w:p>
    <w:p>
      <w:pPr>
        <w:spacing w:after="160" w:line="264" w:lineRule="auto"/>
        <w:jc w:val="both"/>
      </w:pPr>
      <w:r>
        <w:t xml:space="preserve">The rules that move the counts carry a fiscal charge that education ministries neither pay nor observe. Asked in 2026 to cost a further cut in Virginia's break in service from six months to one, the retirement system reported that the teacher plan's unfunded liability would rise by USD 2.73 billion, and added that the change "likely will not net additional active teachers but instead will reclassify a portion of the current active population"; the bill was struck from the docket by 22 votes to none (Virginia Retirement System, 2026). North Carolina's fiscal staff scored a narrower revival of its own window on the assumption that the design would raise the probability of unreduced retirement at first eligibility by 2.5 to 10 percentage points (North Carolina General Assembly, 2025). Both estimate cost rather than effect, and they are the only quantified counterweights in the record. Governments should therefore expect a loosening of permission or price to be scored as an induced-retirement cost and as a reclassification of serving teachers, and should obtain that estimate before legislating.</w:t>
      </w:r>
    </w:p>
    <w:p>
      <w:pPr>
        <w:spacing w:after="160" w:line="264" w:lineRule="auto"/>
        <w:jc w:val="both"/>
      </w:pPr>
      <w:r>
        <w:t xml:space="preserve">What returners are offered matters as much as what they are charged. Workload and working hours explain the resignations of working-age teachers better than pay does, and the best-documented returner segment sought part-time work that schools rarely advertise (Section 2; Worth and Sharp, 2018). The systems whose take-up is dominated by casual and adjunct work, Japan and New South Wales (Australia), are the systems that offered it. Japan documents the limit of that model, since 29 of roughly 68 boards of education answering the shortage survey published in March 2026 attributed part of their shortfall to mandatory retirees wishing to be re-employed in smaller numbers than expected (MEXT, 2026). A reserve composed of retirees depletes on the retirees' own schedule, and education systems should treat that as a supply constraint on the family rather than a defect of design.</w:t>
      </w:r>
    </w:p>
    <w:p>
      <w:pPr>
        <w:spacing w:after="160" w:line="264" w:lineRule="auto"/>
        <w:jc w:val="both"/>
      </w:pPr>
      <w:r>
        <w:t xml:space="preserve">The roles whose learning value the record can demonstrate are the specified ones, and their value has to be read at the scale at which a system would buy them. A scripted first-grade mathematics protocol delivered by a workforce that was 77.3% retired or substitute teachers measured 0.34 standard deviations in a trial of 994 students (Rolfhus et al., 2012), whereas the meta-analytic evidence on tutoring at programme scale gives preferred estimates of 0.16 to 0.21 standard deviations and puts the penalty for tutors who are community members or volunteers at 0.16 standard deviations relative to a teacher (Kraft, Schueler and Falken, 2024). The pair of estimates argues for less optimism about tutoring and for staffing it with people who have taught. A comparable pool deployed in Victoria (Australia) without that specification produced no improvement its auditor could detect (Victorian Auditor-General's Office, 2024), and the one randomised test of retirees mentoring novices was indeterminate (What Works Clearinghouse, 2019). What a system can defensibly buy from its former teachers is therefore a specified role at a specified dose, costed against at-scale rather than trial effects, with evaluation written in.</w:t>
      </w:r>
    </w:p>
    <w:p>
      <w:pPr>
        <w:spacing w:after="160" w:line="264" w:lineRule="auto"/>
        <w:jc w:val="both"/>
      </w:pPr>
      <w:r>
        <w:t xml:space="preserve">Reach is measured most often and yields least, and the figures repeat closely enough across systems to be read as a finding. Austria's regional education directorates sent more than 3 000 letters to retired teachers from autumn 2022 and about 45 accepted, roughly 1.5%, with 300 letters in Vienna producing three returns (Resch, 2025a; ORF Wien, 2023). Hesse (Germany) wrote to about 7 000 and its ministry puts the annual yield at up to 200 posts, roughly 3% (fuldainfo, 2024). New South Wales contacted more than 1 500 teachers from its own staffing records and placed 145, about 10%, by bundling accreditation reactivation, clearance and placement into one contact (NSW Government, 2024). Two advisers in England supported 541 eligible returners in 2015/16 and 63 of them held a post in a state-funded school by September 2016, the highest published conversion at 11.6% on the loosest outcome definition (Straw et al., 2017). Interest is not the constraint, since the pilot alongside that service drew 5 729 registrations and placed 27 in target-subject posts (Buchanan et al., 2018). Conversion is the constraint, and it rises where the contact carries re-licensing and a named vacancy with it, so education systems could benefit from budgeting reach as the cheapest instrument in the sequence and measuring it against the 3% annual rate at which such teachers return unaided.</w:t>
      </w:r>
    </w:p>
    <w:p>
      <w:pPr>
        <w:pStyle w:val="Heading2"/>
      </w:pPr>
      <w:r>
        <w:t xml:space="preserve">4.2 What education systems could do</w:t>
      </w:r>
    </w:p>
    <w:p>
      <w:pPr>
        <w:spacing w:after="160" w:line="264" w:lineRule="auto"/>
        <w:jc w:val="both"/>
      </w:pPr>
      <w:r>
        <w:t xml:space="preserve">Little of the counting that would most improve this record requires new data systems. Education systems could benefit from compiling and publishing a netted count of their potential-returner population, one that discounts lapsed certificates, residence outside the jurisdiction and subject mismatch as the Michigan analysis did (Lindsay, Gnedko-Berry and Wan, 2021), since gross register counts overstate the stock that could plausibly be recruited.</w:t>
      </w:r>
    </w:p>
    <w:p>
      <w:pPr>
        <w:spacing w:after="160" w:line="264" w:lineRule="auto"/>
        <w:jc w:val="both"/>
      </w:pPr>
      <w:r>
        <w:t xml:space="preserve">Governments should also audit what their own rules charge a returner, and publish the result. The four regulatory dials of pay and pension, waits and thresholds, caps on quantity and licence status (Table 3) give such an audit its structure, and the exercise separates the charges a government meant to impose from the settings that persist on inertia; a crediting rule that returns an experienced teacher on the entry salary is at least a setting its owner can be asked to defend (BMBWF, 2023). Most of those settings sit with pension and finance authorities. In France the waiting period and the earnings ceiling belong to the general pension code (Service des Retraites de l'État, 2026), and in Ontario (Canada) the ceiling on days worked moves only by agreement between the pension plan's two co-sponsors (Ontario Teachers' Federation, 2024). Education authorities seeking to lower the price of a return should expect to negotiate it with the bodies that set it.</w:t>
      </w:r>
    </w:p>
    <w:p>
      <w:pPr>
        <w:spacing w:after="160" w:line="264" w:lineRule="auto"/>
        <w:jc w:val="both"/>
      </w:pPr>
      <w:r>
        <w:t xml:space="preserve">On the permission and job margins the evidence points towards specificity. Licensing waivers appear most credible when keyed to an employer's offer and written as a standing rule that needs no annual renewal, since the offer is then the market test of whether a return is real (New Zealand Ministry of Education, 2026). Schools could advertise the part-time and job-share posts that the documented returner segments seek, and public authorities could tie returner support to identified vacancies instead of open registration, the correction England made after its pilot converted wide interest into few posts (NCTL, 2017; Buchanan et al., 2018).</w:t>
      </w:r>
    </w:p>
    <w:p>
      <w:pPr>
        <w:spacing w:after="160" w:line="264" w:lineRule="auto"/>
        <w:jc w:val="both"/>
      </w:pPr>
      <w:r>
        <w:t xml:space="preserve">The record also documents conditions under which spending less is the better course. The Netherlands lowered its own subsidy ceilings because returners were not claiming the money (Ministerie van OCW, 2019a; Tweede Kamer, 2019), Dutch regional partnerships reported more returner applications than schools could absorb (De Jong et al., 2022), and England recorded 17 274 returns to state-funded schools in 2024/25, its highest in a decade, with no returner-specific bursary in operation (Department for Education, 2026). An instrument whose budget goes unclaimed gains little from renewal, and placement counts in any case overstate what a programme durably adds, since the one set of returners followed in linked workforce records proved more likely than the average entrant to have left again after a year (Buchanan et al., 2018). Sponsors should report destinations and one- and three-year survival against a stated denominator, and policymakers must be prepared to conclude that the appropriate expenditure on a given margin is zero.</w:t>
      </w:r>
    </w:p>
    <w:p>
      <w:pPr>
        <w:spacing w:after="160" w:line="264" w:lineRule="auto"/>
        <w:jc w:val="both"/>
      </w:pPr>
      <w:r>
        <w:t xml:space="preserve">Whether any of this is learned depends on who is obliged to count. Take-up is published where the duty to count sits outside the sponsoring authority, and is generally unpublished where it sits with the sponsor or with nobody (Table 5). Of particular interest is the case of Georgia, where one statute contained the re-employment rule, an expiry date and a duty on the state auditor to report before it, so that the renewal decision of 2026 was taken with the take-up counts on the table (Georgia Department of Audits and Accounts, 2025; Teachers Retirement System of Georgia, 2026). Virginia counts as well, though only on the margin its pension body owns. It published 107 rehires for 2022/23, whereas no count exists of the licences its 2022 executive directive had issued to returners whose certificates had lapsed (Commonwealth of Virginia, 2022; Virginia Retirement System, 2023). It is crucial that new re-entry instruments carry the Georgian pairing of a counting duty lodged outside the sponsoring authority and a sunset matched to the decision the count is meant to inform, since the alternative is reporting that stops with the launch announcement (NSW Government, 2024).</w:t>
      </w:r>
    </w:p>
    <w:p>
      <w:pPr>
        <w:keepNext/>
        <w:spacing w:after="120" w:before="200"/>
      </w:pPr>
      <w:r>
        <w:rPr>
          <w:b/>
          <w:bCs/>
          <w:color w:val="4E81BD"/>
          <w:sz w:val="23"/>
          <w:szCs w:val="23"/>
        </w:rPr>
        <w:t xml:space="preserve">Table 5. Take-up is published where a counting duty sits outside the sponsoring authority</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3204"/>
        <w:gridCol w:w="3025"/>
        <w:gridCol w:w="2843"/>
      </w:tblGrid>
      <w:tr>
        <w:trPr>
          <w:tblHeader/>
        </w:trPr>
        <w:tc>
          <w:tcPr>
            <w:tcW w:type="dxa" w:w="3204"/>
            <w:tcBorders>
              <w:top w:val="single" w:color="000000" w:sz="6"/>
              <w:left w:val="none" w:color="FFFFFF" w:sz="0"/>
              <w:bottom w:val="single" w:color="000000" w:sz="6"/>
              <w:right w:val="none" w:color="FFFFFF" w:sz="0"/>
            </w:tcBorders>
            <w:shd w:fill="D2D2D2" w:val="clear"/>
            <w:tcMar>
              <w:top w:type="dxa" w:w="40"/>
              <w:left w:type="dxa" w:w="60"/>
              <w:bottom w:type="dxa" w:w="40"/>
              <w:right w:type="dxa" w:w="60"/>
            </w:tcMar>
            <w:vAlign w:val="center"/>
          </w:tcPr>
          <w:p>
            <w:pPr>
              <w:spacing w:after="0"/>
              <w:jc w:val="left"/>
            </w:pPr>
            <w:r>
              <w:rPr>
                <w:b/>
                <w:bCs/>
                <w:sz w:val="20"/>
                <w:szCs w:val="20"/>
              </w:rPr>
              <w:t xml:space="preserve">System and instrument</w:t>
            </w:r>
          </w:p>
        </w:tc>
        <w:tc>
          <w:tcPr>
            <w:tcW w:type="dxa" w:w="3025"/>
            <w:tcBorders>
              <w:top w:val="single" w:color="000000" w:sz="6"/>
              <w:left w:val="none" w:color="FFFFFF" w:sz="0"/>
              <w:bottom w:val="single" w:color="000000" w:sz="6"/>
              <w:right w:val="none" w:color="FFFFFF" w:sz="0"/>
            </w:tcBorders>
            <w:shd w:fill="D2D2D2" w:val="clear"/>
            <w:tcMar>
              <w:top w:type="dxa" w:w="40"/>
              <w:left w:type="dxa" w:w="60"/>
              <w:bottom w:type="dxa" w:w="40"/>
              <w:right w:type="dxa" w:w="60"/>
            </w:tcMar>
            <w:vAlign w:val="center"/>
          </w:tcPr>
          <w:p>
            <w:pPr>
              <w:spacing w:after="0"/>
              <w:jc w:val="left"/>
            </w:pPr>
            <w:r>
              <w:rPr>
                <w:b/>
                <w:bCs/>
                <w:sz w:val="20"/>
                <w:szCs w:val="20"/>
              </w:rPr>
              <w:t xml:space="preserve">Who counts</w:t>
            </w:r>
          </w:p>
        </w:tc>
        <w:tc>
          <w:tcPr>
            <w:tcW w:type="dxa" w:w="2843"/>
            <w:tcBorders>
              <w:top w:val="single" w:color="000000" w:sz="6"/>
              <w:left w:val="none" w:color="FFFFFF" w:sz="0"/>
              <w:bottom w:val="single" w:color="000000" w:sz="6"/>
              <w:right w:val="none" w:color="FFFFFF" w:sz="0"/>
            </w:tcBorders>
            <w:shd w:fill="D2D2D2" w:val="clear"/>
            <w:tcMar>
              <w:top w:type="dxa" w:w="40"/>
              <w:left w:type="dxa" w:w="60"/>
              <w:bottom w:type="dxa" w:w="40"/>
              <w:right w:type="dxa" w:w="60"/>
            </w:tcMar>
            <w:vAlign w:val="center"/>
          </w:tcPr>
          <w:p>
            <w:pPr>
              <w:spacing w:after="0"/>
              <w:jc w:val="left"/>
            </w:pPr>
            <w:r>
              <w:rPr>
                <w:b/>
                <w:bCs/>
                <w:sz w:val="20"/>
                <w:szCs w:val="20"/>
              </w:rPr>
              <w:t xml:space="preserve">What has been published</w:t>
            </w:r>
          </w:p>
        </w:tc>
      </w:tr>
      <w:tr>
        <w:trPr>
          <w:tblHeader w:val="false"/>
        </w:trPr>
        <w:tc>
          <w:tcPr>
            <w:tcW w:type="dxa" w:w="3204"/>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20"/>
                <w:szCs w:val="20"/>
              </w:rPr>
              <w:t xml:space="preserve">Georgia, retiree re-employment</w:t>
            </w:r>
          </w:p>
        </w:tc>
        <w:tc>
          <w:tcPr>
            <w:tcW w:type="dxa" w:w="3025"/>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20"/>
                <w:szCs w:val="20"/>
              </w:rPr>
              <w:t xml:space="preserve">State auditor, named in the statute</w:t>
            </w:r>
          </w:p>
        </w:tc>
        <w:tc>
          <w:tcPr>
            <w:tcW w:type="dxa" w:w="2843"/>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20"/>
                <w:szCs w:val="20"/>
              </w:rPr>
              <w:t xml:space="preserve">Take-up by year; blocked hires</w:t>
            </w:r>
          </w:p>
        </w:tc>
      </w:tr>
      <w:tr>
        <w:trPr>
          <w:tblHeader w:val="false"/>
        </w:trPr>
        <w:tc>
          <w:tcPr>
            <w:tcW w:type="dxa" w:w="3204"/>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20"/>
                <w:szCs w:val="20"/>
              </w:rPr>
              <w:t xml:space="preserve">Austria, retiree re-employment</w:t>
            </w:r>
          </w:p>
        </w:tc>
        <w:tc>
          <w:tcPr>
            <w:tcW w:type="dxa" w:w="3025"/>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20"/>
                <w:szCs w:val="20"/>
              </w:rPr>
              <w:t xml:space="preserve">Court of Audit, own mandate</w:t>
            </w:r>
          </w:p>
        </w:tc>
        <w:tc>
          <w:tcPr>
            <w:tcW w:type="dxa" w:w="2843"/>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20"/>
                <w:szCs w:val="20"/>
              </w:rPr>
              <w:t xml:space="preserve">Audited take-up, six school years</w:t>
            </w:r>
          </w:p>
        </w:tc>
      </w:tr>
      <w:tr>
        <w:trPr>
          <w:tblHeader w:val="false"/>
        </w:trPr>
        <w:tc>
          <w:tcPr>
            <w:tcW w:type="dxa" w:w="3204"/>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20"/>
                <w:szCs w:val="20"/>
              </w:rPr>
              <w:t xml:space="preserve">New Mexico, return-to-work routes</w:t>
            </w:r>
          </w:p>
        </w:tc>
        <w:tc>
          <w:tcPr>
            <w:tcW w:type="dxa" w:w="3025"/>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20"/>
                <w:szCs w:val="20"/>
              </w:rPr>
              <w:t xml:space="preserve">Retirement board, to the legislature</w:t>
            </w:r>
          </w:p>
        </w:tc>
        <w:tc>
          <w:tcPr>
            <w:tcW w:type="dxa" w:w="2843"/>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20"/>
                <w:szCs w:val="20"/>
              </w:rPr>
              <w:t xml:space="preserve">Annual participation by route</w:t>
            </w:r>
          </w:p>
        </w:tc>
      </w:tr>
      <w:tr>
        <w:trPr>
          <w:tblHeader w:val="false"/>
        </w:trPr>
        <w:tc>
          <w:tcPr>
            <w:tcW w:type="dxa" w:w="3204"/>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20"/>
                <w:szCs w:val="20"/>
              </w:rPr>
              <w:t xml:space="preserve">Virginia, rehires and lapsed licences</w:t>
            </w:r>
          </w:p>
        </w:tc>
        <w:tc>
          <w:tcPr>
            <w:tcW w:type="dxa" w:w="3025"/>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20"/>
                <w:szCs w:val="20"/>
              </w:rPr>
              <w:t xml:space="preserve">Retirement system on rehires; no duty on licences</w:t>
            </w:r>
          </w:p>
        </w:tc>
        <w:tc>
          <w:tcPr>
            <w:tcW w:type="dxa" w:w="2843"/>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20"/>
                <w:szCs w:val="20"/>
              </w:rPr>
              <w:t xml:space="preserve">107 rehires in 2022/23; no licence count</w:t>
            </w:r>
          </w:p>
        </w:tc>
      </w:tr>
      <w:tr>
        <w:trPr>
          <w:tblHeader w:val="false"/>
        </w:trPr>
        <w:tc>
          <w:tcPr>
            <w:tcW w:type="dxa" w:w="3204"/>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20"/>
                <w:szCs w:val="20"/>
              </w:rPr>
              <w:t xml:space="preserve">England, Return to Teaching pilot</w:t>
            </w:r>
          </w:p>
        </w:tc>
        <w:tc>
          <w:tcPr>
            <w:tcW w:type="dxa" w:w="3025"/>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20"/>
                <w:szCs w:val="20"/>
              </w:rPr>
              <w:t xml:space="preserve">Evaluator commissioned by the department</w:t>
            </w:r>
          </w:p>
        </w:tc>
        <w:tc>
          <w:tcPr>
            <w:tcW w:type="dxa" w:w="2843"/>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20"/>
                <w:szCs w:val="20"/>
              </w:rPr>
              <w:t xml:space="preserve">Funnel, cost, survival</w:t>
            </w:r>
          </w:p>
        </w:tc>
      </w:tr>
      <w:tr>
        <w:trPr>
          <w:tblHeader w:val="false"/>
        </w:trPr>
        <w:tc>
          <w:tcPr>
            <w:tcW w:type="dxa" w:w="3204"/>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20"/>
                <w:szCs w:val="20"/>
              </w:rPr>
              <w:t xml:space="preserve">New South Wales, Teachers Re-Engage</w:t>
            </w:r>
          </w:p>
        </w:tc>
        <w:tc>
          <w:tcPr>
            <w:tcW w:type="dxa" w:w="3025"/>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20"/>
                <w:szCs w:val="20"/>
              </w:rPr>
              <w:t xml:space="preserve">The sponsoring department</w:t>
            </w:r>
          </w:p>
        </w:tc>
        <w:tc>
          <w:tcPr>
            <w:tcW w:type="dxa" w:w="2843"/>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20"/>
                <w:szCs w:val="20"/>
              </w:rPr>
              <w:t xml:space="preserve">One media release</w:t>
            </w:r>
          </w:p>
        </w:tc>
      </w:tr>
      <w:tr>
        <w:trPr>
          <w:tblHeader w:val="false"/>
        </w:trPr>
        <w:tc>
          <w:tcPr>
            <w:tcW w:type="dxa" w:w="3204"/>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20"/>
                <w:szCs w:val="20"/>
              </w:rPr>
              <w:t xml:space="preserve">Michigan and France, re-employment rules</w:t>
            </w:r>
          </w:p>
        </w:tc>
        <w:tc>
          <w:tcPr>
            <w:tcW w:type="dxa" w:w="3025"/>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20"/>
                <w:szCs w:val="20"/>
              </w:rPr>
              <w:t xml:space="preserve">No counting duty</w:t>
            </w:r>
          </w:p>
        </w:tc>
        <w:tc>
          <w:tcPr>
            <w:tcW w:type="dxa" w:w="2843"/>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20"/>
                <w:szCs w:val="20"/>
              </w:rPr>
              <w:t xml:space="preserve">No take-up count</w:t>
            </w:r>
          </w:p>
        </w:tc>
      </w:tr>
      <w:tr>
        <w:trPr>
          <w:tblHeader w:val="false"/>
        </w:trPr>
        <w:tc>
          <w:tcPr>
            <w:tcW w:type="dxa" w:w="3204"/>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20"/>
                <w:szCs w:val="20"/>
              </w:rPr>
              <w:t xml:space="preserve">Louisiana, return-to-work framework</w:t>
            </w:r>
          </w:p>
        </w:tc>
        <w:tc>
          <w:tcPr>
            <w:tcW w:type="dxa" w:w="3025"/>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20"/>
                <w:szCs w:val="20"/>
              </w:rPr>
              <w:t xml:space="preserve">Actuary, reporting before 2034</w:t>
            </w:r>
          </w:p>
        </w:tc>
        <w:tc>
          <w:tcPr>
            <w:tcW w:type="dxa" w:w="2843"/>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20"/>
                <w:szCs w:val="20"/>
              </w:rPr>
              <w:t xml:space="preserve">Nothing to date</w:t>
            </w:r>
          </w:p>
        </w:tc>
      </w:tr>
      <w:tr>
        <w:trPr>
          <w:tblHeader w:val="false"/>
        </w:trPr>
        <w:tc>
          <w:tcPr>
            <w:tcW w:type="dxa" w:w="3204"/>
            <w:tcBorders>
              <w:top w:val="none" w:color="FFFFFF" w:sz="0"/>
              <w:left w:val="none" w:color="FFFFFF" w:sz="0"/>
              <w:bottom w:val="single" w:color="000000" w:sz="6"/>
              <w:right w:val="none" w:color="FFFFFF" w:sz="0"/>
            </w:tcBorders>
            <w:tcMar>
              <w:top w:type="dxa" w:w="40"/>
              <w:left w:type="dxa" w:w="60"/>
              <w:bottom w:type="dxa" w:w="40"/>
              <w:right w:type="dxa" w:w="60"/>
            </w:tcMar>
            <w:vAlign w:val="center"/>
          </w:tcPr>
          <w:p>
            <w:pPr>
              <w:spacing w:after="0"/>
              <w:jc w:val="left"/>
            </w:pPr>
            <w:r>
              <w:rPr>
                <w:sz w:val="20"/>
                <w:szCs w:val="20"/>
              </w:rPr>
              <w:t xml:space="preserve">China, Silver Age plans</w:t>
            </w:r>
          </w:p>
        </w:tc>
        <w:tc>
          <w:tcPr>
            <w:tcW w:type="dxa" w:w="3025"/>
            <w:tcBorders>
              <w:top w:val="none" w:color="FFFFFF" w:sz="0"/>
              <w:left w:val="none" w:color="FFFFFF" w:sz="0"/>
              <w:bottom w:val="single" w:color="000000" w:sz="6"/>
              <w:right w:val="none" w:color="FFFFFF" w:sz="0"/>
            </w:tcBorders>
            <w:tcMar>
              <w:top w:type="dxa" w:w="40"/>
              <w:left w:type="dxa" w:w="60"/>
              <w:bottom w:type="dxa" w:w="40"/>
              <w:right w:type="dxa" w:w="60"/>
            </w:tcMar>
            <w:vAlign w:val="center"/>
          </w:tcPr>
          <w:p>
            <w:pPr>
              <w:spacing w:after="0"/>
              <w:jc w:val="left"/>
            </w:pPr>
            <w:r>
              <w:rPr>
                <w:sz w:val="20"/>
                <w:szCs w:val="20"/>
              </w:rPr>
              <w:t xml:space="preserve">None identified</w:t>
            </w:r>
          </w:p>
        </w:tc>
        <w:tc>
          <w:tcPr>
            <w:tcW w:type="dxa" w:w="2843"/>
            <w:tcBorders>
              <w:top w:val="none" w:color="FFFFFF" w:sz="0"/>
              <w:left w:val="none" w:color="FFFFFF" w:sz="0"/>
              <w:bottom w:val="single" w:color="000000" w:sz="6"/>
              <w:right w:val="none" w:color="FFFFFF" w:sz="0"/>
            </w:tcBorders>
            <w:tcMar>
              <w:top w:type="dxa" w:w="40"/>
              <w:left w:type="dxa" w:w="60"/>
              <w:bottom w:type="dxa" w:w="40"/>
              <w:right w:type="dxa" w:w="60"/>
            </w:tcMar>
            <w:vAlign w:val="center"/>
          </w:tcPr>
          <w:p>
            <w:pPr>
              <w:spacing w:after="0"/>
              <w:jc w:val="left"/>
            </w:pPr>
            <w:r>
              <w:rPr>
                <w:sz w:val="20"/>
                <w:szCs w:val="20"/>
              </w:rPr>
              <w:t xml:space="preserve">Recruitment announcements</w:t>
            </w:r>
          </w:p>
        </w:tc>
      </w:tr>
    </w:tbl>
    <w:p>
      <w:pPr>
        <w:spacing w:after="120"/>
      </w:pPr>
    </w:p>
    <w:p>
      <w:pPr>
        <w:spacing w:after="60"/>
        <w:jc w:val="left"/>
      </w:pPr>
      <w:r>
        <w:rPr>
          <w:sz w:val="18"/>
          <w:szCs w:val="18"/>
        </w:rPr>
        <w:t xml:space="preserve">Note: The table records who holds a duty to count, not how the instruments performed.</w:t>
      </w:r>
    </w:p>
    <w:p>
      <w:pPr>
        <w:spacing w:after="60"/>
        <w:jc w:val="left"/>
      </w:pPr>
      <w:r>
        <w:rPr>
          <w:sz w:val="18"/>
          <w:szCs w:val="18"/>
        </w:rPr>
        <w:t xml:space="preserve">Source: As cited for each system in Sections 3 and 4.</w:t>
      </w:r>
    </w:p>
    <w:p>
      <w:pPr>
        <w:pStyle w:val="Heading2"/>
      </w:pPr>
      <w:r>
        <w:t xml:space="preserve">4.3 What remains unknown</w:t>
      </w:r>
    </w:p>
    <w:p>
      <w:pPr>
        <w:spacing w:after="160" w:line="264" w:lineRule="auto"/>
        <w:jc w:val="both"/>
      </w:pPr>
      <w:r>
        <w:t xml:space="preserve">The research agenda that follows is narrow and mostly inexpensive. No quasi-experimental study anywhere prices re-entry incentives, so the causal literature on teacher pay concerns retention and entry only (Fleck et al., 2025). No instrument in any family carries an additionality estimate (Buchanan et al., 2018). The decomposition of departures into the three exit populations lacks a cross-country source, since comparable data separate resignations from retirements without distinguishing job switchers from labour-market exits (OECD, 2025a). Take-up of licensing waivers remains unpublished in every system that grants them, and the largest tutoring deployments do not report what share of their tutors had taught before (Victorian Auditor-General's Office, 2024). The two cheapest items, the netted count and the audit of what the rules charge a returner, rest on data systems that already exist. The binding constraint on learning in this field appears to be the assignment of duties rather than the cost of data.</w:t>
      </w:r>
    </w:p>
    <w:p>
      <w:pPr>
        <w:spacing w:after="160" w:line="264" w:lineRule="auto"/>
        <w:jc w:val="both"/>
      </w:pPr>
      <w:r>
        <w:t xml:space="preserve">Encouraging re-entry is consistent with a view of teaching as a profession that people may leave and rejoin over a working life (OECD, 2024). The compiled record does not show that any instrument resolves a shortage, and the best-documented flows remain small against the stocks they draw on. It does indicate that former teachers respond to the terms on which a return is permitted, priced and shaped more than to the invitations extended to them, and that the authorities owning most of those terms will price a loosening in liabilities before an education ministry can count it in teachers. Systems that publish what their own rules charge a returner, and that count what follows under a duty lodged outside the sponsoring authority, are likely to learn more from the next decade of re-entry policy than the record of the last one has preserved.</w:t>
      </w:r>
    </w:p>
    <w:p>
      <w:pPr>
        <w:pStyle w:val="Heading1"/>
        <w:pageBreakBefore/>
      </w:pPr>
      <w:r>
        <w:t xml:space="preserve">References</w:t>
      </w:r>
    </w:p>
    <w:p>
      <w:pPr>
        <w:spacing w:after="120"/>
        <w:ind w:left="567" w:hanging="567"/>
        <w:jc w:val="left"/>
      </w:pPr>
      <w:r>
        <w:rPr>
          <w:i/>
          <w:iCs/>
          <w:sz w:val="21"/>
          <w:szCs w:val="21"/>
        </w:rPr>
        <w:t xml:space="preserve">Decreto 12/2026, de 4 de febrero</w:t>
      </w:r>
      <w:r>
        <w:rPr>
          <w:sz w:val="21"/>
          <w:szCs w:val="21"/>
        </w:rPr>
        <w:t xml:space="preserve">, por el que se regula la figura y las actividades del profesorado emérito colaborador en centros docentes no universitarios sostenidos con fondos públicos y se crea la Red Comparte Experiencia, Consejería de Desarrollo Educativo y Formación Profesional, Junta de Andalucía, https://noticias.juridicas.com/base_datos/CCAA/987224-d-desarrollo-educativo-12-2026-de-4-feb-ca-andalucia-regula-figura-y-actividades.html (accessed on 19 August 2026).</w:t>
      </w:r>
    </w:p>
    <w:p>
      <w:pPr>
        <w:spacing w:after="120"/>
        <w:ind w:left="567" w:hanging="567"/>
        <w:jc w:val="left"/>
      </w:pPr>
      <w:r>
        <w:rPr>
          <w:sz w:val="21"/>
          <w:szCs w:val="21"/>
        </w:rPr>
        <w:t xml:space="preserve">AARP (2025), "AARP Foundation Experience Corps Celebrates 30 Years", AARP, Washington, DC, https://www.aarp.org/advocacy/experience-corps-celebrates-30-years-2025/.</w:t>
      </w:r>
    </w:p>
    <w:p>
      <w:pPr>
        <w:spacing w:after="120"/>
        <w:ind w:left="567" w:hanging="567"/>
        <w:jc w:val="left"/>
      </w:pPr>
      <w:r>
        <w:rPr>
          <w:sz w:val="21"/>
          <w:szCs w:val="21"/>
        </w:rPr>
        <w:t xml:space="preserve">AITSL (2025), </w:t>
      </w:r>
      <w:r>
        <w:rPr>
          <w:i/>
          <w:iCs/>
          <w:sz w:val="21"/>
          <w:szCs w:val="21"/>
        </w:rPr>
        <w:t xml:space="preserve">National Trends: Teacher Workforce — Australian Teacher Workforce Data (June 2025)</w:t>
      </w:r>
      <w:r>
        <w:rPr>
          <w:sz w:val="21"/>
          <w:szCs w:val="21"/>
        </w:rPr>
        <w:t xml:space="preserve">, Australian Institute for Teaching and School Leadership, Melbourne, https://www.aitsl.edu.au/research/australian-teacher-workforce-data/atwd-reports/national-trends-teacher-workforce-jun2025 (accessed on 4 August 2026).</w:t>
      </w:r>
    </w:p>
    <w:p>
      <w:pPr>
        <w:spacing w:after="120"/>
        <w:ind w:left="567" w:hanging="567"/>
        <w:jc w:val="left"/>
      </w:pPr>
      <w:r>
        <w:rPr>
          <w:sz w:val="21"/>
          <w:szCs w:val="21"/>
        </w:rPr>
        <w:t xml:space="preserve">Aldeman, C. and S. Yi (2025), "Are Teachers Abandoning Teaching? Data Show Teacher Turnover Remains Low", </w:t>
      </w:r>
      <w:r>
        <w:rPr>
          <w:i/>
          <w:iCs/>
          <w:sz w:val="21"/>
          <w:szCs w:val="21"/>
        </w:rPr>
        <w:t xml:space="preserve">Education Next</w:t>
      </w:r>
      <w:r>
        <w:rPr>
          <w:sz w:val="21"/>
          <w:szCs w:val="21"/>
        </w:rPr>
        <w:t xml:space="preserve">, published online 18 December 2025, https://www.educationnext.org/are-teachers-abandoning-teaching-data-show-teacher-turnover-remains-low/.</w:t>
      </w:r>
    </w:p>
    <w:p>
      <w:pPr>
        <w:spacing w:after="120"/>
        <w:ind w:left="567" w:hanging="567"/>
        <w:jc w:val="left"/>
      </w:pPr>
      <w:r>
        <w:rPr>
          <w:sz w:val="21"/>
          <w:szCs w:val="21"/>
        </w:rPr>
        <w:t xml:space="preserve">Alphonso, C. (2024), "Federation opposes proposal to boost number of days retired Ontario teachers can work in classrooms", </w:t>
      </w:r>
      <w:r>
        <w:rPr>
          <w:i/>
          <w:iCs/>
          <w:sz w:val="21"/>
          <w:szCs w:val="21"/>
        </w:rPr>
        <w:t xml:space="preserve">The Globe and Mail</w:t>
      </w:r>
      <w:r>
        <w:rPr>
          <w:sz w:val="21"/>
          <w:szCs w:val="21"/>
        </w:rPr>
        <w:t xml:space="preserve">, 18 March 2024, https://www.theglobeandmail.com/canada/article-proposal-to-boost-number-of-days-retired-ontario-teachers-can-work-in/ (accessed on 4 August 2026).</w:t>
      </w:r>
    </w:p>
    <w:p>
      <w:pPr>
        <w:spacing w:after="120"/>
        <w:ind w:left="567" w:hanging="567"/>
        <w:jc w:val="left"/>
      </w:pPr>
      <w:r>
        <w:rPr>
          <w:sz w:val="21"/>
          <w:szCs w:val="21"/>
        </w:rPr>
        <w:t xml:space="preserve">APA/ORF (2023), "Lehrkräftemangel: Pensionisten umworben", oesterreich.ORF.at, 11 March 2023, https://oesterreich.orf.at/stories/3198263/ (accessed on 4 August 2026).</w:t>
      </w:r>
    </w:p>
    <w:p>
      <w:pPr>
        <w:spacing w:after="120"/>
        <w:ind w:left="567" w:hanging="567"/>
        <w:jc w:val="left"/>
      </w:pPr>
      <w:r>
        <w:rPr>
          <w:sz w:val="21"/>
          <w:szCs w:val="21"/>
        </w:rPr>
        <w:t xml:space="preserve">Assemblée nationale (2020), Question écrite n° 25142 (15e législature) de M. Thibault Bazin sur le délai de carence de 6 mois du cumul emploi-retraite, réponse du 1er septembre 2020, https://questions.assemblee-nationale.fr/q15/15-25142QE.htm (accessed on 4 August 2026).</w:t>
      </w:r>
    </w:p>
    <w:p>
      <w:pPr>
        <w:spacing w:after="120"/>
        <w:ind w:left="567" w:hanging="567"/>
        <w:jc w:val="left"/>
      </w:pPr>
      <w:r>
        <w:rPr>
          <w:sz w:val="21"/>
          <w:szCs w:val="21"/>
        </w:rPr>
        <w:t xml:space="preserve">Assemblée nationale (2023), Question écrite n° 2072 (16e législature) de M. Robin Reda, "Recrutement des enseignants retraités comme enseignants vacataires", réponse du 28 mars 2023, https://questions.assemblee-nationale.fr/q16/16-2072QE.htm (accessed on 4 August 2026).</w:t>
      </w:r>
    </w:p>
    <w:p>
      <w:pPr>
        <w:spacing w:after="120"/>
        <w:ind w:left="567" w:hanging="567"/>
        <w:jc w:val="left"/>
      </w:pPr>
      <w:r>
        <w:rPr>
          <w:sz w:val="21"/>
          <w:szCs w:val="21"/>
        </w:rPr>
        <w:t xml:space="preserve">Assemblée nationale (2024), Question écrite n° 7305 (16e législature) de Mme Béatrice Bellamy, "Volontariat des enseignants retraités pour les remplacements", clôturée sans réponse le 11 juin 2024, https://questions.assemblee-nationale.fr/q16/16-7305QE.htm (accessed on 4 August 2026).</w:t>
      </w:r>
    </w:p>
    <w:p>
      <w:pPr>
        <w:spacing w:after="120"/>
        <w:ind w:left="567" w:hanging="567"/>
        <w:jc w:val="left"/>
      </w:pPr>
      <w:r>
        <w:rPr>
          <w:sz w:val="21"/>
          <w:szCs w:val="21"/>
        </w:rPr>
        <w:t xml:space="preserve">Assemblée nationale (2026), Question écrite n° 11063 (17e législature) de M. Julien Odoul, "Cumul emploi-retraite : quand la réforme de 2015 pénalise les professeurs", réponse du 12 mai 2026, https://questions.assemblee-nationale.fr/q17/17-11063QE.htm (accessed on 4 August 2026).</w:t>
      </w:r>
    </w:p>
    <w:p>
      <w:pPr>
        <w:spacing w:after="120"/>
        <w:ind w:left="567" w:hanging="567"/>
        <w:jc w:val="left"/>
      </w:pPr>
      <w:r>
        <w:rPr>
          <w:sz w:val="21"/>
          <w:szCs w:val="21"/>
        </w:rPr>
        <w:t xml:space="preserve">Association of Secondary Teachers, Ireland (n.d.), "Teaching in Retirement and Abatement", ASTI, Dublin, https://www.asti.ie/your-employment/teaching-in-retirement-and-abatement/ (accessed on 19 August 2026).</w:t>
      </w:r>
    </w:p>
    <w:p>
      <w:pPr>
        <w:spacing w:after="120"/>
        <w:ind w:left="567" w:hanging="567"/>
        <w:jc w:val="left"/>
      </w:pPr>
      <w:r>
        <w:rPr>
          <w:sz w:val="21"/>
          <w:szCs w:val="21"/>
        </w:rPr>
        <w:t xml:space="preserve">Berenschot (2025b), </w:t>
      </w:r>
      <w:r>
        <w:rPr>
          <w:i/>
          <w:iCs/>
          <w:sz w:val="21"/>
          <w:szCs w:val="21"/>
        </w:rPr>
        <w:t xml:space="preserve">Tweede tussenrapportage evaluatieonderzoek onderwijsregio's</w:t>
      </w:r>
      <w:r>
        <w:rPr>
          <w:sz w:val="21"/>
          <w:szCs w:val="21"/>
        </w:rPr>
        <w:t xml:space="preserve">, report for the Ministerie van Onderwijs, Cultuur en Wetenschap, 3 December 2025, https://zoek.officielebekendmakingen.nl/blg-1231029.pdf (accessed on 19 August 2026).</w:t>
      </w:r>
    </w:p>
    <w:p>
      <w:pPr>
        <w:spacing w:after="120"/>
        <w:ind w:left="567" w:hanging="567"/>
        <w:jc w:val="left"/>
      </w:pPr>
      <w:r>
        <w:rPr>
          <w:sz w:val="21"/>
          <w:szCs w:val="21"/>
        </w:rPr>
        <w:t xml:space="preserve">BMBWF (2023), </w:t>
      </w:r>
      <w:r>
        <w:rPr>
          <w:i/>
          <w:iCs/>
          <w:sz w:val="21"/>
          <w:szCs w:val="21"/>
        </w:rPr>
        <w:t xml:space="preserve">Anfragebeantwortung 15155/AB betreffend Quereinstieg und Sonderverträge für Lehrer:innen</w:t>
      </w:r>
      <w:r>
        <w:rPr>
          <w:sz w:val="21"/>
          <w:szCs w:val="21"/>
        </w:rPr>
        <w:t xml:space="preserve"> (answer to parliamentary question 15692/J of 6 July 2023 by Mag. Martina Künsberg Sarre and colleagues), XXVII. GP, Geschäftszahl 2023-0.505.716, Bundesministerium für Bildung, Wissenschaft und Forschung, Vienna, 6 September 2023, https://www.parlament.gv.at/dokument/XXVII/AB/15155/imfname_1582019.pdf (accessed on 5 August 2026).</w:t>
      </w:r>
    </w:p>
    <w:p>
      <w:pPr>
        <w:spacing w:after="120"/>
        <w:ind w:left="567" w:hanging="567"/>
        <w:jc w:val="left"/>
      </w:pPr>
      <w:r>
        <w:rPr>
          <w:sz w:val="21"/>
          <w:szCs w:val="21"/>
        </w:rPr>
        <w:t xml:space="preserve">Brandenburg, R., E. Larsen, A. Simpson, R. Sallis and D. Trần (2024), "'I left the teaching profession … and this is what I am doing now': a national study of teacher attrition", </w:t>
      </w:r>
      <w:r>
        <w:rPr>
          <w:i/>
          <w:iCs/>
          <w:sz w:val="21"/>
          <w:szCs w:val="21"/>
        </w:rPr>
        <w:t xml:space="preserve">The Australian Educational Researcher</w:t>
      </w:r>
      <w:r>
        <w:rPr>
          <w:sz w:val="21"/>
          <w:szCs w:val="21"/>
        </w:rPr>
        <w:t xml:space="preserve">, Vol. 51/5, pp. 2381-2400, https://doi.org/10.1007/s13384-024-00697-1 (accessed on 5 August 2026).</w:t>
      </w:r>
    </w:p>
    <w:p>
      <w:pPr>
        <w:spacing w:after="120"/>
        <w:ind w:left="567" w:hanging="567"/>
        <w:jc w:val="left"/>
      </w:pPr>
      <w:r>
        <w:rPr>
          <w:sz w:val="21"/>
          <w:szCs w:val="21"/>
        </w:rPr>
        <w:t xml:space="preserve">Brummet, Q., E. K. Penner, N. Pharris-Ciurej and S. R. Porter (2024), "After School: An Examination of the Career Paths and Earnings of Former Teachers", </w:t>
      </w:r>
      <w:r>
        <w:rPr>
          <w:i/>
          <w:iCs/>
          <w:sz w:val="21"/>
          <w:szCs w:val="21"/>
        </w:rPr>
        <w:t xml:space="preserve">Educational Evaluation and Policy Analysis</w:t>
      </w:r>
      <w:r>
        <w:rPr>
          <w:sz w:val="21"/>
          <w:szCs w:val="21"/>
        </w:rPr>
        <w:t xml:space="preserve">, published online 26 February 2024, https://doi.org/10.3102/01623737241227906.</w:t>
      </w:r>
    </w:p>
    <w:p>
      <w:pPr>
        <w:spacing w:after="120"/>
        <w:ind w:left="567" w:hanging="567"/>
        <w:jc w:val="left"/>
      </w:pPr>
      <w:r>
        <w:rPr>
          <w:sz w:val="21"/>
          <w:szCs w:val="21"/>
        </w:rPr>
        <w:t xml:space="preserve">Buchanan, E., C. Sharp, J. Worth, K. Martin, S. Bamford and Z. Des Clayes (2018), </w:t>
      </w:r>
      <w:r>
        <w:rPr>
          <w:i/>
          <w:iCs/>
          <w:sz w:val="21"/>
          <w:szCs w:val="21"/>
        </w:rPr>
        <w:t xml:space="preserve">Evaluation of the Return to Teaching Pilot Programme</w:t>
      </w:r>
      <w:r>
        <w:rPr>
          <w:sz w:val="21"/>
          <w:szCs w:val="21"/>
        </w:rPr>
        <w:t xml:space="preserve">, National Foundation for Educational Research report for the Department for Education, London, https://assets.publishing.service.gov.uk/media/5b33aeef40f0b67f6744de9d/Evaluation_of_the_Return_to_Teaching_pilot_programme.pdf (report page: https://www.nfer.ac.uk/publications/evaluation-of-the-return-to-teaching-pilot-programme/) (accessed on 4 August 2026).</w:t>
      </w:r>
    </w:p>
    <w:p>
      <w:pPr>
        <w:spacing w:after="120"/>
        <w:ind w:left="567" w:hanging="567"/>
        <w:jc w:val="left"/>
      </w:pPr>
      <w:r>
        <w:rPr>
          <w:sz w:val="21"/>
          <w:szCs w:val="21"/>
        </w:rPr>
        <w:t xml:space="preserve">Carlson, M. C. et al. (2015), "Impact of the Baltimore Experience Corps Trial on cortical and hippocampal volumes", </w:t>
      </w:r>
      <w:r>
        <w:rPr>
          <w:i/>
          <w:iCs/>
          <w:sz w:val="21"/>
          <w:szCs w:val="21"/>
        </w:rPr>
        <w:t xml:space="preserve">Alzheimer's &amp; Dementia</w:t>
      </w:r>
      <w:r>
        <w:rPr>
          <w:sz w:val="21"/>
          <w:szCs w:val="21"/>
        </w:rPr>
        <w:t xml:space="preserve">, Vol. 11/11, pp. 1340-1348, https://doi.org/10.1016/j.jalz.2014.12.005 (accessed on 4 August 2026).</w:t>
      </w:r>
    </w:p>
    <w:p>
      <w:pPr>
        <w:spacing w:after="120"/>
        <w:ind w:left="567" w:hanging="567"/>
        <w:jc w:val="left"/>
      </w:pPr>
      <w:r>
        <w:rPr>
          <w:sz w:val="21"/>
          <w:szCs w:val="21"/>
        </w:rPr>
        <w:t xml:space="preserve">CCTV (2025), "全国新一轮银龄讲学计划正式启动 将产生什么影响？" ["A new national round of the Silver Age Lecturing Plan is launched: what effects will it have?"], news.cctv.cn, 11 October 2025, https://news.cctv.cn/2025/10/11/ARTIRHxvYIqS1sY6iFaA8RZ3251011.shtml (accessed on 19 August 2026).</w:t>
      </w:r>
    </w:p>
    <w:p>
      <w:pPr>
        <w:spacing w:after="120"/>
        <w:ind w:left="567" w:hanging="567"/>
        <w:jc w:val="left"/>
      </w:pPr>
      <w:r>
        <w:rPr>
          <w:sz w:val="21"/>
          <w:szCs w:val="21"/>
        </w:rPr>
        <w:t xml:space="preserve">Cheng, H. (2025), "External input and internal generation: the Chinese experience of how urban retired teachers maximize support for impoverished rural schools", </w:t>
      </w:r>
      <w:r>
        <w:rPr>
          <w:i/>
          <w:iCs/>
          <w:sz w:val="21"/>
          <w:szCs w:val="21"/>
        </w:rPr>
        <w:t xml:space="preserve">Humanities and Social Sciences Communications</w:t>
      </w:r>
      <w:r>
        <w:rPr>
          <w:sz w:val="21"/>
          <w:szCs w:val="21"/>
        </w:rPr>
        <w:t xml:space="preserve">, Vol. 12, article 968, https://doi.org/10.1057/s41599-025-05421-7 (accessed on 19 August 2026).</w:t>
      </w:r>
    </w:p>
    <w:p>
      <w:pPr>
        <w:spacing w:after="120"/>
        <w:ind w:left="567" w:hanging="567"/>
        <w:jc w:val="left"/>
      </w:pPr>
      <w:r>
        <w:rPr>
          <w:sz w:val="21"/>
          <w:szCs w:val="21"/>
        </w:rPr>
        <w:t xml:space="preserve">Clotfelter, C., E. Glennie, H. Ladd and J. Vigdor (2008), "Would higher salaries keep teachers in high-poverty schools? Evidence from a policy intervention in North Carolina", </w:t>
      </w:r>
      <w:r>
        <w:rPr>
          <w:i/>
          <w:iCs/>
          <w:sz w:val="21"/>
          <w:szCs w:val="21"/>
        </w:rPr>
        <w:t xml:space="preserve">Journal of Public Economics</w:t>
      </w:r>
      <w:r>
        <w:rPr>
          <w:sz w:val="21"/>
          <w:szCs w:val="21"/>
        </w:rPr>
        <w:t xml:space="preserve">, Vol. 92/5-6, pp. 1352-1370, https://www.sciencedirect.com/science/article/abs/pii/S0047272707001065 (accessed on 4 August 2026).</w:t>
      </w:r>
    </w:p>
    <w:p>
      <w:pPr>
        <w:spacing w:after="120"/>
        <w:ind w:left="567" w:hanging="567"/>
        <w:jc w:val="left"/>
      </w:pPr>
      <w:r>
        <w:rPr>
          <w:sz w:val="21"/>
          <w:szCs w:val="21"/>
        </w:rPr>
        <w:t xml:space="preserve">Commonwealth of Virginia (2023), 2023 Acts of Assembly, Chapter 708 (SB 1479; return to work, approved 27 March 2023), https://law.lis.virginia.gov/uncodifiedacts/2023/session1/chapter708/ (accessed on 4 August 2026).</w:t>
      </w:r>
    </w:p>
    <w:p>
      <w:pPr>
        <w:spacing w:after="120"/>
        <w:ind w:left="567" w:hanging="567"/>
        <w:jc w:val="left"/>
      </w:pPr>
      <w:r>
        <w:rPr>
          <w:sz w:val="21"/>
          <w:szCs w:val="21"/>
        </w:rPr>
        <w:t xml:space="preserve">Commonwealth of Virginia (2022), </w:t>
      </w:r>
      <w:r>
        <w:rPr>
          <w:i/>
          <w:iCs/>
          <w:sz w:val="21"/>
          <w:szCs w:val="21"/>
        </w:rPr>
        <w:t xml:space="preserve">Executive Directive Number Three: Addressing Teacher Shortages in Virginia Schools</w:t>
      </w:r>
      <w:r>
        <w:rPr>
          <w:sz w:val="21"/>
          <w:szCs w:val="21"/>
        </w:rPr>
        <w:t xml:space="preserve">, Office of the Governor, Richmond, 1 September 2022 (original URL no longer served; text as distributed by the Virginia Department of Education in SwailLandis, 2023).</w:t>
      </w:r>
    </w:p>
    <w:p>
      <w:pPr>
        <w:spacing w:after="120"/>
        <w:ind w:left="567" w:hanging="567"/>
        <w:jc w:val="left"/>
      </w:pPr>
      <w:r>
        <w:rPr>
          <w:sz w:val="21"/>
          <w:szCs w:val="21"/>
        </w:rPr>
        <w:t xml:space="preserve">Cooper, I. C. (2026), "Statement by the Minister of Education DPM Chester Cooper on the recruitment of up to 300 teachers", ministerial statement, Ministry of Education, Science and Technology, Nassau, 12 July 2026, reproduced by </w:t>
      </w:r>
      <w:r>
        <w:rPr>
          <w:i/>
          <w:iCs/>
          <w:sz w:val="21"/>
          <w:szCs w:val="21"/>
        </w:rPr>
        <w:t xml:space="preserve">Bahamas Press</w:t>
      </w:r>
      <w:r>
        <w:rPr>
          <w:sz w:val="21"/>
          <w:szCs w:val="21"/>
        </w:rPr>
        <w:t xml:space="preserve">, https://www.bahamaspress.com/statement-by-the-minister-of-education-dpm-chester-cooper-on-the-recruitment-of-upto-300-teachers/.</w:t>
      </w:r>
    </w:p>
    <w:p>
      <w:pPr>
        <w:spacing w:after="120"/>
        <w:ind w:left="567" w:hanging="567"/>
        <w:jc w:val="left"/>
      </w:pPr>
      <w:r>
        <w:rPr>
          <w:sz w:val="21"/>
          <w:szCs w:val="21"/>
        </w:rPr>
        <w:t xml:space="preserve">Costrell, R. M. and M. Podgursky (2009), "Peaks, Cliffs, and Valleys: The Peculiar Incentives in Teacher Retirement Systems and Their Consequences for School Staffing", </w:t>
      </w:r>
      <w:r>
        <w:rPr>
          <w:i/>
          <w:iCs/>
          <w:sz w:val="21"/>
          <w:szCs w:val="21"/>
        </w:rPr>
        <w:t xml:space="preserve">Education Finance and Policy</w:t>
      </w:r>
      <w:r>
        <w:rPr>
          <w:sz w:val="21"/>
          <w:szCs w:val="21"/>
        </w:rPr>
        <w:t xml:space="preserve">, Vol. 4/2, pp. 175-211, https://direct.mit.edu/edfp/article/4/2/175/10094/.</w:t>
      </w:r>
    </w:p>
    <w:p>
      <w:pPr>
        <w:spacing w:after="120"/>
        <w:ind w:left="567" w:hanging="567"/>
        <w:jc w:val="left"/>
      </w:pPr>
      <w:r>
        <w:rPr>
          <w:sz w:val="21"/>
          <w:szCs w:val="21"/>
        </w:rPr>
        <w:t xml:space="preserve">Cuervo, H. and E. Vera-Toscano (2025), "Teacher retention and attrition: understanding why teachers leave and their post-teaching pathways in Australia", </w:t>
      </w:r>
      <w:r>
        <w:rPr>
          <w:i/>
          <w:iCs/>
          <w:sz w:val="21"/>
          <w:szCs w:val="21"/>
        </w:rPr>
        <w:t xml:space="preserve">Asia Pacific Journal of Education</w:t>
      </w:r>
      <w:r>
        <w:rPr>
          <w:sz w:val="21"/>
          <w:szCs w:val="21"/>
        </w:rPr>
        <w:t xml:space="preserve">, pp. 1-18, published online 10 March 2025, https://doi.org/10.1080/02188791.2025.2473356 (accessed on 5 August 2026).</w:t>
      </w:r>
    </w:p>
    <w:p>
      <w:pPr>
        <w:spacing w:after="120"/>
        <w:ind w:left="567" w:hanging="567"/>
        <w:jc w:val="left"/>
      </w:pPr>
      <w:r>
        <w:rPr>
          <w:sz w:val="21"/>
          <w:szCs w:val="21"/>
        </w:rPr>
        <w:t xml:space="preserve">De Jong, A., A. Suijkerbuijk, S. van der Ploeg, S. Weijers, E. Stronkhorst and W. Schenke (2022), </w:t>
      </w:r>
      <w:r>
        <w:rPr>
          <w:i/>
          <w:iCs/>
          <w:sz w:val="21"/>
          <w:szCs w:val="21"/>
        </w:rPr>
        <w:t xml:space="preserve">Evaluatieonderzoek Regionale Aanpak Personeelstekorten: Eindrapportage augustus 2022</w:t>
      </w:r>
      <w:r>
        <w:rPr>
          <w:sz w:val="21"/>
          <w:szCs w:val="21"/>
        </w:rPr>
        <w:t xml:space="preserve">, Oberon/Kohnstamm Instituut, Utrecht/Amsterdam, https://www.aanpaklerarentekort.nl/site/binaries/site-content/collections/documents/2022/09/29/evaluatieonderzoek-rap-eindrapportage-augustus-2022/Evaluatieonderzoek+RAP+Eindrapportage+2022.pdf (accessed on 5 August 2026).</w:t>
      </w:r>
    </w:p>
    <w:p>
      <w:pPr>
        <w:spacing w:after="120"/>
        <w:ind w:left="567" w:hanging="567"/>
        <w:jc w:val="left"/>
      </w:pPr>
      <w:r>
        <w:rPr>
          <w:sz w:val="21"/>
          <w:szCs w:val="21"/>
        </w:rPr>
        <w:t xml:space="preserve">DeCesare, D., A. McClelland and B. Randel (2017), </w:t>
      </w:r>
      <w:r>
        <w:rPr>
          <w:i/>
          <w:iCs/>
          <w:sz w:val="21"/>
          <w:szCs w:val="21"/>
        </w:rPr>
        <w:t xml:space="preserve">Impacts of the Retired Mentors for New Teachers Program</w:t>
      </w:r>
      <w:r>
        <w:rPr>
          <w:sz w:val="21"/>
          <w:szCs w:val="21"/>
        </w:rPr>
        <w:t xml:space="preserve"> (REL 2017-225), Regional Educational Laboratory Central, Institute of Education Sciences, U.S. Department of Education, Washington, DC, https://files.eric.ed.gov/fulltext/ED573097.pdf (accessed on 4 August 2026).</w:t>
      </w:r>
    </w:p>
    <w:p>
      <w:pPr>
        <w:spacing w:after="120"/>
        <w:ind w:left="567" w:hanging="567"/>
        <w:jc w:val="left"/>
      </w:pPr>
      <w:r>
        <w:rPr>
          <w:sz w:val="21"/>
          <w:szCs w:val="21"/>
        </w:rPr>
        <w:t xml:space="preserve">Decreto-Lei n.º 51/2024, de 28 de agosto, </w:t>
      </w:r>
      <w:r>
        <w:rPr>
          <w:i/>
          <w:iCs/>
          <w:sz w:val="21"/>
          <w:szCs w:val="21"/>
        </w:rPr>
        <w:t xml:space="preserve">Diário da República</w:t>
      </w:r>
      <w:r>
        <w:rPr>
          <w:sz w:val="21"/>
          <w:szCs w:val="21"/>
        </w:rPr>
        <w:t xml:space="preserve">, 1.ª série, No. 166, 28 August 2024 (Arts. 5 and 6), official PDF via DGAE, https://www.dgae.medu.pt/download/ser-mais-professor-2024/decreto-lei-n-51-2024-de-28-de-agosto.pdf (accessed on 4 August 2026).</w:t>
      </w:r>
    </w:p>
    <w:p>
      <w:pPr>
        <w:spacing w:after="120"/>
        <w:ind w:left="567" w:hanging="567"/>
        <w:jc w:val="left"/>
      </w:pPr>
      <w:r>
        <w:rPr>
          <w:sz w:val="21"/>
          <w:szCs w:val="21"/>
        </w:rPr>
        <w:t xml:space="preserve">Department for Education (2023), "Teacher recruitment and retention: How we're helping former teachers return to education", </w:t>
      </w:r>
      <w:r>
        <w:rPr>
          <w:i/>
          <w:iCs/>
          <w:sz w:val="21"/>
          <w:szCs w:val="21"/>
        </w:rPr>
        <w:t xml:space="preserve">The Education Hub</w:t>
      </w:r>
      <w:r>
        <w:rPr>
          <w:sz w:val="21"/>
          <w:szCs w:val="21"/>
        </w:rPr>
        <w:t xml:space="preserve">, 9 August 2023, https://educationhub.blog.gov.uk/2023/08/teacher-recruitment-and-retention-how-were-helping-former-teachers-return-to-education/.</w:t>
      </w:r>
    </w:p>
    <w:p>
      <w:pPr>
        <w:spacing w:after="120"/>
        <w:ind w:left="567" w:hanging="567"/>
        <w:jc w:val="left"/>
      </w:pPr>
      <w:r>
        <w:rPr>
          <w:sz w:val="21"/>
          <w:szCs w:val="21"/>
        </w:rPr>
        <w:t xml:space="preserve">Department for Education (2025a), </w:t>
      </w:r>
      <w:r>
        <w:rPr>
          <w:i/>
          <w:iCs/>
          <w:sz w:val="21"/>
          <w:szCs w:val="21"/>
        </w:rPr>
        <w:t xml:space="preserve">School Workforce in England: Reporting Year 2024</w:t>
      </w:r>
      <w:r>
        <w:rPr>
          <w:sz w:val="21"/>
          <w:szCs w:val="21"/>
        </w:rPr>
        <w:t xml:space="preserve">, Explore Education Statistics, London, https://explore-education-statistics.service.gov.uk/find-statistics/school-workforce-in-england/2024.</w:t>
      </w:r>
    </w:p>
    <w:p>
      <w:pPr>
        <w:spacing w:after="120"/>
        <w:ind w:left="567" w:hanging="567"/>
        <w:jc w:val="left"/>
      </w:pPr>
      <w:r>
        <w:rPr>
          <w:sz w:val="21"/>
          <w:szCs w:val="21"/>
        </w:rPr>
        <w:t xml:space="preserve">Department for Education (2026), </w:t>
      </w:r>
      <w:r>
        <w:rPr>
          <w:i/>
          <w:iCs/>
          <w:sz w:val="21"/>
          <w:szCs w:val="21"/>
        </w:rPr>
        <w:t xml:space="preserve">6,500 Additional Teachers Delivery Plan</w:t>
      </w:r>
      <w:r>
        <w:rPr>
          <w:sz w:val="21"/>
          <w:szCs w:val="21"/>
        </w:rPr>
        <w:t xml:space="preserve">, Department for Education, London, published 27 April 2026, https://www.gov.uk/government/publications/every-child-achieving-and-thriving/6500-additional-teachers-delivery-plan-html-version (accessed on 19 August 2026).</w:t>
      </w:r>
    </w:p>
    <w:p>
      <w:pPr>
        <w:spacing w:after="120"/>
        <w:ind w:left="567" w:hanging="567"/>
        <w:jc w:val="left"/>
      </w:pPr>
      <w:r>
        <w:rPr>
          <w:sz w:val="21"/>
          <w:szCs w:val="21"/>
        </w:rPr>
        <w:t xml:space="preserve">Department of Education (2019), </w:t>
      </w:r>
      <w:r>
        <w:rPr>
          <w:i/>
          <w:iCs/>
          <w:sz w:val="21"/>
          <w:szCs w:val="21"/>
        </w:rPr>
        <w:t xml:space="preserve">Circular 0054/2019 – Leave Schemes for Registered Teachers Employed in Recognised Primary and Post Primary Schools</w:t>
      </w:r>
      <w:r>
        <w:rPr>
          <w:sz w:val="21"/>
          <w:szCs w:val="21"/>
        </w:rPr>
        <w:t xml:space="preserve">, Department of Education, Dublin, https://assets.gov.ie/static/documents/Circular_0054.2019.pdf (accessed on 4 August 2026).</w:t>
      </w:r>
    </w:p>
    <w:p>
      <w:pPr>
        <w:spacing w:after="120"/>
        <w:ind w:left="567" w:hanging="567"/>
        <w:jc w:val="left"/>
      </w:pPr>
      <w:r>
        <w:rPr>
          <w:sz w:val="21"/>
          <w:szCs w:val="21"/>
        </w:rPr>
        <w:t xml:space="preserve">Department of Education and Youth (2025), </w:t>
      </w:r>
      <w:r>
        <w:rPr>
          <w:i/>
          <w:iCs/>
          <w:sz w:val="21"/>
          <w:szCs w:val="21"/>
        </w:rPr>
        <w:t xml:space="preserve">Information Note TC/IN 0005/2025 – Temporary changes to the Career Break Scheme for Registered Teachers employed in Recognised Primary and Post Primary Schools – 2025/26 School Year</w:t>
      </w:r>
      <w:r>
        <w:rPr>
          <w:sz w:val="21"/>
          <w:szCs w:val="21"/>
        </w:rPr>
        <w:t xml:space="preserve">, Department of Education and Youth, Dublin, 26 June 2025, https://assets.gov.ie/static/documents/TC.IN_0005.2025_Information_Note_Career_Break_for_Teachers_25.26_school_year.pdf (accessed on 4 August 2026).</w:t>
      </w:r>
    </w:p>
    <w:p>
      <w:pPr>
        <w:spacing w:after="120"/>
        <w:ind w:left="567" w:hanging="567"/>
        <w:jc w:val="left"/>
      </w:pPr>
      <w:r>
        <w:rPr>
          <w:sz w:val="21"/>
          <w:szCs w:val="21"/>
        </w:rPr>
        <w:t xml:space="preserve">Department of Education and Youth (2025b), "Minister McEntee announces extension of teacher supply measures", press release, Department of Education and Youth, Dublin, 27 June 2025, https://www.gov.ie/en/department-of-education/press-releases/minister-mcentee-announces-extension-of-teacher-supply-measures/ (accessed on 19 August 2026).</w:t>
      </w:r>
    </w:p>
    <w:p>
      <w:pPr>
        <w:spacing w:after="120"/>
        <w:ind w:left="567" w:hanging="567"/>
        <w:jc w:val="left"/>
      </w:pPr>
      <w:r>
        <w:rPr>
          <w:sz w:val="21"/>
          <w:szCs w:val="21"/>
        </w:rPr>
        <w:t xml:space="preserve">Deutsches Schulportal (2023), "Mehrheit der Länder wirbt gezielt um Lehrkräfte im Pensionsalter" (Länderüberblick survey, 2 August 2023), Robert Bosch Stiftung, https://deutsches-schulportal.de/bildungswesen/laenderueberblick-umfrage-lehrermangel-pensionierte-lehrer/ (accessed on 5 August 2026).</w:t>
      </w:r>
    </w:p>
    <w:p>
      <w:pPr>
        <w:spacing w:after="120"/>
        <w:ind w:left="567" w:hanging="567"/>
        <w:jc w:val="left"/>
      </w:pPr>
      <w:r>
        <w:rPr>
          <w:sz w:val="21"/>
          <w:szCs w:val="21"/>
        </w:rPr>
        <w:t xml:space="preserve">Deutsches Schulportal (2023b), "Job statt Ruhestand: Pensionäre sollen den Lehrermangel auffangen", Robert Bosch Stiftung, Berlin, updated 28 July 2023, https://deutsches-schulportal.de/bildungswesen/job-statt-ruhestand-pensionaere-sollen-den-lehrermangel-auffangen/ (accessed on 19 August 2026).</w:t>
      </w:r>
    </w:p>
    <w:p>
      <w:pPr>
        <w:spacing w:after="120"/>
        <w:ind w:left="567" w:hanging="567"/>
        <w:jc w:val="left"/>
      </w:pPr>
      <w:r>
        <w:rPr>
          <w:sz w:val="21"/>
          <w:szCs w:val="21"/>
        </w:rPr>
        <w:t xml:space="preserve">Diário de Notícias (2024), "Governo queria 200 professores reformados nas escolas. Regressam 63", dn.pt, 3 December 2024, https://www.dn.pt/5687900830/governo-queria-200-professores-reformados-nas-escolas-regressam-63 (accessed on 4 August 2026).</w:t>
      </w:r>
    </w:p>
    <w:p>
      <w:pPr>
        <w:spacing w:after="120"/>
        <w:ind w:left="567" w:hanging="567"/>
        <w:jc w:val="left"/>
      </w:pPr>
      <w:r>
        <w:rPr>
          <w:sz w:val="21"/>
          <w:szCs w:val="21"/>
        </w:rPr>
        <w:t xml:space="preserve">ECO (2026), "Governo diz ter atraído 6.500 professores para a escola pública e garante que número supera reformas", </w:t>
      </w:r>
      <w:r>
        <w:rPr>
          <w:i/>
          <w:iCs/>
          <w:sz w:val="21"/>
          <w:szCs w:val="21"/>
        </w:rPr>
        <w:t xml:space="preserve">ECO</w:t>
      </w:r>
      <w:r>
        <w:rPr>
          <w:sz w:val="21"/>
          <w:szCs w:val="21"/>
        </w:rPr>
        <w:t xml:space="preserve">, 1 July 2026, https://eco.sapo.pt/2026/07/01/governo-diz-ter-atraido-6-500-professores-para-a-escola-publica-e-garante-que-numero-supera-reformas/ (accessed on 19 August 2026).</w:t>
      </w:r>
    </w:p>
    <w:p>
      <w:pPr>
        <w:spacing w:after="120"/>
        <w:ind w:left="567" w:hanging="567"/>
        <w:jc w:val="left"/>
      </w:pPr>
      <w:r>
        <w:rPr>
          <w:sz w:val="21"/>
          <w:szCs w:val="21"/>
        </w:rPr>
        <w:t xml:space="preserve">European Commission (2023), </w:t>
      </w:r>
      <w:r>
        <w:rPr>
          <w:i/>
          <w:iCs/>
          <w:sz w:val="21"/>
          <w:szCs w:val="21"/>
        </w:rPr>
        <w:t xml:space="preserve">Education and Training Monitor 2023: Comparative Report</w:t>
      </w:r>
      <w:r>
        <w:rPr>
          <w:sz w:val="21"/>
          <w:szCs w:val="21"/>
        </w:rPr>
        <w:t xml:space="preserve">, Publications Office of the European Union, Luxembourg, https://op.europa.eu/webpub/eac/education-and-training-monitor-2023/ (accessed on 4 August 2026).</w:t>
      </w:r>
    </w:p>
    <w:p>
      <w:pPr>
        <w:spacing w:after="120"/>
        <w:ind w:left="567" w:hanging="567"/>
        <w:jc w:val="left"/>
      </w:pPr>
      <w:r>
        <w:rPr>
          <w:sz w:val="21"/>
          <w:szCs w:val="21"/>
        </w:rPr>
        <w:t xml:space="preserve">Executive Digest (2026), "Quase 3300 professores reformaram-se este ano letivo e mais de 2000 adiaram saída das escolas", </w:t>
      </w:r>
      <w:r>
        <w:rPr>
          <w:i/>
          <w:iCs/>
          <w:sz w:val="21"/>
          <w:szCs w:val="21"/>
        </w:rPr>
        <w:t xml:space="preserve">Executive Digest</w:t>
      </w:r>
      <w:r>
        <w:rPr>
          <w:sz w:val="21"/>
          <w:szCs w:val="21"/>
        </w:rPr>
        <w:t xml:space="preserve">, August 2026, https://executivedigest.sapo.pt/quase-3300-professores-reformaram-se-este-ano-letivo-e-mais-de-2000-adiaram-saida-das-escolas/ (accessed on 19 August 2026).</w:t>
      </w:r>
    </w:p>
    <w:p>
      <w:pPr>
        <w:spacing w:after="120"/>
        <w:ind w:left="567" w:hanging="567"/>
        <w:jc w:val="left"/>
      </w:pPr>
      <w:r>
        <w:rPr>
          <w:sz w:val="21"/>
          <w:szCs w:val="21"/>
        </w:rPr>
        <w:t xml:space="preserve">Feng, L. and T. Sass (2018), "The impact of incentives to recruit and retain teachers in 'hard-to-staff' subjects", </w:t>
      </w:r>
      <w:r>
        <w:rPr>
          <w:i/>
          <w:iCs/>
          <w:sz w:val="21"/>
          <w:szCs w:val="21"/>
        </w:rPr>
        <w:t xml:space="preserve">Journal of Policy Analysis and Management</w:t>
      </w:r>
      <w:r>
        <w:rPr>
          <w:sz w:val="21"/>
          <w:szCs w:val="21"/>
        </w:rPr>
        <w:t xml:space="preserve">, Vol. 37/1, pp. 112-135, https://onlinelibrary.wiley.com/doi/10.1002/pam.22037 (accessed on 4 August 2026).</w:t>
      </w:r>
    </w:p>
    <w:p>
      <w:pPr>
        <w:spacing w:after="120"/>
        <w:ind w:left="567" w:hanging="567"/>
        <w:jc w:val="left"/>
      </w:pPr>
      <w:r>
        <w:rPr>
          <w:sz w:val="21"/>
          <w:szCs w:val="21"/>
        </w:rPr>
        <w:t xml:space="preserve">Fitzpatrick, M. D. (2015), "How much are public school teachers willing to pay for their retirement benefits?", </w:t>
      </w:r>
      <w:r>
        <w:rPr>
          <w:i/>
          <w:iCs/>
          <w:sz w:val="21"/>
          <w:szCs w:val="21"/>
        </w:rPr>
        <w:t xml:space="preserve">American Economic Journal: Economic Policy</w:t>
      </w:r>
      <w:r>
        <w:rPr>
          <w:sz w:val="21"/>
          <w:szCs w:val="21"/>
        </w:rPr>
        <w:t xml:space="preserve">, Vol. 7/4, https://www.aeaweb.org/articles?id=10.1257/pol.20140087 (accessed on 4 August 2026).</w:t>
      </w:r>
    </w:p>
    <w:p>
      <w:pPr>
        <w:spacing w:after="120"/>
        <w:ind w:left="567" w:hanging="567"/>
        <w:jc w:val="left"/>
      </w:pPr>
      <w:r>
        <w:rPr>
          <w:sz w:val="21"/>
          <w:szCs w:val="21"/>
        </w:rPr>
        <w:t xml:space="preserve">Fleck, L., M. Somers, T. Stolp, W. Groot, F. van Merode and R. de Vries (2025), "The Effectiveness of Interventions to Increase Employment in Education and Healthcare: A Systematic Literature Review", </w:t>
      </w:r>
      <w:r>
        <w:rPr>
          <w:i/>
          <w:iCs/>
          <w:sz w:val="21"/>
          <w:szCs w:val="21"/>
        </w:rPr>
        <w:t xml:space="preserve">De Economist</w:t>
      </w:r>
      <w:r>
        <w:rPr>
          <w:sz w:val="21"/>
          <w:szCs w:val="21"/>
        </w:rPr>
        <w:t xml:space="preserve">, Vol. 173, pp. 1-45, published online 16 December 2024, https://doi.org/10.1007/s10645-024-09440-8 (accessed on 5 August 2026).</w:t>
      </w:r>
    </w:p>
    <w:p>
      <w:pPr>
        <w:spacing w:after="120"/>
        <w:ind w:left="567" w:hanging="567"/>
        <w:jc w:val="left"/>
      </w:pPr>
      <w:r>
        <w:rPr>
          <w:sz w:val="21"/>
          <w:szCs w:val="21"/>
        </w:rPr>
        <w:t xml:space="preserve">Fried, L. P. et al. (2004), "A social model for health promotion for an aging population: Initial evidence on the Experience Corps model", </w:t>
      </w:r>
      <w:r>
        <w:rPr>
          <w:i/>
          <w:iCs/>
          <w:sz w:val="21"/>
          <w:szCs w:val="21"/>
        </w:rPr>
        <w:t xml:space="preserve">Journal of Urban Health</w:t>
      </w:r>
      <w:r>
        <w:rPr>
          <w:sz w:val="21"/>
          <w:szCs w:val="21"/>
        </w:rPr>
        <w:t xml:space="preserve">, Vol. 81/1, pp. 64-78, https://doi.org/10.1093/jurban/jth094 (accessed on 4 August 2026).</w:t>
      </w:r>
    </w:p>
    <w:p>
      <w:pPr>
        <w:spacing w:after="120"/>
        <w:ind w:left="567" w:hanging="567"/>
        <w:jc w:val="left"/>
      </w:pPr>
      <w:r>
        <w:rPr>
          <w:sz w:val="21"/>
          <w:szCs w:val="21"/>
        </w:rPr>
        <w:t xml:space="preserve">Fuchs, L. S., D. L. Compton, D. Fuchs, K. Paulsen, J. D. Bryant and C. L. Hamlett (2005), "The prevention, identification, and cognitive determinants of math difficulty", </w:t>
      </w:r>
      <w:r>
        <w:rPr>
          <w:i/>
          <w:iCs/>
          <w:sz w:val="21"/>
          <w:szCs w:val="21"/>
        </w:rPr>
        <w:t xml:space="preserve">Journal of Educational Psychology</w:t>
      </w:r>
      <w:r>
        <w:rPr>
          <w:sz w:val="21"/>
          <w:szCs w:val="21"/>
        </w:rPr>
        <w:t xml:space="preserve">, Vol. 97/3, pp. 493-513, https://doi.org/10.1037/0022-0663.97.3.493.</w:t>
      </w:r>
    </w:p>
    <w:p>
      <w:pPr>
        <w:spacing w:after="120"/>
        <w:ind w:left="567" w:hanging="567"/>
        <w:jc w:val="left"/>
      </w:pPr>
      <w:r>
        <w:rPr>
          <w:sz w:val="21"/>
          <w:szCs w:val="21"/>
        </w:rPr>
        <w:t xml:space="preserve">fuldainfo (2024), "Hessen hat 200 pensionierte Lehrkräfte für den Schuldienst gewonnen", </w:t>
      </w:r>
      <w:r>
        <w:rPr>
          <w:i/>
          <w:iCs/>
          <w:sz w:val="21"/>
          <w:szCs w:val="21"/>
        </w:rPr>
        <w:t xml:space="preserve">fuldainfo</w:t>
      </w:r>
      <w:r>
        <w:rPr>
          <w:sz w:val="21"/>
          <w:szCs w:val="21"/>
        </w:rPr>
        <w:t xml:space="preserve">, 4 October 2024, https://www.fuldainfo.de/hessen-hat-200-pensionierte-lehrkraefte-fuer-den-schuldienst-gewonnen/ (accessed on 19 August 2026).</w:t>
      </w:r>
    </w:p>
    <w:p>
      <w:pPr>
        <w:spacing w:after="120"/>
        <w:ind w:left="567" w:hanging="567"/>
        <w:jc w:val="left"/>
      </w:pPr>
      <w:r>
        <w:rPr>
          <w:sz w:val="21"/>
          <w:szCs w:val="21"/>
        </w:rPr>
        <w:t xml:space="preserve">General Teaching Council for Scotland (n.d.), "Return to the Register", GTCS, Edinburgh, https://www.gtcs.org.uk/join-the-register/return-to-the-register (accessed on 19 August 2026).</w:t>
      </w:r>
    </w:p>
    <w:p>
      <w:pPr>
        <w:spacing w:after="120"/>
        <w:ind w:left="567" w:hanging="567"/>
        <w:jc w:val="left"/>
      </w:pPr>
      <w:r>
        <w:rPr>
          <w:sz w:val="21"/>
          <w:szCs w:val="21"/>
        </w:rPr>
        <w:t xml:space="preserve">Georgia Department of Audits and Accounts, Performance Audit Division (2025), </w:t>
      </w:r>
      <w:r>
        <w:rPr>
          <w:i/>
          <w:iCs/>
          <w:sz w:val="21"/>
          <w:szCs w:val="21"/>
        </w:rPr>
        <w:t xml:space="preserve">Retired Teachers Return to Work: Requested Information on the Full-Time Employment of Retired Teachers</w:t>
      </w:r>
      <w:r>
        <w:rPr>
          <w:sz w:val="21"/>
          <w:szCs w:val="21"/>
        </w:rPr>
        <w:t xml:space="preserve">, Performance Audit Report No. 24-20, Atlanta, April 2025, https://www.audits.ga.gov/ReportSearch/download/32615 (accessed on 4 August 2026).</w:t>
      </w:r>
    </w:p>
    <w:p>
      <w:pPr>
        <w:spacing w:after="120"/>
        <w:ind w:left="567" w:hanging="567"/>
        <w:jc w:val="left"/>
      </w:pPr>
      <w:r>
        <w:rPr>
          <w:sz w:val="21"/>
          <w:szCs w:val="21"/>
        </w:rPr>
        <w:t xml:space="preserve">Gersten, R., E. Rolfhus, B. Clarke, L. E. Decker, C. Wilkins and J. Dimino (2015), "Intervention for first graders with limited number knowledge: Large-scale replication of a randomized controlled trial", </w:t>
      </w:r>
      <w:r>
        <w:rPr>
          <w:i/>
          <w:iCs/>
          <w:sz w:val="21"/>
          <w:szCs w:val="21"/>
        </w:rPr>
        <w:t xml:space="preserve">American Educational Research Journal</w:t>
      </w:r>
      <w:r>
        <w:rPr>
          <w:sz w:val="21"/>
          <w:szCs w:val="21"/>
        </w:rPr>
        <w:t xml:space="preserve">, Vol. 52/3, pp. 516-546, https://doi.org/10.3102/0002831214565787 (accessed on 4 August 2026).</w:t>
      </w:r>
    </w:p>
    <w:p>
      <w:pPr>
        <w:spacing w:after="120"/>
        <w:ind w:left="567" w:hanging="567"/>
        <w:jc w:val="left"/>
      </w:pPr>
      <w:r>
        <w:rPr>
          <w:sz w:val="21"/>
          <w:szCs w:val="21"/>
        </w:rPr>
        <w:t xml:space="preserve">Glazerman, S., E. Isenberg, S. Dolfin, M. Bleeker, A. Johnson, M. Grider and M. Jacobus (2010), </w:t>
      </w:r>
      <w:r>
        <w:rPr>
          <w:i/>
          <w:iCs/>
          <w:sz w:val="21"/>
          <w:szCs w:val="21"/>
        </w:rPr>
        <w:t xml:space="preserve">Impacts of Comprehensive Teacher Induction: Final Results from a Randomized Controlled Study</w:t>
      </w:r>
      <w:r>
        <w:rPr>
          <w:sz w:val="21"/>
          <w:szCs w:val="21"/>
        </w:rPr>
        <w:t xml:space="preserve"> (NCEE 2010-4028), National Center for Education Evaluation and Regional Assistance, Institute of Education Sciences, U.S. Department of Education, Washington, DC, https://ies.ed.gov/ncee/pubs/20104027/pdf/20104028.pdf.</w:t>
      </w:r>
    </w:p>
    <w:p>
      <w:pPr>
        <w:spacing w:after="120"/>
        <w:ind w:left="567" w:hanging="567"/>
        <w:jc w:val="left"/>
      </w:pPr>
      <w:r>
        <w:rPr>
          <w:sz w:val="21"/>
          <w:szCs w:val="21"/>
        </w:rPr>
        <w:t xml:space="preserve">Global News (2022), "Ontario allowing retired teachers to work more days in bid to address staffing shortages", 10 January 2022, https://globalnews.ca/news/8500734/ontario-retired-teachers-allowed-work-more-days-covid/ (accessed on 4 August 2026).</w:t>
      </w:r>
    </w:p>
    <w:p>
      <w:pPr>
        <w:spacing w:after="120"/>
        <w:ind w:left="567" w:hanging="567"/>
        <w:jc w:val="left"/>
      </w:pPr>
      <w:r>
        <w:rPr>
          <w:sz w:val="21"/>
          <w:szCs w:val="21"/>
        </w:rPr>
        <w:t xml:space="preserve">Grissom, J. A. and M. Reininger (2012), "Who Comes Back? A Longitudinal Analysis of the Reentry Behavior of Exiting Teachers", </w:t>
      </w:r>
      <w:r>
        <w:rPr>
          <w:i/>
          <w:iCs/>
          <w:sz w:val="21"/>
          <w:szCs w:val="21"/>
        </w:rPr>
        <w:t xml:space="preserve">Education Finance and Policy</w:t>
      </w:r>
      <w:r>
        <w:rPr>
          <w:sz w:val="21"/>
          <w:szCs w:val="21"/>
        </w:rPr>
        <w:t xml:space="preserve">, Vol. 7/4, pp. 425-454, https://direct.mit.edu/edfp/article-abstract/7/4/425/10162.</w:t>
      </w:r>
    </w:p>
    <w:p>
      <w:pPr>
        <w:spacing w:after="120"/>
        <w:ind w:left="567" w:hanging="567"/>
        <w:jc w:val="left"/>
      </w:pPr>
      <w:r>
        <w:rPr>
          <w:sz w:val="21"/>
          <w:szCs w:val="21"/>
        </w:rPr>
        <w:t xml:space="preserve">Hammer, K. and C. Alphonso (2010), "Ontario to monitor retired teachers' costly supply work", </w:t>
      </w:r>
      <w:r>
        <w:rPr>
          <w:i/>
          <w:iCs/>
          <w:sz w:val="21"/>
          <w:szCs w:val="21"/>
        </w:rPr>
        <w:t xml:space="preserve">The Globe and Mail</w:t>
      </w:r>
      <w:r>
        <w:rPr>
          <w:sz w:val="21"/>
          <w:szCs w:val="21"/>
        </w:rPr>
        <w:t xml:space="preserve">, 10 May 2010, https://www.theglobeandmail.com/news/national/ontario-to-monitor-retired-teachers-costly-supply-work/article1211108/ (accessed on 4 August 2026).</w:t>
      </w:r>
    </w:p>
    <w:p>
      <w:pPr>
        <w:spacing w:after="120"/>
        <w:ind w:left="567" w:hanging="567"/>
        <w:jc w:val="left"/>
      </w:pPr>
      <w:r>
        <w:rPr>
          <w:sz w:val="21"/>
          <w:szCs w:val="21"/>
        </w:rPr>
        <w:t xml:space="preserve">Harris, D. N. and S. J. Adams (2007), "Understanding the level and causes of teacher turnover: A comparison with other professions", </w:t>
      </w:r>
      <w:r>
        <w:rPr>
          <w:i/>
          <w:iCs/>
          <w:sz w:val="21"/>
          <w:szCs w:val="21"/>
        </w:rPr>
        <w:t xml:space="preserve">Economics of Education Review</w:t>
      </w:r>
      <w:r>
        <w:rPr>
          <w:sz w:val="21"/>
          <w:szCs w:val="21"/>
        </w:rPr>
        <w:t xml:space="preserve">, Vol. 26/3, pp. 325-337, https://www.sciencedirect.com/science/article/abs/pii/S027277570600029X.</w:t>
      </w:r>
    </w:p>
    <w:p>
      <w:pPr>
        <w:spacing w:after="120"/>
        <w:ind w:left="567" w:hanging="567"/>
        <w:jc w:val="left"/>
      </w:pPr>
      <w:r>
        <w:rPr>
          <w:sz w:val="21"/>
          <w:szCs w:val="21"/>
        </w:rPr>
        <w:t xml:space="preserve">Hessisches Ministerium für Kultus, Bildung und Chancen (2024), </w:t>
      </w:r>
      <w:r>
        <w:rPr>
          <w:i/>
          <w:iCs/>
          <w:sz w:val="21"/>
          <w:szCs w:val="21"/>
        </w:rPr>
        <w:t xml:space="preserve">Verlässlichkeit und Qualität – Hessen sichert die bestmögliche Unterrichtsversorgung</w:t>
      </w:r>
      <w:r>
        <w:rPr>
          <w:sz w:val="21"/>
          <w:szCs w:val="21"/>
        </w:rPr>
        <w:t xml:space="preserve">, Wiesbaden, https://kultus.hessen.de/sites/kultus.hessen.de/files/2024-03/handlungskonzept.pdf (accessed on 5 August 2026).</w:t>
      </w:r>
    </w:p>
    <w:p>
      <w:pPr>
        <w:spacing w:after="120"/>
        <w:ind w:left="567" w:hanging="567"/>
        <w:jc w:val="left"/>
      </w:pPr>
      <w:r>
        <w:rPr>
          <w:sz w:val="21"/>
          <w:szCs w:val="21"/>
        </w:rPr>
        <w:t xml:space="preserve">Houses of the Oireachtas (2024), Written Answers, School Staff, Question 327 (Darren O'Rourke to the Minister for Education), 30 April 2024, https://www.kildarestreet.com/wrans/?id=2024-04-30a.699 (accessed on 19 August 2026).</w:t>
      </w:r>
    </w:p>
    <w:p>
      <w:pPr>
        <w:spacing w:after="120"/>
        <w:ind w:left="567" w:hanging="567"/>
        <w:jc w:val="left"/>
      </w:pPr>
      <w:r>
        <w:rPr>
          <w:sz w:val="21"/>
          <w:szCs w:val="21"/>
        </w:rPr>
        <w:t xml:space="preserve">Jackson, C. K. and E. Bruegmann (2009), "Teaching students and teaching each other: The importance of peer learning for teachers", </w:t>
      </w:r>
      <w:r>
        <w:rPr>
          <w:i/>
          <w:iCs/>
          <w:sz w:val="21"/>
          <w:szCs w:val="21"/>
        </w:rPr>
        <w:t xml:space="preserve">American Economic Journal: Applied Economics</w:t>
      </w:r>
      <w:r>
        <w:rPr>
          <w:sz w:val="21"/>
          <w:szCs w:val="21"/>
        </w:rPr>
        <w:t xml:space="preserve">, Vol. 1/4, pp. 85-108, https://www.aeaweb.org/articles?id=10.1257/app.1.4.85.</w:t>
      </w:r>
    </w:p>
    <w:p>
      <w:pPr>
        <w:spacing w:after="120"/>
        <w:ind w:left="567" w:hanging="567"/>
        <w:jc w:val="left"/>
      </w:pPr>
      <w:r>
        <w:rPr>
          <w:sz w:val="21"/>
          <w:szCs w:val="21"/>
        </w:rPr>
        <w:t xml:space="preserve">Jarrold-Grapes, R. and P. P. Mahler (2024), "Retirees return to work: How a North Carolina policy helped staff high-need schools", </w:t>
      </w:r>
      <w:r>
        <w:rPr>
          <w:i/>
          <w:iCs/>
          <w:sz w:val="21"/>
          <w:szCs w:val="21"/>
        </w:rPr>
        <w:t xml:space="preserve">Education Policy Analysis Archives</w:t>
      </w:r>
      <w:r>
        <w:rPr>
          <w:sz w:val="21"/>
          <w:szCs w:val="21"/>
        </w:rPr>
        <w:t xml:space="preserve">, Vol. 32, No. 4, https://doi.org/10.14507/epaa.32.8241 (accessed on 4 August 2026).</w:t>
      </w:r>
    </w:p>
    <w:p>
      <w:pPr>
        <w:spacing w:after="120"/>
        <w:ind w:left="567" w:hanging="567"/>
        <w:jc w:val="left"/>
      </w:pPr>
      <w:r>
        <w:rPr>
          <w:sz w:val="21"/>
          <w:szCs w:val="21"/>
        </w:rPr>
        <w:t xml:space="preserve">Jiang, F. (2023), "'银龄教师行动计划'：人口老龄化背景下教师供给的替代性路径" ["The Silver Age Teacher Action Plan: an alternative pathway for teacher supply in the context of population ageing"], </w:t>
      </w:r>
      <w:r>
        <w:rPr>
          <w:i/>
          <w:iCs/>
          <w:sz w:val="21"/>
          <w:szCs w:val="21"/>
        </w:rPr>
        <w:t xml:space="preserve">Journal of Teacher Education</w:t>
      </w:r>
      <w:r>
        <w:rPr>
          <w:sz w:val="21"/>
          <w:szCs w:val="21"/>
        </w:rPr>
        <w:t xml:space="preserve">, Vol. 10/6, pp. 123-130, https://doi.org/10.13718/j.cnki.jsjy.2023.06.014 (accessed on 19 August 2026).</w:t>
      </w:r>
    </w:p>
    <w:p>
      <w:pPr>
        <w:spacing w:after="120"/>
        <w:ind w:left="567" w:hanging="567"/>
        <w:jc w:val="left"/>
      </w:pPr>
      <w:r>
        <w:rPr>
          <w:sz w:val="21"/>
          <w:szCs w:val="21"/>
        </w:rPr>
        <w:t xml:space="preserve">Junta de Andalucía (2026), "Hasta 2.500 docentes jubilados podrán seguir aportando su experiencia en las aulas andaluzas", Consejería de Desarrollo Educativo y Formación Profesional, Seville, 4 February 2026, https://www.juntadeandalucia.es/educacion/portales/web/actualidad/w/hasta-2.500-docentes-jubilados-podran-seguir-aportando-su-experiencia-en-las-aulas-andaluzas (accessed on 19 August 2026).</w:t>
      </w:r>
    </w:p>
    <w:p>
      <w:pPr>
        <w:spacing w:after="120"/>
        <w:ind w:left="567" w:hanging="567"/>
        <w:jc w:val="left"/>
      </w:pPr>
      <w:r>
        <w:rPr>
          <w:sz w:val="21"/>
          <w:szCs w:val="21"/>
        </w:rPr>
        <w:t xml:space="preserve">Kraft, M. A., B. E. Schueler and G. Falken (2024), </w:t>
      </w:r>
      <w:r>
        <w:rPr>
          <w:i/>
          <w:iCs/>
          <w:sz w:val="21"/>
          <w:szCs w:val="21"/>
        </w:rPr>
        <w:t xml:space="preserve">What Impacts Should We Expect from Tutoring at Scale? Exploring Meta-Analytic Generalizability</w:t>
      </w:r>
      <w:r>
        <w:rPr>
          <w:sz w:val="21"/>
          <w:szCs w:val="21"/>
        </w:rPr>
        <w:t xml:space="preserve">, EdWorkingPaper No. 24-1031, Annenberg Institute at Brown University, Providence, RI, https://doi.org/10.26300/zygj-m525 (accessed on 19 August 2026).</w:t>
      </w:r>
    </w:p>
    <w:p>
      <w:pPr>
        <w:spacing w:after="120"/>
        <w:ind w:left="567" w:hanging="567"/>
        <w:jc w:val="left"/>
      </w:pPr>
      <w:r>
        <w:rPr>
          <w:sz w:val="21"/>
          <w:szCs w:val="21"/>
        </w:rPr>
        <w:t xml:space="preserve">Lindsay, J., N. Gnedko-Berry and C. Wan (2021), </w:t>
      </w:r>
      <w:r>
        <w:rPr>
          <w:i/>
          <w:iCs/>
          <w:sz w:val="21"/>
          <w:szCs w:val="21"/>
        </w:rPr>
        <w:t xml:space="preserve">Michigan Teachers Who Are Not Teaching: Who Are They, and What Would Motivate Them to Teach?</w:t>
      </w:r>
      <w:r>
        <w:rPr>
          <w:sz w:val="21"/>
          <w:szCs w:val="21"/>
        </w:rPr>
        <w:t xml:space="preserve"> (REL 2021-076), Regional Educational Laboratory Midwest, Institute of Education Sciences, U.S. Department of Education, Washington, DC, https://files.eric.ed.gov/fulltext/ED611790.pdf (Study Snapshot: https://eric.ed.gov/?id=ED611792) (accessed on 5 August 2026).</w:t>
      </w:r>
    </w:p>
    <w:p>
      <w:pPr>
        <w:spacing w:after="120"/>
        <w:ind w:left="567" w:hanging="567"/>
        <w:jc w:val="left"/>
      </w:pPr>
      <w:r>
        <w:rPr>
          <w:sz w:val="21"/>
          <w:szCs w:val="21"/>
        </w:rPr>
        <w:t xml:space="preserve">Lizalde Gil, M. and M. P. A. Cortés Pascual (2019), "10 mirrors: El acompañamiento y la orientación formativa de los estudiantes de los grados en magisterio desde la experiencia profesional", in P. Allueva Torres (coord.), </w:t>
      </w:r>
      <w:r>
        <w:rPr>
          <w:i/>
          <w:iCs/>
          <w:sz w:val="21"/>
          <w:szCs w:val="21"/>
        </w:rPr>
        <w:t xml:space="preserve">Orientación y calidad educativa universitarias</w:t>
      </w:r>
      <w:r>
        <w:rPr>
          <w:sz w:val="21"/>
          <w:szCs w:val="21"/>
        </w:rPr>
        <w:t xml:space="preserve">, Servicio de Publicaciones, Universidad de Zaragoza, Zaragoza, pp. 373-384, https://dialnet.unirioja.es/servlet/articulo?codigo=8153125.</w:t>
      </w:r>
    </w:p>
    <w:p>
      <w:pPr>
        <w:spacing w:after="120"/>
        <w:ind w:left="567" w:hanging="567"/>
        <w:jc w:val="left"/>
      </w:pPr>
      <w:r>
        <w:rPr>
          <w:sz w:val="21"/>
          <w:szCs w:val="21"/>
        </w:rPr>
        <w:t xml:space="preserve">Louisiana Legislative Auditor (2024), </w:t>
      </w:r>
      <w:r>
        <w:rPr>
          <w:i/>
          <w:iCs/>
          <w:sz w:val="21"/>
          <w:szCs w:val="21"/>
        </w:rPr>
        <w:t xml:space="preserve">Actuarial Note, House Bill 967 (Enrolled)</w:t>
      </w:r>
      <w:r>
        <w:rPr>
          <w:sz w:val="21"/>
          <w:szCs w:val="21"/>
        </w:rPr>
        <w:t xml:space="preserve">, LLA Note HB 967.03, Baton Rouge, 21 May 2024, https://legis.la.gov/legis/ViewDocument.aspx?d=1377079 (accessed on 19 August 2026).</w:t>
      </w:r>
    </w:p>
    <w:p>
      <w:pPr>
        <w:spacing w:after="120"/>
        <w:ind w:left="567" w:hanging="567"/>
        <w:jc w:val="left"/>
      </w:pPr>
      <w:r>
        <w:rPr>
          <w:sz w:val="21"/>
          <w:szCs w:val="21"/>
        </w:rPr>
        <w:t xml:space="preserve">Louisiana Legislature (2024), </w:t>
      </w:r>
      <w:r>
        <w:rPr>
          <w:i/>
          <w:iCs/>
          <w:sz w:val="21"/>
          <w:szCs w:val="21"/>
        </w:rPr>
        <w:t xml:space="preserve">Act No. 394 (House Bill 967)</w:t>
      </w:r>
      <w:r>
        <w:rPr>
          <w:sz w:val="21"/>
          <w:szCs w:val="21"/>
        </w:rPr>
        <w:t xml:space="preserve">, enacted text, Baton Rouge, https://legis.la.gov/legis/ViewDocument.aspx?d=1380547 (accessed on 19 August 2026).</w:t>
      </w:r>
    </w:p>
    <w:p>
      <w:pPr>
        <w:spacing w:after="120"/>
        <w:ind w:left="567" w:hanging="567"/>
        <w:jc w:val="left"/>
      </w:pPr>
      <w:r>
        <w:rPr>
          <w:sz w:val="21"/>
          <w:szCs w:val="21"/>
        </w:rPr>
        <w:t xml:space="preserve">MEXT (2026), 令和7年度「教師不足」に関する実態調査 [</w:t>
      </w:r>
      <w:r>
        <w:rPr>
          <w:i/>
          <w:iCs/>
          <w:sz w:val="21"/>
          <w:szCs w:val="21"/>
        </w:rPr>
        <w:t xml:space="preserve">Reiwa 7 survey on teacher shortages</w:t>
      </w:r>
      <w:r>
        <w:rPr>
          <w:sz w:val="21"/>
          <w:szCs w:val="21"/>
        </w:rPr>
        <w:t xml:space="preserve">], Ministry of Education, Culture, Sports, Science and Technology, Tokyo, published 5 March 2026, https://www.mext.go.jp/content/20260302-mxt_kyoikujinzai01-000047773_1_1.pdf (accessed on 19 August 2026).</w:t>
      </w:r>
    </w:p>
    <w:p>
      <w:pPr>
        <w:spacing w:after="120"/>
        <w:ind w:left="567" w:hanging="567"/>
        <w:jc w:val="left"/>
      </w:pPr>
      <w:r>
        <w:rPr>
          <w:sz w:val="21"/>
          <w:szCs w:val="21"/>
        </w:rPr>
        <w:t xml:space="preserve">Michigan Education Association (2023), "Changes to post-retirement return to work rules signed into law", MEA, East Lansing, MI, https://mea.org/changes-to-post-retirement-return-to-work-rules-signed-into-law/ (accessed on 19 August 2026).</w:t>
      </w:r>
    </w:p>
    <w:p>
      <w:pPr>
        <w:spacing w:after="120"/>
        <w:ind w:left="567" w:hanging="567"/>
        <w:jc w:val="left"/>
      </w:pPr>
      <w:r>
        <w:rPr>
          <w:sz w:val="21"/>
          <w:szCs w:val="21"/>
        </w:rPr>
        <w:t xml:space="preserve">Michigan Office of Retirement Services (2022), "Archive: PA 184 of 2022 – Change to working after retirement rules", https://www.michigan.gov/psru/administration-and-compliance/archive-legislative-updates/pa-184-of-2022---change-to-working-after-retirement-rules (accessed on 4 August 2026).</w:t>
      </w:r>
    </w:p>
    <w:p>
      <w:pPr>
        <w:spacing w:after="120"/>
        <w:ind w:left="567" w:hanging="567"/>
        <w:jc w:val="left"/>
      </w:pPr>
      <w:r>
        <w:rPr>
          <w:sz w:val="21"/>
          <w:szCs w:val="21"/>
        </w:rPr>
        <w:t xml:space="preserve">Michigan Office of Retirement Services (2023), "Public Act 147 of 2023 working after retirement FAQ", https://www.michigan.gov/psru/reporting-resources/frequently-asked-questions/public-act-147-of-2023-working-after-retirement-faq (accessed on 4 August 2026).</w:t>
      </w:r>
    </w:p>
    <w:p>
      <w:pPr>
        <w:spacing w:after="120"/>
        <w:ind w:left="567" w:hanging="567"/>
        <w:jc w:val="left"/>
      </w:pPr>
      <w:r>
        <w:rPr>
          <w:sz w:val="21"/>
          <w:szCs w:val="21"/>
        </w:rPr>
        <w:t xml:space="preserve">Ministerie van OCW (2017), "Regeling tegemoetkoming herintreders primair onderwijs", </w:t>
      </w:r>
      <w:r>
        <w:rPr>
          <w:i/>
          <w:iCs/>
          <w:sz w:val="21"/>
          <w:szCs w:val="21"/>
        </w:rPr>
        <w:t xml:space="preserve">Staatscourant</w:t>
      </w:r>
      <w:r>
        <w:rPr>
          <w:sz w:val="21"/>
          <w:szCs w:val="21"/>
        </w:rPr>
        <w:t xml:space="preserve"> 2017, No. 62002, https://zoek.officielebekendmakingen.nl/stcrt-2017-62002.html (accessed on 5 August 2026).</w:t>
      </w:r>
    </w:p>
    <w:p>
      <w:pPr>
        <w:spacing w:after="120"/>
        <w:ind w:left="567" w:hanging="567"/>
        <w:jc w:val="left"/>
      </w:pPr>
      <w:r>
        <w:rPr>
          <w:sz w:val="21"/>
          <w:szCs w:val="21"/>
        </w:rPr>
        <w:t xml:space="preserve">Ministerie van OCW (2019a), "Regeling tot wijziging van de Regeling tegemoetkoming herintreders primair onderwijs", </w:t>
      </w:r>
      <w:r>
        <w:rPr>
          <w:i/>
          <w:iCs/>
          <w:sz w:val="21"/>
          <w:szCs w:val="21"/>
        </w:rPr>
        <w:t xml:space="preserve">Staatscourant</w:t>
      </w:r>
      <w:r>
        <w:rPr>
          <w:sz w:val="21"/>
          <w:szCs w:val="21"/>
        </w:rPr>
        <w:t xml:space="preserve"> 2019, No. 28510, https://zoek.officielebekendmakingen.nl/stcrt-2019-28510.html (accessed on 5 August 2026).</w:t>
      </w:r>
    </w:p>
    <w:p>
      <w:pPr>
        <w:spacing w:after="120"/>
        <w:ind w:left="567" w:hanging="567"/>
        <w:jc w:val="left"/>
      </w:pPr>
      <w:r>
        <w:rPr>
          <w:sz w:val="21"/>
          <w:szCs w:val="21"/>
        </w:rPr>
        <w:t xml:space="preserve">Ministerie van OCW (2019b), "Subsidie voor herintreders", Nieuwsbrief, 3 July 2019, https://www.nieuwsbrievenminocw.nl/actueel/nieuws/2019/07/03/subsidie-voor-herintreders (accessed on 5 August 2026).</w:t>
      </w:r>
    </w:p>
    <w:p>
      <w:pPr>
        <w:spacing w:after="120"/>
        <w:ind w:left="567" w:hanging="567"/>
        <w:jc w:val="left"/>
      </w:pPr>
      <w:r>
        <w:rPr>
          <w:sz w:val="21"/>
          <w:szCs w:val="21"/>
        </w:rPr>
        <w:t xml:space="preserve">MOE (2025), "MOE to launch 2025 National Silver Age Teacher Action Plan", Ministry of Education of the People's Republic of China, 11 October 2025, http://en.moe.gov.cn/news/press_releases/202510/t20251011_1416386.html.</w:t>
      </w:r>
    </w:p>
    <w:p>
      <w:pPr>
        <w:spacing w:after="120"/>
        <w:ind w:left="567" w:hanging="567"/>
        <w:jc w:val="left"/>
      </w:pPr>
      <w:r>
        <w:rPr>
          <w:sz w:val="21"/>
          <w:szCs w:val="21"/>
        </w:rPr>
        <w:t xml:space="preserve">MOE and MOF (2018), 教育部 财政部关于印发《银龄讲学计划实施方案》的通知 [Notice on Issuing the Implementation Scheme of the Silver Age Lecturing Plan], 教师〔2018〕7号, Ministry of Education and Ministry of Finance, Beijing, July 2018, http://www.moe.gov.cn/srcsite/A10/s7151/201807/t20180719_343448.html (accessed on 4 August 2026).</w:t>
      </w:r>
    </w:p>
    <w:p>
      <w:pPr>
        <w:spacing w:after="120"/>
        <w:ind w:left="567" w:hanging="567"/>
        <w:jc w:val="left"/>
      </w:pPr>
      <w:r>
        <w:rPr>
          <w:sz w:val="21"/>
          <w:szCs w:val="21"/>
        </w:rPr>
        <w:t xml:space="preserve">MOE and MOF (2025), 教育部办公厅 财政部办公厅关于做好2025年银龄讲学计划有关实施工作的通知 [</w:t>
      </w:r>
      <w:r>
        <w:rPr>
          <w:i/>
          <w:iCs/>
          <w:sz w:val="21"/>
          <w:szCs w:val="21"/>
        </w:rPr>
        <w:t xml:space="preserve">Notice on the implementation of the 2025 Silver Age Lecturing Plan</w:t>
      </w:r>
      <w:r>
        <w:rPr>
          <w:sz w:val="21"/>
          <w:szCs w:val="21"/>
        </w:rPr>
        <w:t xml:space="preserve">], 教师厅函〔2025〕16号, Ministry of Education and Ministry of Finance, Beijing, 16 September 2025, http://www.moe.gov.cn/srcsite/A10/s7151/202509/t20250926_1415058.html (accessed on 19 August 2026).</w:t>
      </w:r>
    </w:p>
    <w:p>
      <w:pPr>
        <w:spacing w:after="120"/>
        <w:ind w:left="567" w:hanging="567"/>
        <w:jc w:val="left"/>
      </w:pPr>
      <w:r>
        <w:rPr>
          <w:sz w:val="21"/>
          <w:szCs w:val="21"/>
        </w:rPr>
        <w:t xml:space="preserve">MOE et al. (2023), 教育部等十部门关于印发《国家银龄教师行动计划》的通知 [Notice by the Ministry of Education and Nine Other Departments on Issuing the National Silver Age Teachers Action Plan], 教师〔2023〕6号, 14 July 2023, https://www.gov.cn/zhengce/zhengceku/202308/content_6900984.htm (accessed on 4 August 2026).</w:t>
      </w:r>
    </w:p>
    <w:p>
      <w:pPr>
        <w:spacing w:after="120"/>
        <w:ind w:left="567" w:hanging="567"/>
        <w:jc w:val="left"/>
      </w:pPr>
      <w:r>
        <w:rPr>
          <w:sz w:val="21"/>
          <w:szCs w:val="21"/>
        </w:rPr>
        <w:t xml:space="preserve">Morrow-Howell, N., M. Jonson-Reid, S. McCrary, Y. Lee and E. Spitznagel (2009), </w:t>
      </w:r>
      <w:r>
        <w:rPr>
          <w:i/>
          <w:iCs/>
          <w:sz w:val="21"/>
          <w:szCs w:val="21"/>
        </w:rPr>
        <w:t xml:space="preserve">Evaluation of Experience Corps: Student Reading Outcomes</w:t>
      </w:r>
      <w:r>
        <w:rPr>
          <w:sz w:val="21"/>
          <w:szCs w:val="21"/>
        </w:rPr>
        <w:t xml:space="preserve"> (CSD Research Report 09-01), Center for Social Development, Washington University in St. Louis, https://csd.wustl.edu/09-01/ (accessed on 5 August 2026).</w:t>
      </w:r>
    </w:p>
    <w:p>
      <w:pPr>
        <w:spacing w:after="120"/>
        <w:ind w:left="567" w:hanging="567"/>
        <w:jc w:val="left"/>
      </w:pPr>
      <w:r>
        <w:rPr>
          <w:sz w:val="21"/>
          <w:szCs w:val="21"/>
        </w:rPr>
        <w:t xml:space="preserve">Moyer, A. (2022), "Has 'Who Comes Back' Changed? Teacher Reentry 2000-2019", </w:t>
      </w:r>
      <w:r>
        <w:rPr>
          <w:i/>
          <w:iCs/>
          <w:sz w:val="21"/>
          <w:szCs w:val="21"/>
        </w:rPr>
        <w:t xml:space="preserve">Educational Researcher</w:t>
      </w:r>
      <w:r>
        <w:rPr>
          <w:sz w:val="21"/>
          <w:szCs w:val="21"/>
        </w:rPr>
        <w:t xml:space="preserve">, Vol. 51/8, pp. 544-546, https://doi.org/10.3102/0013189X221122746.</w:t>
      </w:r>
    </w:p>
    <w:p>
      <w:pPr>
        <w:spacing w:after="120"/>
        <w:ind w:left="567" w:hanging="567"/>
        <w:jc w:val="left"/>
      </w:pPr>
      <w:r>
        <w:rPr>
          <w:sz w:val="21"/>
          <w:szCs w:val="21"/>
        </w:rPr>
        <w:t xml:space="preserve">Munnings, L. (2026), "BUT president urges minister to fix teacher shortages", </w:t>
      </w:r>
      <w:r>
        <w:rPr>
          <w:i/>
          <w:iCs/>
          <w:sz w:val="21"/>
          <w:szCs w:val="21"/>
        </w:rPr>
        <w:t xml:space="preserve">The Tribune</w:t>
      </w:r>
      <w:r>
        <w:rPr>
          <w:sz w:val="21"/>
          <w:szCs w:val="21"/>
        </w:rPr>
        <w:t xml:space="preserve"> (Nassau), 8 June 2026, https://www.tribune242.com/news/2026/jun/08/but-president-urges-minister-to-fix-teacher-shortages/ (accessed on 5 August 2026).</w:t>
      </w:r>
    </w:p>
    <w:p>
      <w:pPr>
        <w:spacing w:after="120"/>
        <w:ind w:left="567" w:hanging="567"/>
        <w:jc w:val="left"/>
      </w:pPr>
      <w:r>
        <w:rPr>
          <w:sz w:val="21"/>
          <w:szCs w:val="21"/>
        </w:rPr>
        <w:t xml:space="preserve">NCES (2023), "Eight Percent of Public School Teachers Left Teaching in 2021, a Rate Unchanged Since Last Measured in 2012", press release, 13 December 2023, National Center for Education Statistics, Institute of Education Sciences, U.S. Department of Education, Washington, DC, https://ies.ed.gov/learn/press-release/eight-percent-public-school-teachers-left-teaching-2021-rate-unchanged-last-measured-2012 (accessed on 5 August 2026).</w:t>
      </w:r>
    </w:p>
    <w:p>
      <w:pPr>
        <w:spacing w:after="120"/>
        <w:ind w:left="567" w:hanging="567"/>
        <w:jc w:val="left"/>
      </w:pPr>
      <w:r>
        <w:rPr>
          <w:sz w:val="21"/>
          <w:szCs w:val="21"/>
        </w:rPr>
        <w:t xml:space="preserve">NCTL (2017), </w:t>
      </w:r>
      <w:r>
        <w:rPr>
          <w:i/>
          <w:iCs/>
          <w:sz w:val="21"/>
          <w:szCs w:val="21"/>
        </w:rPr>
        <w:t xml:space="preserve">Returners Engagement Programme Pilot: Programme and Application Guidance</w:t>
      </w:r>
      <w:r>
        <w:rPr>
          <w:sz w:val="21"/>
          <w:szCs w:val="21"/>
        </w:rPr>
        <w:t xml:space="preserve">, National College for Teaching and Leadership, January 2017, https://dera.ioe.ac.uk/28252/1/returners-engagement-programme-application-guidance-cohort-2.pdf (accessed on 4 August 2026).</w:t>
      </w:r>
    </w:p>
    <w:p>
      <w:pPr>
        <w:spacing w:after="120"/>
        <w:ind w:left="567" w:hanging="567"/>
        <w:jc w:val="left"/>
      </w:pPr>
      <w:r>
        <w:rPr>
          <w:sz w:val="21"/>
          <w:szCs w:val="21"/>
        </w:rPr>
        <w:t xml:space="preserve">New Mexico Educational Retirement Board (2023), </w:t>
      </w:r>
      <w:r>
        <w:rPr>
          <w:i/>
          <w:iCs/>
          <w:sz w:val="21"/>
          <w:szCs w:val="21"/>
        </w:rPr>
        <w:t xml:space="preserve">Discussion on Return to Work</w:t>
      </w:r>
      <w:r>
        <w:rPr>
          <w:sz w:val="21"/>
          <w:szCs w:val="21"/>
        </w:rPr>
        <w:t xml:space="preserve">, presentation to the Investments &amp; Pensions Oversight Committee, 31 October 2023, https://www.nmlegis.gov/handouts/IPOC%20103123%20Item%204%20E.%20Educational%20Retirement%20Board--Return%20to%20Work.pdf (accessed on 4 August 2026).</w:t>
      </w:r>
    </w:p>
    <w:p>
      <w:pPr>
        <w:spacing w:after="120"/>
        <w:ind w:left="567" w:hanging="567"/>
        <w:jc w:val="left"/>
      </w:pPr>
      <w:r>
        <w:rPr>
          <w:sz w:val="21"/>
          <w:szCs w:val="21"/>
        </w:rPr>
        <w:t xml:space="preserve">New Mexico Educational Retirement Board (2025), "Recent Legislation / Legislative Proposals" (SB 133 of 2025), https://www.erb.nm.gov/legislation/recent-legislation-legislative-proposals/ (accessed on 4 August 2026).</w:t>
      </w:r>
    </w:p>
    <w:p>
      <w:pPr>
        <w:spacing w:after="120"/>
        <w:ind w:left="567" w:hanging="567"/>
        <w:jc w:val="left"/>
      </w:pPr>
      <w:r>
        <w:rPr>
          <w:sz w:val="21"/>
          <w:szCs w:val="21"/>
        </w:rPr>
        <w:t xml:space="preserve">New Mexico Educational Retirement Board (2025b), </w:t>
      </w:r>
      <w:r>
        <w:rPr>
          <w:i/>
          <w:iCs/>
          <w:sz w:val="21"/>
          <w:szCs w:val="21"/>
        </w:rPr>
        <w:t xml:space="preserve">Educational Retirement Board Updates</w:t>
      </w:r>
      <w:r>
        <w:rPr>
          <w:sz w:val="21"/>
          <w:szCs w:val="21"/>
        </w:rPr>
        <w:t xml:space="preserve">, handout to the Investments and Pensions Oversight Committee, Santa Fe, NM, 18 July 2025, https://www.nmlegis.gov/handouts/IPOC%20071825%20Item%201%20-%20ERB%20-%20Information%20and%20Updates.pdf (accessed on 19 August 2026).</w:t>
      </w:r>
    </w:p>
    <w:p>
      <w:pPr>
        <w:spacing w:after="120"/>
        <w:ind w:left="567" w:hanging="567"/>
        <w:jc w:val="left"/>
      </w:pPr>
      <w:r>
        <w:rPr>
          <w:sz w:val="21"/>
          <w:szCs w:val="21"/>
        </w:rPr>
        <w:t xml:space="preserve">New Mexico Legislative Finance Committee (2022), </w:t>
      </w:r>
      <w:r>
        <w:rPr>
          <w:i/>
          <w:iCs/>
          <w:sz w:val="21"/>
          <w:szCs w:val="21"/>
        </w:rPr>
        <w:t xml:space="preserve">Fiscal Impact Report: House Bill 73/aHEC, Educational Retirees Returning to Work</w:t>
      </w:r>
      <w:r>
        <w:rPr>
          <w:sz w:val="21"/>
          <w:szCs w:val="21"/>
        </w:rPr>
        <w:t xml:space="preserve">, Santa Fe, NM, 1 February 2022, https://www.nmlegis.gov/Sessions/22%20Regular/firs/HB0073.PDF (accessed on 19 August 2026).</w:t>
      </w:r>
    </w:p>
    <w:p>
      <w:pPr>
        <w:spacing w:after="120"/>
        <w:ind w:left="567" w:hanging="567"/>
        <w:jc w:val="left"/>
      </w:pPr>
      <w:r>
        <w:rPr>
          <w:sz w:val="21"/>
          <w:szCs w:val="21"/>
        </w:rPr>
        <w:t xml:space="preserve">New Mexico Legislative Finance Committee (2025), </w:t>
      </w:r>
      <w:r>
        <w:rPr>
          <w:i/>
          <w:iCs/>
          <w:sz w:val="21"/>
          <w:szCs w:val="21"/>
        </w:rPr>
        <w:t xml:space="preserve">Fiscal Impact Report: Senate Bill 133/aSEC, Educational Retirees Returning to Work</w:t>
      </w:r>
      <w:r>
        <w:rPr>
          <w:sz w:val="21"/>
          <w:szCs w:val="21"/>
        </w:rPr>
        <w:t xml:space="preserve">, Santa Fe, NM, 20 February 2025, https://www.nmlegis.gov/Sessions/25%20Regular/firs/SB0133.PDF (accessed on 19 August 2026).</w:t>
      </w:r>
    </w:p>
    <w:p>
      <w:pPr>
        <w:spacing w:after="120"/>
        <w:ind w:left="567" w:hanging="567"/>
        <w:jc w:val="left"/>
      </w:pPr>
      <w:r>
        <w:rPr>
          <w:sz w:val="21"/>
          <w:szCs w:val="21"/>
        </w:rPr>
        <w:t xml:space="preserve">New Mexico Legislature (2022), "HB 73: Educational Retirees Returning to Work", 2022 Regular Session, Chapter 20, https://www.nmlegis.gov/Legislation/Legislation?chamber=H&amp;legType=B&amp;legNo=73&amp;year=22 (accessed on 4 August 2026).</w:t>
      </w:r>
    </w:p>
    <w:p>
      <w:pPr>
        <w:spacing w:after="120"/>
        <w:ind w:left="567" w:hanging="567"/>
        <w:jc w:val="left"/>
      </w:pPr>
      <w:r>
        <w:rPr>
          <w:sz w:val="21"/>
          <w:szCs w:val="21"/>
        </w:rPr>
        <w:t xml:space="preserve">New Zealand Government (2025), "New Teacher Bonding Scheme supports schools and teachers", Beehive press release, Hon Erica Stanford, 19 September 2025, https://www.beehive.govt.nz/release/new-teacher-bonding-scheme-supports-schools-and-teachers.</w:t>
      </w:r>
    </w:p>
    <w:p>
      <w:pPr>
        <w:spacing w:after="120"/>
        <w:ind w:left="567" w:hanging="567"/>
        <w:jc w:val="left"/>
      </w:pPr>
      <w:r>
        <w:rPr>
          <w:sz w:val="21"/>
          <w:szCs w:val="21"/>
        </w:rPr>
        <w:t xml:space="preserve">New Zealand Government (2025b), "Backing teachers: Teacher registrations funded", Beehive press release, Hon Erica Stanford, Wellington, 28 April 2025, https://www.beehive.govt.nz/release/backing-teachers-teacher-registrations-funded (accessed on 19 August 2026).</w:t>
      </w:r>
    </w:p>
    <w:p>
      <w:pPr>
        <w:spacing w:after="120"/>
        <w:ind w:left="567" w:hanging="567"/>
        <w:jc w:val="left"/>
      </w:pPr>
      <w:r>
        <w:rPr>
          <w:sz w:val="21"/>
          <w:szCs w:val="21"/>
        </w:rPr>
        <w:t xml:space="preserve">New Zealand Legislation (2020), </w:t>
      </w:r>
      <w:r>
        <w:rPr>
          <w:i/>
          <w:iCs/>
          <w:sz w:val="21"/>
          <w:szCs w:val="21"/>
        </w:rPr>
        <w:t xml:space="preserve">Education and Training Act 2020</w:t>
      </w:r>
      <w:r>
        <w:rPr>
          <w:sz w:val="21"/>
          <w:szCs w:val="21"/>
        </w:rPr>
        <w:t xml:space="preserve">, No 38, Schedule 3, https://www.legislation.govt.nz/act/public/2020/0038/latest/LMS261224.html (accessed on 4 August 2026).</w:t>
      </w:r>
    </w:p>
    <w:p>
      <w:pPr>
        <w:spacing w:after="120"/>
        <w:ind w:left="567" w:hanging="567"/>
        <w:jc w:val="left"/>
      </w:pPr>
      <w:r>
        <w:rPr>
          <w:sz w:val="21"/>
          <w:szCs w:val="21"/>
        </w:rPr>
        <w:t xml:space="preserve">New Zealand Ministry of Education (2026), "Looking for a relief teacher", Education Workforce website, Te Tāhuhu o te Mātauranga, updated 18 June 2026, https://workforce.education.govt.nz/principals-and-schools/local-employment-and-recruitment-support/looking-relief-teacher (accessed on 4 August 2026).</w:t>
      </w:r>
    </w:p>
    <w:p>
      <w:pPr>
        <w:spacing w:after="120"/>
        <w:ind w:left="567" w:hanging="567"/>
        <w:jc w:val="left"/>
      </w:pPr>
      <w:r>
        <w:rPr>
          <w:sz w:val="21"/>
          <w:szCs w:val="21"/>
        </w:rPr>
        <w:t xml:space="preserve">New Zealand Ministry of Education (2026b), "Changes to the system for regulating the teaching workforce", Te Tāhuhu o te Mātauranga, Wellington, 24 June 2026, https://www.education.govt.nz/news/changes-system-regulating-teaching-workforce (accessed on 19 August 2026).</w:t>
      </w:r>
    </w:p>
    <w:p>
      <w:pPr>
        <w:spacing w:after="120"/>
        <w:ind w:left="567" w:hanging="567"/>
        <w:jc w:val="left"/>
      </w:pPr>
      <w:r>
        <w:rPr>
          <w:sz w:val="21"/>
          <w:szCs w:val="21"/>
        </w:rPr>
        <w:t xml:space="preserve">news4teachers (2025), "Immer mehr (eigentlich) pensionierte Lehrer arbeiten im Schuldienst", </w:t>
      </w:r>
      <w:r>
        <w:rPr>
          <w:i/>
          <w:iCs/>
          <w:sz w:val="21"/>
          <w:szCs w:val="21"/>
        </w:rPr>
        <w:t xml:space="preserve">news4teachers</w:t>
      </w:r>
      <w:r>
        <w:rPr>
          <w:sz w:val="21"/>
          <w:szCs w:val="21"/>
        </w:rPr>
        <w:t xml:space="preserve">, 7 April 2025, reporting answers by the Hessian Minister of Education to two parliamentary questions, https://www.news4teachers.de/2025/04/immer-mehr-eigentlich-pensionierte-lehrer-arbeiten-im-schuldienst/ (accessed on 19 August 2026).</w:t>
      </w:r>
    </w:p>
    <w:p>
      <w:pPr>
        <w:spacing w:after="120"/>
        <w:ind w:left="567" w:hanging="567"/>
        <w:jc w:val="left"/>
      </w:pPr>
      <w:r>
        <w:rPr>
          <w:sz w:val="21"/>
          <w:szCs w:val="21"/>
        </w:rPr>
        <w:t xml:space="preserve">Nguyen, T. D., E. Bettini, C. Redding and A. F. Gilmour (2025), "Comparing Teacher Turnover Intentions to Actual Turnover: Cautions and Lessons for the Field", </w:t>
      </w:r>
      <w:r>
        <w:rPr>
          <w:i/>
          <w:iCs/>
          <w:sz w:val="21"/>
          <w:szCs w:val="21"/>
        </w:rPr>
        <w:t xml:space="preserve">Educational Evaluation and Policy Analysis</w:t>
      </w:r>
      <w:r>
        <w:rPr>
          <w:sz w:val="21"/>
          <w:szCs w:val="21"/>
        </w:rPr>
        <w:t xml:space="preserve">, https://journals.sagepub.com/doi/abs/10.3102/01623737241249459.</w:t>
      </w:r>
    </w:p>
    <w:p>
      <w:pPr>
        <w:spacing w:after="120"/>
        <w:ind w:left="567" w:hanging="567"/>
        <w:jc w:val="left"/>
      </w:pPr>
      <w:r>
        <w:rPr>
          <w:sz w:val="21"/>
          <w:szCs w:val="21"/>
        </w:rPr>
        <w:t xml:space="preserve">Nguyen, T. D., L. D. Pham, M. Crouch and M. G. Springer (2020), "The correlates of teacher turnover: An updated and expanded meta-analysis of the literature", </w:t>
      </w:r>
      <w:r>
        <w:rPr>
          <w:i/>
          <w:iCs/>
          <w:sz w:val="21"/>
          <w:szCs w:val="21"/>
        </w:rPr>
        <w:t xml:space="preserve">Educational Research Review</w:t>
      </w:r>
      <w:r>
        <w:rPr>
          <w:sz w:val="21"/>
          <w:szCs w:val="21"/>
        </w:rPr>
        <w:t xml:space="preserve">, Vol. 31, 100355, https://www.sciencedirect.com/science/article/abs/pii/S1747938X19305597.</w:t>
      </w:r>
    </w:p>
    <w:p>
      <w:pPr>
        <w:spacing w:after="120"/>
        <w:ind w:left="567" w:hanging="567"/>
        <w:jc w:val="left"/>
      </w:pPr>
      <w:r>
        <w:rPr>
          <w:sz w:val="21"/>
          <w:szCs w:val="21"/>
        </w:rPr>
        <w:t xml:space="preserve">Nickow, A., P. Oreopoulos and V. Quan (2024), "The promise of tutoring for preK-12 learning: A systematic review and meta-analysis of the experimental evidence", </w:t>
      </w:r>
      <w:r>
        <w:rPr>
          <w:i/>
          <w:iCs/>
          <w:sz w:val="21"/>
          <w:szCs w:val="21"/>
        </w:rPr>
        <w:t xml:space="preserve">American Educational Research Journal</w:t>
      </w:r>
      <w:r>
        <w:rPr>
          <w:sz w:val="21"/>
          <w:szCs w:val="21"/>
        </w:rPr>
        <w:t xml:space="preserve">, Vol. 61/1, pp. 74-107, https://journals.sagepub.com/doi/10.3102/00028312231208687.</w:t>
      </w:r>
    </w:p>
    <w:p>
      <w:pPr>
        <w:spacing w:after="120"/>
        <w:ind w:left="567" w:hanging="567"/>
        <w:jc w:val="left"/>
      </w:pPr>
      <w:r>
        <w:rPr>
          <w:sz w:val="21"/>
          <w:szCs w:val="21"/>
        </w:rPr>
        <w:t xml:space="preserve">Nippon.com (2026), "3,827 Teacher Positions Unfilled across Japan: 2025 Survey", https://www.nippon.com/en/news/yjj2026030500966/ (accessed on 5 August 2026).</w:t>
      </w:r>
    </w:p>
    <w:p>
      <w:pPr>
        <w:spacing w:after="120"/>
        <w:ind w:left="567" w:hanging="567"/>
        <w:jc w:val="left"/>
      </w:pPr>
      <w:r>
        <w:rPr>
          <w:sz w:val="21"/>
          <w:szCs w:val="21"/>
        </w:rPr>
        <w:t xml:space="preserve">North Carolina General Assembly (2019), </w:t>
      </w:r>
      <w:r>
        <w:rPr>
          <w:i/>
          <w:iCs/>
          <w:sz w:val="21"/>
          <w:szCs w:val="21"/>
        </w:rPr>
        <w:t xml:space="preserve">Session Law 2019-110 (Senate Bill 399)</w:t>
      </w:r>
      <w:r>
        <w:rPr>
          <w:sz w:val="21"/>
          <w:szCs w:val="21"/>
        </w:rPr>
        <w:t xml:space="preserve">, Raleigh, NC, https://www.ncleg.gov/EnactedLegislation/SessionLaws/HTML/2019-2020/SL2019-110.html (accessed on 19 August 2026).</w:t>
      </w:r>
    </w:p>
    <w:p>
      <w:pPr>
        <w:spacing w:after="120"/>
        <w:ind w:left="567" w:hanging="567"/>
        <w:jc w:val="left"/>
      </w:pPr>
      <w:r>
        <w:rPr>
          <w:sz w:val="21"/>
          <w:szCs w:val="21"/>
        </w:rPr>
        <w:t xml:space="preserve">North Carolina General Assembly, Fiscal Research Division (2025), </w:t>
      </w:r>
      <w:r>
        <w:rPr>
          <w:i/>
          <w:iCs/>
          <w:sz w:val="21"/>
          <w:szCs w:val="21"/>
        </w:rPr>
        <w:t xml:space="preserve">Legislative Actuarial Note — Retirement: House Bill 106 (Second Edition), Revive High-Need Retired Teachers Program</w:t>
      </w:r>
      <w:r>
        <w:rPr>
          <w:sz w:val="21"/>
          <w:szCs w:val="21"/>
        </w:rPr>
        <w:t xml:space="preserve">, Raleigh, NC, 11 April 2025, https://www.ncleg.gov/Sessions/2025/FiscalNotes/House/PDF/HAR106v2.pdf (accessed on 19 August 2026).</w:t>
      </w:r>
    </w:p>
    <w:p>
      <w:pPr>
        <w:spacing w:after="120"/>
        <w:ind w:left="567" w:hanging="567"/>
        <w:jc w:val="left"/>
      </w:pPr>
      <w:r>
        <w:rPr>
          <w:sz w:val="21"/>
          <w:szCs w:val="21"/>
        </w:rPr>
        <w:t xml:space="preserve">NSW Department of Education (2024), </w:t>
      </w:r>
      <w:r>
        <w:rPr>
          <w:i/>
          <w:iCs/>
          <w:sz w:val="21"/>
          <w:szCs w:val="21"/>
        </w:rPr>
        <w:t xml:space="preserve">NSW Department of Education Annual Report 2023-24</w:t>
      </w:r>
      <w:r>
        <w:rPr>
          <w:sz w:val="21"/>
          <w:szCs w:val="21"/>
        </w:rPr>
        <w:t xml:space="preserve">, Sydney, https://education.nsw.gov.au/content/dam/main-education/en/home/about-us/strategies-and-reports/annual-reports/nsw-doe-annual-report-2023-24.pdf (accessed on 4 August 2026).</w:t>
      </w:r>
    </w:p>
    <w:p>
      <w:pPr>
        <w:spacing w:after="120"/>
        <w:ind w:left="567" w:hanging="567"/>
        <w:jc w:val="left"/>
      </w:pPr>
      <w:r>
        <w:rPr>
          <w:sz w:val="21"/>
          <w:szCs w:val="21"/>
        </w:rPr>
        <w:t xml:space="preserve">NSW Department of Education (2025), </w:t>
      </w:r>
      <w:r>
        <w:rPr>
          <w:i/>
          <w:iCs/>
          <w:sz w:val="21"/>
          <w:szCs w:val="21"/>
        </w:rPr>
        <w:t xml:space="preserve">Annual Report 2024-25</w:t>
      </w:r>
      <w:r>
        <w:rPr>
          <w:sz w:val="21"/>
          <w:szCs w:val="21"/>
        </w:rPr>
        <w:t xml:space="preserve">, Sydney, https://education.nsw.gov.au/content/dam/main-education/en/home/about-us/strategies-and-reports/annual-reports/DoE_Annual_Report_2024-25.pdf (accessed on 4 August 2026).</w:t>
      </w:r>
    </w:p>
    <w:p>
      <w:pPr>
        <w:spacing w:after="120"/>
        <w:ind w:left="567" w:hanging="567"/>
        <w:jc w:val="left"/>
      </w:pPr>
      <w:r>
        <w:rPr>
          <w:sz w:val="21"/>
          <w:szCs w:val="21"/>
        </w:rPr>
        <w:t xml:space="preserve">NSW Department of Education (2026), "Returning teachers", teach.NSW webpage, last updated 8 July 2026, https://education.nsw.gov.au/teach-nsw/find-teaching-jobs/returning-teachers (accessed on 4 August 2026).</w:t>
      </w:r>
    </w:p>
    <w:p>
      <w:pPr>
        <w:spacing w:after="120"/>
        <w:ind w:left="567" w:hanging="567"/>
        <w:jc w:val="left"/>
      </w:pPr>
      <w:r>
        <w:rPr>
          <w:sz w:val="21"/>
          <w:szCs w:val="21"/>
        </w:rPr>
        <w:t xml:space="preserve">NSW Government (2024), "Retired teachers return to classrooms as part of initiative to address shortage", media release, Minister for Education and Early Learning, 8 May 2024, https://www.nsw.gov.au/media-releases/retired-teachers-return-to-classrooms (accessed on 4 August 2026).</w:t>
      </w:r>
    </w:p>
    <w:p>
      <w:pPr>
        <w:spacing w:after="120"/>
        <w:ind w:left="567" w:hanging="567"/>
        <w:jc w:val="left"/>
      </w:pPr>
      <w:r>
        <w:rPr>
          <w:sz w:val="21"/>
          <w:szCs w:val="21"/>
        </w:rPr>
        <w:t xml:space="preserve">OCEOTA (2024), "OTF Decision on 50-day rule", Ontario Catholic English Occasional Teachers Association, 18 March 2024, http://oceota.com/2024/03/18/otf-decision-on-50-day-rule/ (accessed on 4 August 2026).</w:t>
      </w:r>
    </w:p>
    <w:p>
      <w:pPr>
        <w:spacing w:after="120"/>
        <w:ind w:left="567" w:hanging="567"/>
        <w:jc w:val="left"/>
      </w:pPr>
      <w:r>
        <w:rPr>
          <w:sz w:val="21"/>
          <w:szCs w:val="21"/>
        </w:rPr>
        <w:t xml:space="preserve">OECD (2005), </w:t>
      </w:r>
      <w:r>
        <w:rPr>
          <w:i/>
          <w:iCs/>
          <w:sz w:val="21"/>
          <w:szCs w:val="21"/>
        </w:rPr>
        <w:t xml:space="preserve">Teachers Matter: Attracting, Developing and Retaining Effective Teachers</w:t>
      </w:r>
      <w:r>
        <w:rPr>
          <w:sz w:val="21"/>
          <w:szCs w:val="21"/>
        </w:rPr>
        <w:t xml:space="preserve">, Education and Training Policy, OECD Publishing, Paris, https://doi.org/10.1787/9789264018044-en (accessed on 5 August 2026).</w:t>
      </w:r>
    </w:p>
    <w:p>
      <w:pPr>
        <w:spacing w:after="120"/>
        <w:ind w:left="567" w:hanging="567"/>
        <w:jc w:val="left"/>
      </w:pPr>
      <w:r>
        <w:rPr>
          <w:sz w:val="21"/>
          <w:szCs w:val="21"/>
        </w:rPr>
        <w:t xml:space="preserve">OECD (2020), </w:t>
      </w:r>
      <w:r>
        <w:rPr>
          <w:i/>
          <w:iCs/>
          <w:sz w:val="21"/>
          <w:szCs w:val="21"/>
        </w:rPr>
        <w:t xml:space="preserve">TALIS 2018 Results (Volume II): Teachers and School Leaders as Valued Professionals</w:t>
      </w:r>
      <w:r>
        <w:rPr>
          <w:sz w:val="21"/>
          <w:szCs w:val="21"/>
        </w:rPr>
        <w:t xml:space="preserve">, TALIS, OECD Publishing, Paris, https://doi.org/10.1787/19cf08df-en (report page: https://www.oecd.org/en/publications/talis-2018-results-volume-ii_19cf08df-en.html).</w:t>
      </w:r>
    </w:p>
    <w:p>
      <w:pPr>
        <w:spacing w:after="120"/>
        <w:ind w:left="567" w:hanging="567"/>
        <w:jc w:val="left"/>
      </w:pPr>
      <w:r>
        <w:rPr>
          <w:sz w:val="21"/>
          <w:szCs w:val="21"/>
        </w:rPr>
        <w:t xml:space="preserve">OECD (2023b), </w:t>
      </w:r>
      <w:r>
        <w:rPr>
          <w:i/>
          <w:iCs/>
          <w:sz w:val="21"/>
          <w:szCs w:val="21"/>
        </w:rPr>
        <w:t xml:space="preserve">PISA 2022 Results (Volume II): Learning During – and From – Disruption</w:t>
      </w:r>
      <w:r>
        <w:rPr>
          <w:sz w:val="21"/>
          <w:szCs w:val="21"/>
        </w:rPr>
        <w:t xml:space="preserve">, PISA, OECD Publishing, Paris, https://doi.org/10.1787/a97db61c-en (accessed on 5 August 2026).</w:t>
      </w:r>
    </w:p>
    <w:p>
      <w:pPr>
        <w:spacing w:after="120"/>
        <w:ind w:left="567" w:hanging="567"/>
        <w:jc w:val="left"/>
      </w:pPr>
      <w:r>
        <w:rPr>
          <w:sz w:val="21"/>
          <w:szCs w:val="21"/>
        </w:rPr>
        <w:t xml:space="preserve">OECD (2024), </w:t>
      </w:r>
      <w:r>
        <w:rPr>
          <w:i/>
          <w:iCs/>
          <w:sz w:val="21"/>
          <w:szCs w:val="21"/>
        </w:rPr>
        <w:t xml:space="preserve">Education Policy Outlook 2024: Reshaping Teaching into a Thriving Profession from ABCs to AI</w:t>
      </w:r>
      <w:r>
        <w:rPr>
          <w:sz w:val="21"/>
          <w:szCs w:val="21"/>
        </w:rPr>
        <w:t xml:space="preserve">, OECD Publishing, Paris, https://doi.org/10.1787/dd5140e4-en (accessed on 5 August 2026).</w:t>
      </w:r>
    </w:p>
    <w:p>
      <w:pPr>
        <w:spacing w:after="120"/>
        <w:ind w:left="567" w:hanging="567"/>
        <w:jc w:val="left"/>
      </w:pPr>
      <w:r>
        <w:rPr>
          <w:sz w:val="21"/>
          <w:szCs w:val="21"/>
        </w:rPr>
        <w:t xml:space="preserve">OECD (2025a), </w:t>
      </w:r>
      <w:r>
        <w:rPr>
          <w:i/>
          <w:iCs/>
          <w:sz w:val="21"/>
          <w:szCs w:val="21"/>
        </w:rPr>
        <w:t xml:space="preserve">Education at a Glance 2025: OECD Indicators</w:t>
      </w:r>
      <w:r>
        <w:rPr>
          <w:sz w:val="21"/>
          <w:szCs w:val="21"/>
        </w:rPr>
        <w:t xml:space="preserve">, OECD Publishing, Paris, https://doi.org/10.1787/1c0d9c79-en (accessed on 5 August 2026).</w:t>
      </w:r>
    </w:p>
    <w:p>
      <w:pPr>
        <w:spacing w:after="120"/>
        <w:ind w:left="567" w:hanging="567"/>
        <w:jc w:val="left"/>
      </w:pPr>
      <w:r>
        <w:rPr>
          <w:sz w:val="21"/>
          <w:szCs w:val="21"/>
        </w:rPr>
        <w:t xml:space="preserve">OECD (2025b), </w:t>
      </w:r>
      <w:r>
        <w:rPr>
          <w:i/>
          <w:iCs/>
          <w:sz w:val="21"/>
          <w:szCs w:val="21"/>
        </w:rPr>
        <w:t xml:space="preserve">Results from TALIS 2024: The State of Teaching</w:t>
      </w:r>
      <w:r>
        <w:rPr>
          <w:sz w:val="21"/>
          <w:szCs w:val="21"/>
        </w:rPr>
        <w:t xml:space="preserve">, TALIS, OECD Publishing, Paris, https://doi.org/10.1787/90df6235-en (accessed on 5 August 2026).</w:t>
      </w:r>
    </w:p>
    <w:p>
      <w:pPr>
        <w:spacing w:after="120"/>
        <w:ind w:left="567" w:hanging="567"/>
        <w:jc w:val="left"/>
      </w:pPr>
      <w:r>
        <w:rPr>
          <w:sz w:val="21"/>
          <w:szCs w:val="21"/>
        </w:rPr>
        <w:t xml:space="preserve">oesterreich.gv.at (2026), "Zuverdienst während der Pension" and "Geringfügigkeitsgrenze", Bundesministerium für Finanzen, Vienna, https://www.oesterreich.gv.at/de/themen/arbeit_beruf_und_pension/pension/Seite.270222 (accessed on 19 August 2026).</w:t>
      </w:r>
    </w:p>
    <w:p>
      <w:pPr>
        <w:spacing w:after="120"/>
        <w:ind w:left="567" w:hanging="567"/>
        <w:jc w:val="left"/>
      </w:pPr>
      <w:r>
        <w:rPr>
          <w:sz w:val="21"/>
          <w:szCs w:val="21"/>
        </w:rPr>
        <w:t xml:space="preserve">Office of the Governor of Georgia (2026), "Gov. Kemp Signs Bills Strengthening Literacy and K-12 Schools", Atlanta, GA, 5 May 2026, https://gov.georgia.gov/press-releases/2026-05-05/gov-kemp-signs-bills-strengthening-literacy-and-k-12-schools (accessed on 19 August 2026).</w:t>
      </w:r>
    </w:p>
    <w:p>
      <w:pPr>
        <w:spacing w:after="120"/>
        <w:ind w:left="567" w:hanging="567"/>
        <w:jc w:val="left"/>
      </w:pPr>
      <w:r>
        <w:rPr>
          <w:sz w:val="21"/>
          <w:szCs w:val="21"/>
        </w:rPr>
        <w:t xml:space="preserve">Ontario Ministry of Education (2022), </w:t>
      </w:r>
      <w:r>
        <w:rPr>
          <w:i/>
          <w:iCs/>
          <w:sz w:val="21"/>
          <w:szCs w:val="21"/>
        </w:rPr>
        <w:t xml:space="preserve">Memorandum 2022:SB01 – Temporary Amendment to the Ontario Teachers' Pension Plan (OTPP) 95 Day Re-Employment Rule for the 2021-22 School Year – Reporting Requirements</w:t>
      </w:r>
      <w:r>
        <w:rPr>
          <w:sz w:val="21"/>
          <w:szCs w:val="21"/>
        </w:rPr>
        <w:t xml:space="preserve">, 24 January 2022, https://efis.fma.csc.gov.on.ca/faab/Memos/SB2022/SB01_EN.pdf (accessed on 4 August 2026).</w:t>
      </w:r>
    </w:p>
    <w:p>
      <w:pPr>
        <w:spacing w:after="120"/>
        <w:ind w:left="567" w:hanging="567"/>
        <w:jc w:val="left"/>
      </w:pPr>
      <w:r>
        <w:rPr>
          <w:sz w:val="21"/>
          <w:szCs w:val="21"/>
        </w:rPr>
        <w:t xml:space="preserve">Ontario Teachers' Federation (2024), "OTF declines Ministry of Education's request to amend 50-day re-employment rule", Toronto, 18 March 2024, https://www.otffeo.on.ca/en/news/otf-declines-ministry-of-educations-request-to-amend-50-day-re-employment-rule/ (accessed on 19 August 2026).</w:t>
      </w:r>
    </w:p>
    <w:p>
      <w:pPr>
        <w:spacing w:after="120"/>
        <w:ind w:left="567" w:hanging="567"/>
        <w:jc w:val="left"/>
      </w:pPr>
      <w:r>
        <w:rPr>
          <w:sz w:val="21"/>
          <w:szCs w:val="21"/>
        </w:rPr>
        <w:t xml:space="preserve">Ontario Teachers' Pension Plan (2026), "Know your re-employment limit", https://otpp.com/en-ca/members/life-events/living-in-retirement/your-reemployment-limit/ (accessed on 4 August 2026).</w:t>
      </w:r>
    </w:p>
    <w:p>
      <w:pPr>
        <w:spacing w:after="120"/>
        <w:ind w:left="567" w:hanging="567"/>
        <w:jc w:val="left"/>
      </w:pPr>
      <w:r>
        <w:rPr>
          <w:sz w:val="21"/>
          <w:szCs w:val="21"/>
        </w:rPr>
        <w:t xml:space="preserve">ORF Wien (2023), "Pensionisten kehren kaum in Job zurück", wien.ORF.at, 29 March 2023, https://wien.orf.at/stories/3200562/ (accessed on 19 August 2026).</w:t>
      </w:r>
    </w:p>
    <w:p>
      <w:pPr>
        <w:spacing w:after="120"/>
        <w:ind w:left="567" w:hanging="567"/>
        <w:jc w:val="left"/>
      </w:pPr>
      <w:r>
        <w:rPr>
          <w:sz w:val="21"/>
          <w:szCs w:val="21"/>
        </w:rPr>
        <w:t xml:space="preserve">OTF (2023), "50-Day re-employment rule increased to 95 days for some OTPP retirees until June 30, 2023", Ontario Teachers' Federation, https://www.otffeo.on.ca/en/news/50-day-re-employment-rule-increased-to-95-days-for-some-otpp-retirees-until-june-30-2023/ (accessed on 4 August 2026).</w:t>
      </w:r>
    </w:p>
    <w:p>
      <w:pPr>
        <w:spacing w:after="120"/>
        <w:ind w:left="567" w:hanging="567"/>
        <w:jc w:val="left"/>
      </w:pPr>
      <w:r>
        <w:rPr>
          <w:sz w:val="21"/>
          <w:szCs w:val="21"/>
        </w:rPr>
        <w:t xml:space="preserve">PAGE (2026), "Day 39: Return-to-Work Bill and Literacy Act Move to Governor's Desk", Professional Association of Georgia Educators, Atlanta, GA, https://www.pagelegislative.org/post/day-39-return-to-work-bill-and-literacy-act-move-to-governor-s-desk (accessed on 19 August 2026).</w:t>
      </w:r>
    </w:p>
    <w:p>
      <w:pPr>
        <w:spacing w:after="120"/>
        <w:ind w:left="567" w:hanging="567"/>
        <w:jc w:val="left"/>
      </w:pPr>
      <w:r>
        <w:rPr>
          <w:sz w:val="21"/>
          <w:szCs w:val="21"/>
        </w:rPr>
        <w:t xml:space="preserve">Pensionsversicherungsanstalt (2026), "Teilpension", PVA, Vienna, https://www.pv.at/web/pension/pensionsarten/teilpension (accessed on 19 August 2026).</w:t>
      </w:r>
    </w:p>
    <w:p>
      <w:pPr>
        <w:spacing w:after="120"/>
        <w:ind w:left="567" w:hanging="567"/>
        <w:jc w:val="left"/>
      </w:pPr>
      <w:r>
        <w:rPr>
          <w:sz w:val="21"/>
          <w:szCs w:val="21"/>
        </w:rPr>
        <w:t xml:space="preserve">Premier of Victoria (2020), "Thousands of Tutors to Bring Students Up to Speed", media release, Melbourne, 13 October 2020, https://www.premier.vic.gov.au/thousands-tutors-bring-students-speed (accessed on 19 August 2026).</w:t>
      </w:r>
    </w:p>
    <w:p>
      <w:pPr>
        <w:spacing w:after="120"/>
        <w:ind w:left="567" w:hanging="567"/>
        <w:jc w:val="left"/>
      </w:pPr>
      <w:r>
        <w:rPr>
          <w:sz w:val="21"/>
          <w:szCs w:val="21"/>
        </w:rPr>
        <w:t xml:space="preserve">R.I.S.E. Magazine (2025), "China plans to raise rural education standards by employing 7,000 retired teachers", https://www.riseedumag.com/china-plans-to-raise-rural-education-standards-by-employing-7000-retired-teachers/.</w:t>
      </w:r>
    </w:p>
    <w:p>
      <w:pPr>
        <w:spacing w:after="120"/>
        <w:ind w:left="567" w:hanging="567"/>
        <w:jc w:val="left"/>
      </w:pPr>
      <w:r>
        <w:rPr>
          <w:sz w:val="21"/>
          <w:szCs w:val="21"/>
        </w:rPr>
        <w:t xml:space="preserve">Rechnungshof (2025), </w:t>
      </w:r>
      <w:r>
        <w:rPr>
          <w:i/>
          <w:iCs/>
          <w:sz w:val="21"/>
          <w:szCs w:val="21"/>
        </w:rPr>
        <w:t xml:space="preserve">Lehrpersonaleinsatz</w:t>
      </w:r>
      <w:r>
        <w:rPr>
          <w:sz w:val="21"/>
          <w:szCs w:val="21"/>
        </w:rPr>
        <w:t xml:space="preserve">, Bericht des Rechnungshofes, Reihe Bund 2025/18, Rechnungshof Österreich, Vienna, https://www.rechnungshof.gv.at/rh/home/home/2025_18_Lehrpersonaleinsatz.pdf (accessed on 4 August 2026).</w:t>
      </w:r>
    </w:p>
    <w:p>
      <w:pPr>
        <w:spacing w:after="120"/>
        <w:ind w:left="567" w:hanging="567"/>
        <w:jc w:val="left"/>
      </w:pPr>
      <w:r>
        <w:rPr>
          <w:sz w:val="21"/>
          <w:szCs w:val="21"/>
        </w:rPr>
        <w:t xml:space="preserve">Renascença (2024), "55 professores aposentados podem dar aulas a partir de janeiro", rr.pt, 19 December 2024, https://rr.pt/noticia/pais/2024/12/19/55-professores-aposentados-podem-dar-aulas-a-partir-de-janeiro/406679/ (accessed on 4 August 2026).</w:t>
      </w:r>
    </w:p>
    <w:p>
      <w:pPr>
        <w:spacing w:after="120"/>
        <w:ind w:left="567" w:hanging="567"/>
        <w:jc w:val="left"/>
      </w:pPr>
      <w:r>
        <w:rPr>
          <w:sz w:val="21"/>
          <w:szCs w:val="21"/>
        </w:rPr>
        <w:t xml:space="preserve">Resch, K. (2025a), "Retired teachers return to school to tackle teacher shortages in Austrian schools. An untapped reserve or emergency response?", </w:t>
      </w:r>
      <w:r>
        <w:rPr>
          <w:i/>
          <w:iCs/>
          <w:sz w:val="21"/>
          <w:szCs w:val="21"/>
        </w:rPr>
        <w:t xml:space="preserve">European Journal of Teacher Education</w:t>
      </w:r>
      <w:r>
        <w:rPr>
          <w:sz w:val="21"/>
          <w:szCs w:val="21"/>
        </w:rPr>
        <w:t xml:space="preserve">, advance online publication, 10 July 2025, https://doi.org/10.1080/02619768.2025.2531930 (accessed on 5 August 2026).</w:t>
      </w:r>
    </w:p>
    <w:p>
      <w:pPr>
        <w:spacing w:after="120"/>
        <w:ind w:left="567" w:hanging="567"/>
        <w:jc w:val="left"/>
      </w:pPr>
      <w:r>
        <w:rPr>
          <w:sz w:val="21"/>
          <w:szCs w:val="21"/>
        </w:rPr>
        <w:t xml:space="preserve">Resch, K. (2025b), "Die Rückkehr von pensionierten Lehrpersonen in den Schuldienst als berufsbiographisches Ereignis", </w:t>
      </w:r>
      <w:r>
        <w:rPr>
          <w:i/>
          <w:iCs/>
          <w:sz w:val="21"/>
          <w:szCs w:val="21"/>
        </w:rPr>
        <w:t xml:space="preserve">Zeitschrift für Bildungsforschung</w:t>
      </w:r>
      <w:r>
        <w:rPr>
          <w:sz w:val="21"/>
          <w:szCs w:val="21"/>
        </w:rPr>
        <w:t xml:space="preserve">, published online 12 November 2025, https://doi.org/10.1007/s35834-025-00519-z (accessed on 5 August 2026).</w:t>
      </w:r>
    </w:p>
    <w:p>
      <w:pPr>
        <w:spacing w:after="120"/>
        <w:ind w:left="567" w:hanging="567"/>
        <w:jc w:val="left"/>
      </w:pPr>
      <w:r>
        <w:rPr>
          <w:sz w:val="21"/>
          <w:szCs w:val="21"/>
        </w:rPr>
        <w:t xml:space="preserve">Retired Teachers' Association of Ireland (2024), "Extension to the Waiver of Abatement of Teachers' Pensions for 2024 and 2025", RTAI, Dublin, 10 January 2024, https://www.rtaireland.ie/2024/01/10/extension-to-the-waiver-of-abatement-of-teachers-pensions-for-2024-and-2025/ (accessed on 19 August 2026).</w:t>
      </w:r>
    </w:p>
    <w:p>
      <w:pPr>
        <w:spacing w:after="120"/>
        <w:ind w:left="567" w:hanging="567"/>
        <w:jc w:val="left"/>
      </w:pPr>
      <w:r>
        <w:rPr>
          <w:sz w:val="21"/>
          <w:szCs w:val="21"/>
        </w:rPr>
        <w:t xml:space="preserve">Rolfhus, E., R. Gersten, B. Clarke, L. E. Decker, C. Wilkins and J. Dimino (2012), </w:t>
      </w:r>
      <w:r>
        <w:rPr>
          <w:i/>
          <w:iCs/>
          <w:sz w:val="21"/>
          <w:szCs w:val="21"/>
        </w:rPr>
        <w:t xml:space="preserve">An Evaluation of Number Rockets: A Tier-2 Intervention for Grade 1 Students at Risk for Difficulties in Mathematics</w:t>
      </w:r>
      <w:r>
        <w:rPr>
          <w:sz w:val="21"/>
          <w:szCs w:val="21"/>
        </w:rPr>
        <w:t xml:space="preserve"> (NCEE 2012-4007), National Center for Education Evaluation and Regional Assistance, Institute of Education Sciences, Washington, DC, https://eric.ed.gov/?id=ED529429 (accessed on 5 August 2026).</w:t>
      </w:r>
    </w:p>
    <w:p>
      <w:pPr>
        <w:spacing w:after="120"/>
        <w:ind w:left="567" w:hanging="567"/>
        <w:jc w:val="left"/>
      </w:pPr>
      <w:r>
        <w:rPr>
          <w:sz w:val="21"/>
          <w:szCs w:val="21"/>
        </w:rPr>
        <w:t xml:space="preserve">RTP (2026), "Professores que adiem reforma recebem 750 euros mas só em escolas onde há carência", rtp.pt, 30 July 2026, https://www.rtp.pt/noticias/pais/professores-que-adiem-reforma-recebem-750-euros-mas-so-em-escolas-onde-ha-carencia_n1756798 (accessed on 4 August 2026).</w:t>
      </w:r>
    </w:p>
    <w:p>
      <w:pPr>
        <w:spacing w:after="120"/>
        <w:ind w:left="567" w:hanging="567"/>
        <w:jc w:val="left"/>
      </w:pPr>
      <w:r>
        <w:rPr>
          <w:sz w:val="21"/>
          <w:szCs w:val="21"/>
        </w:rPr>
        <w:t xml:space="preserve">Sakuma, A. and N. Shimazaki (2024), "'Why are We Running Short of Teachers Even as the Birthrate Declines?': A Case Study of the Teacher Shortage in Public Schools in X Prefecture in Japan", </w:t>
      </w:r>
      <w:r>
        <w:rPr>
          <w:i/>
          <w:iCs/>
          <w:sz w:val="21"/>
          <w:szCs w:val="21"/>
        </w:rPr>
        <w:t xml:space="preserve">Educational Studies in Japan: International Yearbook</w:t>
      </w:r>
      <w:r>
        <w:rPr>
          <w:sz w:val="21"/>
          <w:szCs w:val="21"/>
        </w:rPr>
        <w:t xml:space="preserve">, No. 18, pp. 191-210, https://files.eric.ed.gov/fulltext/EJ1433887.pdf (accessed on 5 August 2026).</w:t>
      </w:r>
    </w:p>
    <w:p>
      <w:pPr>
        <w:spacing w:after="120"/>
        <w:ind w:left="567" w:hanging="567"/>
        <w:jc w:val="left"/>
      </w:pPr>
      <w:r>
        <w:rPr>
          <w:sz w:val="21"/>
          <w:szCs w:val="21"/>
        </w:rPr>
        <w:t xml:space="preserve">Scafidi, B., D. L. Sjoquist and T. R. Stinebrickner (2006), "Do Teachers Really Leave for Higher Paying Jobs in Alternative Occupations?", </w:t>
      </w:r>
      <w:r>
        <w:rPr>
          <w:i/>
          <w:iCs/>
          <w:sz w:val="21"/>
          <w:szCs w:val="21"/>
        </w:rPr>
        <w:t xml:space="preserve">The B.E. Journal of Economic Analysis &amp; Policy (Advances)</w:t>
      </w:r>
      <w:r>
        <w:rPr>
          <w:sz w:val="21"/>
          <w:szCs w:val="21"/>
        </w:rPr>
        <w:t xml:space="preserve">, Vol. 6/1, Article 8, https://ideas.repec.org/a/bpj/bejeap/vadvances.6y2006i1n8.html.</w:t>
      </w:r>
    </w:p>
    <w:p>
      <w:pPr>
        <w:spacing w:after="120"/>
        <w:ind w:left="567" w:hanging="567"/>
        <w:jc w:val="left"/>
      </w:pPr>
      <w:r>
        <w:rPr>
          <w:sz w:val="21"/>
          <w:szCs w:val="21"/>
        </w:rPr>
        <w:t xml:space="preserve">Service des Retraites de l'État (2026), </w:t>
      </w:r>
      <w:r>
        <w:rPr>
          <w:i/>
          <w:iCs/>
          <w:sz w:val="21"/>
          <w:szCs w:val="21"/>
        </w:rPr>
        <w:t xml:space="preserve">Le cumul emploi-retraite des fonctionnaires de l'État, des militaires et des magistrats — réglementation en vigueur au 1er janvier 2026</w:t>
      </w:r>
      <w:r>
        <w:rPr>
          <w:sz w:val="21"/>
          <w:szCs w:val="21"/>
        </w:rPr>
        <w:t xml:space="preserve">, Ministère de l'Économie et des Finances, Paris, https://retraitesdeletat.gouv.fr/files/files/Retraite/Cumul/cumul.pdf (accessed on 19 August 2026).</w:t>
      </w:r>
    </w:p>
    <w:p>
      <w:pPr>
        <w:spacing w:after="120"/>
        <w:ind w:left="567" w:hanging="567"/>
        <w:jc w:val="left"/>
      </w:pPr>
      <w:r>
        <w:rPr>
          <w:sz w:val="21"/>
          <w:szCs w:val="21"/>
        </w:rPr>
        <w:t xml:space="preserve">Sims, S. and A. Benhenda (2022), "The effect of financial incentives on the retention of shortage-subject teachers: Evidence from England", CEPEO Working Paper No. 22-04, Centre for Education Policy and Equalising Opportunities, UCL, London, https://repec-cepeo.ucl.ac.uk/cepeow/cepeowp22-04.pdf (accessed on 4 August 2026).</w:t>
      </w:r>
    </w:p>
    <w:p>
      <w:pPr>
        <w:spacing w:after="120"/>
        <w:ind w:left="567" w:hanging="567"/>
        <w:jc w:val="left"/>
      </w:pPr>
      <w:r>
        <w:rPr>
          <w:sz w:val="21"/>
          <w:szCs w:val="21"/>
        </w:rPr>
        <w:t xml:space="preserve">Sims, S., H. Lowes-Belk and C. Routledge (2026), "Why do people choose to enter and exit the teaching profession? An interdisciplinary quantitative synthesis", </w:t>
      </w:r>
      <w:r>
        <w:rPr>
          <w:i/>
          <w:iCs/>
          <w:sz w:val="21"/>
          <w:szCs w:val="21"/>
        </w:rPr>
        <w:t xml:space="preserve">British Educational Research Journal</w:t>
      </w:r>
      <w:r>
        <w:rPr>
          <w:sz w:val="21"/>
          <w:szCs w:val="21"/>
        </w:rPr>
        <w:t xml:space="preserve">, Vol. 52/3, pp. 1652-1676, published online 24 October 2025, https://doi.org/10.1002/berj.70027 (accessed on 5 August 2026).</w:t>
      </w:r>
    </w:p>
    <w:p>
      <w:pPr>
        <w:spacing w:after="120"/>
        <w:ind w:left="567" w:hanging="567"/>
        <w:jc w:val="left"/>
      </w:pPr>
      <w:r>
        <w:rPr>
          <w:sz w:val="21"/>
          <w:szCs w:val="21"/>
        </w:rPr>
        <w:t xml:space="preserve">Somers, M., L. Fleck, W. Groot and F. van Merode (2024a), </w:t>
      </w:r>
      <w:r>
        <w:rPr>
          <w:i/>
          <w:iCs/>
          <w:sz w:val="21"/>
          <w:szCs w:val="21"/>
        </w:rPr>
        <w:t xml:space="preserve">The Hidden Reserve of Nurses and Teachers in the Netherlands</w:t>
      </w:r>
      <w:r>
        <w:rPr>
          <w:sz w:val="21"/>
          <w:szCs w:val="21"/>
        </w:rPr>
        <w:t xml:space="preserve">, ROA Research Memorandum No. 2024/004E, Research Centre for Education and the Labour Market, Maastricht University, https://doi.org/10.26481/umaror.2024004E (accessed on 4 August 2026).</w:t>
      </w:r>
    </w:p>
    <w:p>
      <w:pPr>
        <w:spacing w:after="120"/>
        <w:ind w:left="567" w:hanging="567"/>
        <w:jc w:val="left"/>
      </w:pPr>
      <w:r>
        <w:rPr>
          <w:sz w:val="21"/>
          <w:szCs w:val="21"/>
        </w:rPr>
        <w:t xml:space="preserve">Somers, M., W. Groot and F. van Merode (2024b), "Stille reserve voldoende om personeelstekort onderwijs op te lossen", </w:t>
      </w:r>
      <w:r>
        <w:rPr>
          <w:i/>
          <w:iCs/>
          <w:sz w:val="21"/>
          <w:szCs w:val="21"/>
        </w:rPr>
        <w:t xml:space="preserve">ESB (Economisch Statistische Berichten)</w:t>
      </w:r>
      <w:r>
        <w:rPr>
          <w:sz w:val="21"/>
          <w:szCs w:val="21"/>
        </w:rPr>
        <w:t xml:space="preserve">, 28 February 2024, https://esb.nu/stille-reserve-voldoende-om-personeelstekort-onderwijs-op-te-lossen/ (accessed on 4 August 2026).</w:t>
      </w:r>
    </w:p>
    <w:p>
      <w:pPr>
        <w:spacing w:after="120"/>
        <w:ind w:left="567" w:hanging="567"/>
        <w:jc w:val="left"/>
      </w:pPr>
      <w:r>
        <w:rPr>
          <w:sz w:val="21"/>
          <w:szCs w:val="21"/>
        </w:rPr>
        <w:t xml:space="preserve">State Council (2023), 教育部教师工作司负责人就《国家银龄教师行动计划》答记者问 [MOE Teacher Affairs Department Q&amp;A on the National Silver Age Teachers Action Plan], www.gov.cn, August 2023, https://www.gov.cn/zhengce/202308/content_6900976.htm.</w:t>
      </w:r>
    </w:p>
    <w:p>
      <w:pPr>
        <w:spacing w:after="120"/>
        <w:ind w:left="567" w:hanging="567"/>
        <w:jc w:val="left"/>
      </w:pPr>
      <w:r>
        <w:rPr>
          <w:sz w:val="21"/>
          <w:szCs w:val="21"/>
        </w:rPr>
        <w:t xml:space="preserve">Stinebrickner, T. R. (2002), "An Analysis of Occupational Change and Departure from the Labor Force: Evidence of the Reasons that Teachers Leave", </w:t>
      </w:r>
      <w:r>
        <w:rPr>
          <w:i/>
          <w:iCs/>
          <w:sz w:val="21"/>
          <w:szCs w:val="21"/>
        </w:rPr>
        <w:t xml:space="preserve">Journal of Human Resources</w:t>
      </w:r>
      <w:r>
        <w:rPr>
          <w:sz w:val="21"/>
          <w:szCs w:val="21"/>
        </w:rPr>
        <w:t xml:space="preserve">, Vol. 37/1, pp. 192-216, https://ideas.repec.org/a/uwp/jhriss/v37y2002i1p192-216.html.</w:t>
      </w:r>
    </w:p>
    <w:p>
      <w:pPr>
        <w:spacing w:after="120"/>
        <w:ind w:left="567" w:hanging="567"/>
        <w:jc w:val="left"/>
      </w:pPr>
      <w:r>
        <w:rPr>
          <w:sz w:val="21"/>
          <w:szCs w:val="21"/>
        </w:rPr>
        <w:t xml:space="preserve">Straw, S., H. Poet, J. Worth, M. Coldwell, E. Byrne and B. Stiell (2017), </w:t>
      </w:r>
      <w:r>
        <w:rPr>
          <w:i/>
          <w:iCs/>
          <w:sz w:val="21"/>
          <w:szCs w:val="21"/>
        </w:rPr>
        <w:t xml:space="preserve">Maths and Physics Teacher Supply Package: Research Brief</w:t>
      </w:r>
      <w:r>
        <w:rPr>
          <w:sz w:val="21"/>
          <w:szCs w:val="21"/>
        </w:rPr>
        <w:t xml:space="preserve">, DFE-RB683, Department for Education, London, March 2017, https://assets.publishing.service.gov.uk/government/uploads/system/uploads/attachment_data/file/624770/Maths_and_physics_teacher_supply_package-brief.pdf (accessed on 19 August 2026).</w:t>
      </w:r>
    </w:p>
    <w:p>
      <w:pPr>
        <w:spacing w:after="120"/>
        <w:ind w:left="567" w:hanging="567"/>
        <w:jc w:val="left"/>
      </w:pPr>
      <w:r>
        <w:rPr>
          <w:sz w:val="21"/>
          <w:szCs w:val="21"/>
        </w:rPr>
        <w:t xml:space="preserve">Sutcher, L., L. Darling-Hammond and D. Carver-Thomas (2016), </w:t>
      </w:r>
      <w:r>
        <w:rPr>
          <w:i/>
          <w:iCs/>
          <w:sz w:val="21"/>
          <w:szCs w:val="21"/>
        </w:rPr>
        <w:t xml:space="preserve">A Coming Crisis in Teaching? Teacher Supply, Demand, and Shortages in the U.S.</w:t>
      </w:r>
      <w:r>
        <w:rPr>
          <w:sz w:val="21"/>
          <w:szCs w:val="21"/>
        </w:rPr>
        <w:t xml:space="preserve">, Learning Policy Institute, Palo Alto, CA, https://learningpolicyinstitute.org/product/coming-crisis-teaching-brief.</w:t>
      </w:r>
    </w:p>
    <w:p>
      <w:pPr>
        <w:spacing w:after="120"/>
        <w:ind w:left="567" w:hanging="567"/>
        <w:jc w:val="left"/>
      </w:pPr>
      <w:r>
        <w:rPr>
          <w:sz w:val="21"/>
          <w:szCs w:val="21"/>
        </w:rPr>
        <w:t xml:space="preserve">SwailLandis (2023), </w:t>
      </w:r>
      <w:r>
        <w:rPr>
          <w:i/>
          <w:iCs/>
          <w:sz w:val="21"/>
          <w:szCs w:val="21"/>
        </w:rPr>
        <w:t xml:space="preserve">Teacher Recruitment and Retention</w:t>
      </w:r>
      <w:r>
        <w:rPr>
          <w:sz w:val="21"/>
          <w:szCs w:val="21"/>
        </w:rPr>
        <w:t xml:space="preserve">, brief distributed by the Virginia Department of Education, March 2023, https://content.govdelivery.com/attachments/VADOE/2023/03/07/file_attachments/2429275/230303%20MARCH%202023%20BRIEF.pdf (accessed on 19 August 2026).</w:t>
      </w:r>
    </w:p>
    <w:p>
      <w:pPr>
        <w:spacing w:after="120"/>
        <w:ind w:left="567" w:hanging="567"/>
        <w:jc w:val="left"/>
      </w:pPr>
      <w:r>
        <w:rPr>
          <w:sz w:val="21"/>
          <w:szCs w:val="21"/>
        </w:rPr>
        <w:t xml:space="preserve">SÁBADO (2024), "Continuam a faltar médicos e professores. Porque estão a falhar as medidas do Governo?", sabado.pt, 6 December 2024, https://www.sabado.pt/portugal/detalhe/continuam-a-faltar-medicos-e-professores-porque-falharam-a-medidas-do-governo (accessed on 4 August 2026).</w:t>
      </w:r>
    </w:p>
    <w:p>
      <w:pPr>
        <w:spacing w:after="120"/>
        <w:ind w:left="567" w:hanging="567"/>
        <w:jc w:val="left"/>
      </w:pPr>
      <w:r>
        <w:rPr>
          <w:sz w:val="21"/>
          <w:szCs w:val="21"/>
        </w:rPr>
        <w:t xml:space="preserve">Sénat (2024), </w:t>
      </w:r>
      <w:r>
        <w:rPr>
          <w:i/>
          <w:iCs/>
          <w:sz w:val="21"/>
          <w:szCs w:val="21"/>
        </w:rPr>
        <w:t xml:space="preserve">Proposition de loi n° 633 (2023-2024) visant à instituer une réserve opérationnelle de l'éducation nationale</w:t>
      </w:r>
      <w:r>
        <w:rPr>
          <w:sz w:val="21"/>
          <w:szCs w:val="21"/>
        </w:rPr>
        <w:t xml:space="preserve">, Mme Else Joseph et al., tabled 28 May 2024, Paris, https://www.senat.fr/leg/ppl23-633.html (accessed on 19 August 2026).</w:t>
      </w:r>
    </w:p>
    <w:p>
      <w:pPr>
        <w:spacing w:after="120"/>
        <w:ind w:left="567" w:hanging="567"/>
        <w:jc w:val="left"/>
      </w:pPr>
      <w:r>
        <w:rPr>
          <w:sz w:val="21"/>
          <w:szCs w:val="21"/>
        </w:rPr>
        <w:t xml:space="preserve">Sénat (2025), </w:t>
      </w:r>
      <w:r>
        <w:rPr>
          <w:i/>
          <w:iCs/>
          <w:sz w:val="21"/>
          <w:szCs w:val="21"/>
        </w:rPr>
        <w:t xml:space="preserve">Le remplacement des enseignants</w:t>
      </w:r>
      <w:r>
        <w:rPr>
          <w:sz w:val="21"/>
          <w:szCs w:val="21"/>
        </w:rPr>
        <w:t xml:space="preserve">, rapport d'information n° 730 (2024-2025) de M. Olivier Paccaud, commission des finances, Paris, 12 June 2025, https://www.senat.fr/rap/r24-730/r24-730_mono.html (accessed on 19 August 2026).</w:t>
      </w:r>
    </w:p>
    <w:p>
      <w:pPr>
        <w:spacing w:after="120"/>
        <w:ind w:left="567" w:hanging="567"/>
        <w:jc w:val="left"/>
      </w:pPr>
      <w:r>
        <w:rPr>
          <w:sz w:val="21"/>
          <w:szCs w:val="21"/>
        </w:rPr>
        <w:t xml:space="preserve">Tan, T., W. Wei, D. Carver-Thomas and E. García (2026), </w:t>
      </w:r>
      <w:r>
        <w:rPr>
          <w:i/>
          <w:iCs/>
          <w:sz w:val="21"/>
          <w:szCs w:val="21"/>
        </w:rPr>
        <w:t xml:space="preserve">Teacher Turnover in the United States: Who Moves, Who Leaves, and Why</w:t>
      </w:r>
      <w:r>
        <w:rPr>
          <w:sz w:val="21"/>
          <w:szCs w:val="21"/>
        </w:rPr>
        <w:t xml:space="preserve">, Learning Policy Institute, 17 March 2026, https://doi.org/10.54300/248.479 (report page: https://learningpolicyinstitute.org/product/teacher-turnover-united-states-report) (accessed on 5 August 2026).</w:t>
      </w:r>
    </w:p>
    <w:p>
      <w:pPr>
        <w:spacing w:after="120"/>
        <w:ind w:left="567" w:hanging="567"/>
        <w:jc w:val="left"/>
      </w:pPr>
      <w:r>
        <w:rPr>
          <w:sz w:val="21"/>
          <w:szCs w:val="21"/>
        </w:rPr>
        <w:t xml:space="preserve">Teachers Retirement System of Georgia (2026), "Legislative Update", 5 May 2026, https://www.trsga.com/legislation/legislative-update/ (accessed on 4 August 2026).</w:t>
      </w:r>
    </w:p>
    <w:p>
      <w:pPr>
        <w:spacing w:after="120"/>
        <w:ind w:left="567" w:hanging="567"/>
        <w:jc w:val="left"/>
      </w:pPr>
      <w:r>
        <w:rPr>
          <w:sz w:val="21"/>
          <w:szCs w:val="21"/>
        </w:rPr>
        <w:t xml:space="preserve">Teachers' Pensions (n.d.), "Return to work — Once retired", https://www.teacherspensions.co.uk/members/once-retired/return-to-work.aspx (accessed on 5 August 2026).</w:t>
      </w:r>
    </w:p>
    <w:p>
      <w:pPr>
        <w:spacing w:after="120"/>
        <w:ind w:left="567" w:hanging="567"/>
        <w:jc w:val="left"/>
      </w:pPr>
      <w:r>
        <w:rPr>
          <w:sz w:val="21"/>
          <w:szCs w:val="21"/>
        </w:rPr>
        <w:t xml:space="preserve">Teachers' Retirement System of Louisiana (2024), "Regular Session News #18: Governor signs return-to-work bill into law" (Act 394 of 2024, HB 967), 31 May 2024, https://www.trsl.org/resources/legislation/archive/regular-session-news-18-governor-signs-return-to-work-bill-into-law (accessed on 4 August 2026).</w:t>
      </w:r>
    </w:p>
    <w:p>
      <w:pPr>
        <w:spacing w:after="120"/>
        <w:ind w:left="567" w:hanging="567"/>
        <w:jc w:val="left"/>
      </w:pPr>
      <w:r>
        <w:rPr>
          <w:sz w:val="21"/>
          <w:szCs w:val="21"/>
        </w:rPr>
        <w:t xml:space="preserve">Teachers' Retirement System of Louisiana (2026), "Regular Session News #18: Passage of return-to-work bill a highlight of 2026" (Act 344 of 2026, SB 14), 2 June 2026, https://www.trsl.org/resources/legislation/archive/regular-session-news-18-passage-of-return-to-work-bill-a-highlight-of-2026-copy (accessed on 4 August 2026).</w:t>
      </w:r>
    </w:p>
    <w:p>
      <w:pPr>
        <w:spacing w:after="120"/>
        <w:ind w:left="567" w:hanging="567"/>
        <w:jc w:val="left"/>
      </w:pPr>
      <w:r>
        <w:rPr>
          <w:sz w:val="21"/>
          <w:szCs w:val="21"/>
        </w:rPr>
        <w:t xml:space="preserve">Teaching Council of Aotearoa New Zealand (2026), </w:t>
      </w:r>
      <w:r>
        <w:rPr>
          <w:i/>
          <w:iCs/>
          <w:sz w:val="21"/>
          <w:szCs w:val="21"/>
        </w:rPr>
        <w:t xml:space="preserve">Requirements for Teacher Registration, Practising Certificates and Limited Authority to Teach</w:t>
      </w:r>
      <w:r>
        <w:rPr>
          <w:sz w:val="21"/>
          <w:szCs w:val="21"/>
        </w:rPr>
        <w:t xml:space="preserve">, registration policy (2026 Teacher Education Refresh update), January 2026 version, Teaching Council of Aotearoa New Zealand, Wellington.</w:t>
      </w:r>
    </w:p>
    <w:p>
      <w:pPr>
        <w:spacing w:after="120"/>
        <w:ind w:left="567" w:hanging="567"/>
        <w:jc w:val="left"/>
      </w:pPr>
      <w:r>
        <w:rPr>
          <w:sz w:val="21"/>
          <w:szCs w:val="21"/>
        </w:rPr>
        <w:t xml:space="preserve">The Tribune (2026), "Govt moves to expand special education to address island waitlist", </w:t>
      </w:r>
      <w:r>
        <w:rPr>
          <w:i/>
          <w:iCs/>
          <w:sz w:val="21"/>
          <w:szCs w:val="21"/>
        </w:rPr>
        <w:t xml:space="preserve">The Tribune</w:t>
      </w:r>
      <w:r>
        <w:rPr>
          <w:sz w:val="21"/>
          <w:szCs w:val="21"/>
        </w:rPr>
        <w:t xml:space="preserve"> (Nassau), 11 August 2026, https://www.tribune242.com/news/2026/aug/11/govt-moves-to-expand-special-education-to-address-island-waitlist/ (accessed on 19 August 2026).</w:t>
      </w:r>
    </w:p>
    <w:p>
      <w:pPr>
        <w:spacing w:after="120"/>
        <w:ind w:left="567" w:hanging="567"/>
        <w:jc w:val="left"/>
      </w:pPr>
      <w:r>
        <w:rPr>
          <w:sz w:val="21"/>
          <w:szCs w:val="21"/>
        </w:rPr>
        <w:t xml:space="preserve">Tweede Kamer (2019), Kamerstukken II 2019/20, 35 300 VIII, nr. 15 (Verslag houdende een lijst van vragen en antwoorden, answer to question 44), https://zoek.officielebekendmakingen.nl/kst-35300-VIII-15.html (accessed on 5 August 2026).</w:t>
      </w:r>
    </w:p>
    <w:p>
      <w:pPr>
        <w:spacing w:after="120"/>
        <w:ind w:left="567" w:hanging="567"/>
        <w:jc w:val="left"/>
      </w:pPr>
      <w:r>
        <w:rPr>
          <w:sz w:val="21"/>
          <w:szCs w:val="21"/>
        </w:rPr>
        <w:t xml:space="preserve">UK Parliament (2022), Written question 54668 "Teachers: Re-employment", answered 11 October 2022, https://questions-statements.parliament.uk/written-questions/detail/2022-09-22/54668/ (accessed on 4 August 2026).</w:t>
      </w:r>
    </w:p>
    <w:p>
      <w:pPr>
        <w:spacing w:after="120"/>
        <w:ind w:left="567" w:hanging="567"/>
        <w:jc w:val="left"/>
      </w:pPr>
      <w:r>
        <w:rPr>
          <w:sz w:val="21"/>
          <w:szCs w:val="21"/>
        </w:rPr>
        <w:t xml:space="preserve">UK Parliament (2026), "Teacher Workforce", written statement HCWS171, House of Commons, 1 July 2026, https://questions-statements.parliament.uk/written-statements/detail/2026-07-01/hcws171.</w:t>
      </w:r>
    </w:p>
    <w:p>
      <w:pPr>
        <w:spacing w:after="120"/>
        <w:ind w:left="567" w:hanging="567"/>
        <w:jc w:val="left"/>
      </w:pPr>
      <w:r>
        <w:rPr>
          <w:sz w:val="21"/>
          <w:szCs w:val="21"/>
        </w:rPr>
        <w:t xml:space="preserve">UK Parliament (2022b), Written question 104312, "Teachers: Pensions", asked by Alec Shelbrooke 14 January 2022, answered by Robin Walker 24 January 2022, https://questions-statements.parliament.uk/written-questions/detail/2022-01-14/104312/ (accessed on 19 August 2026).</w:t>
      </w:r>
    </w:p>
    <w:p>
      <w:pPr>
        <w:spacing w:after="120"/>
        <w:ind w:left="567" w:hanging="567"/>
        <w:jc w:val="left"/>
      </w:pPr>
      <w:r>
        <w:rPr>
          <w:sz w:val="21"/>
          <w:szCs w:val="21"/>
        </w:rPr>
        <w:t xml:space="preserve">UNESCO and International Task Force on Teachers for Education 2030 (2024), </w:t>
      </w:r>
      <w:r>
        <w:rPr>
          <w:i/>
          <w:iCs/>
          <w:sz w:val="21"/>
          <w:szCs w:val="21"/>
        </w:rPr>
        <w:t xml:space="preserve">Global Report on Teachers: Addressing Teacher Shortages and Transforming the Profession</w:t>
      </w:r>
      <w:r>
        <w:rPr>
          <w:sz w:val="21"/>
          <w:szCs w:val="21"/>
        </w:rPr>
        <w:t xml:space="preserve">, UNESCO, Paris, https://www.unesco.org/en/articles/global-report-teachers-addressing-teacher-shortages-and-transforming-profession.</w:t>
      </w:r>
    </w:p>
    <w:p>
      <w:pPr>
        <w:spacing w:after="120"/>
        <w:ind w:left="567" w:hanging="567"/>
        <w:jc w:val="left"/>
      </w:pPr>
      <w:r>
        <w:rPr>
          <w:sz w:val="21"/>
          <w:szCs w:val="21"/>
        </w:rPr>
        <w:t xml:space="preserve">Varma, V. R. et al. (2016), "Effect of community volunteering on physical activity: A randomized controlled trial", </w:t>
      </w:r>
      <w:r>
        <w:rPr>
          <w:i/>
          <w:iCs/>
          <w:sz w:val="21"/>
          <w:szCs w:val="21"/>
        </w:rPr>
        <w:t xml:space="preserve">American Journal of Preventive Medicine</w:t>
      </w:r>
      <w:r>
        <w:rPr>
          <w:sz w:val="21"/>
          <w:szCs w:val="21"/>
        </w:rPr>
        <w:t xml:space="preserve">, Vol. 50/1, pp. 106-110, https://pubmed.ncbi.nlm.nih.gov/26340864/.</w:t>
      </w:r>
    </w:p>
    <w:p>
      <w:pPr>
        <w:spacing w:after="120"/>
        <w:ind w:left="567" w:hanging="567"/>
        <w:jc w:val="left"/>
      </w:pPr>
      <w:r>
        <w:rPr>
          <w:sz w:val="21"/>
          <w:szCs w:val="21"/>
        </w:rPr>
        <w:t xml:space="preserve">Victorian Auditor-General's Office (2024), </w:t>
      </w:r>
      <w:r>
        <w:rPr>
          <w:i/>
          <w:iCs/>
          <w:sz w:val="21"/>
          <w:szCs w:val="21"/>
        </w:rPr>
        <w:t xml:space="preserve">Effectiveness of the Tutor Learning Initiative</w:t>
      </w:r>
      <w:r>
        <w:rPr>
          <w:sz w:val="21"/>
          <w:szCs w:val="21"/>
        </w:rPr>
        <w:t xml:space="preserve">, tabled 19 June 2024, VAGO, Melbourne, https://www.audit.vic.gov.au/report/effectiveness-tutor-learning-initiative (accessed on 19 August 2026).</w:t>
      </w:r>
    </w:p>
    <w:p>
      <w:pPr>
        <w:spacing w:after="120"/>
        <w:ind w:left="567" w:hanging="567"/>
        <w:jc w:val="left"/>
      </w:pPr>
      <w:r>
        <w:rPr>
          <w:sz w:val="21"/>
          <w:szCs w:val="21"/>
        </w:rPr>
        <w:t xml:space="preserve">Virginia Department of Education (2025), </w:t>
      </w:r>
      <w:r>
        <w:rPr>
          <w:i/>
          <w:iCs/>
          <w:sz w:val="21"/>
          <w:szCs w:val="21"/>
        </w:rPr>
        <w:t xml:space="preserve">Report to the Chairs of the Senate Committee on Education and Health and the House Committee on Education pursuant to § 22.1-214.4(5) of the Code of Virginia</w:t>
      </w:r>
      <w:r>
        <w:rPr>
          <w:sz w:val="21"/>
          <w:szCs w:val="21"/>
        </w:rPr>
        <w:t xml:space="preserve">, Richmond, VA, 1 November 2025, https://rga.lis.virginia.gov/Published/2025/RD759/PDF (accessed on 19 August 2026).</w:t>
      </w:r>
    </w:p>
    <w:p>
      <w:pPr>
        <w:spacing w:after="120"/>
        <w:ind w:left="567" w:hanging="567"/>
        <w:jc w:val="left"/>
      </w:pPr>
      <w:r>
        <w:rPr>
          <w:sz w:val="21"/>
          <w:szCs w:val="21"/>
        </w:rPr>
        <w:t xml:space="preserve">Virginia Retirement System (n.d.), "Critical Shortage Positions", https://www.varetire.org/retiree-milestones/working-after-retirement/critical-shortage-positions/ (accessed on 4 August 2026).</w:t>
      </w:r>
    </w:p>
    <w:p>
      <w:pPr>
        <w:spacing w:after="120"/>
        <w:ind w:left="567" w:hanging="567"/>
        <w:jc w:val="left"/>
      </w:pPr>
      <w:r>
        <w:rPr>
          <w:sz w:val="21"/>
          <w:szCs w:val="21"/>
        </w:rPr>
        <w:t xml:space="preserve">Virginia Retirement System (2023), </w:t>
      </w:r>
      <w:r>
        <w:rPr>
          <w:i/>
          <w:iCs/>
          <w:sz w:val="21"/>
          <w:szCs w:val="21"/>
        </w:rPr>
        <w:t xml:space="preserve">Return to Work Provisions for Certain Retirees to Work in Temporary Positions — Chapters 690, 707 and 708 of the 2023 Acts of Assembly</w:t>
      </w:r>
      <w:r>
        <w:rPr>
          <w:sz w:val="21"/>
          <w:szCs w:val="21"/>
        </w:rPr>
        <w:t xml:space="preserve">, Report Document RD577, Richmond, VA, 1 November 2023, https://rga.lis.virginia.gov/Published/2023/RD577 (accessed on 19 August 2026).</w:t>
      </w:r>
    </w:p>
    <w:p>
      <w:pPr>
        <w:spacing w:after="120"/>
        <w:ind w:left="567" w:hanging="567"/>
        <w:jc w:val="left"/>
      </w:pPr>
      <w:r>
        <w:rPr>
          <w:sz w:val="21"/>
          <w:szCs w:val="21"/>
        </w:rPr>
        <w:t xml:space="preserve">Virginia Retirement System (2026), </w:t>
      </w:r>
      <w:r>
        <w:rPr>
          <w:i/>
          <w:iCs/>
          <w:sz w:val="21"/>
          <w:szCs w:val="21"/>
        </w:rPr>
        <w:t xml:space="preserve">2026 General Assembly Session Fiscal Impact Statement: House Bill 1306 (Cornett), Virginia Retirement System; return to work; break in service</w:t>
      </w:r>
      <w:r>
        <w:rPr>
          <w:sz w:val="21"/>
          <w:szCs w:val="21"/>
        </w:rPr>
        <w:t xml:space="preserve">, Richmond, VA, 29 January 2026, https://lis.blob.core.windows.net/files/1103192.PDF (accessed on 19 August 2026).</w:t>
      </w:r>
    </w:p>
    <w:p>
      <w:pPr>
        <w:spacing w:after="120"/>
        <w:ind w:left="567" w:hanging="567"/>
        <w:jc w:val="left"/>
      </w:pPr>
      <w:r>
        <w:rPr>
          <w:sz w:val="21"/>
          <w:szCs w:val="21"/>
        </w:rPr>
        <w:t xml:space="preserve">Walker, A. (2022), "DfE scheme to lure back physics teachers recruits just 23 in two years", </w:t>
      </w:r>
      <w:r>
        <w:rPr>
          <w:i/>
          <w:iCs/>
          <w:sz w:val="21"/>
          <w:szCs w:val="21"/>
        </w:rPr>
        <w:t xml:space="preserve">Schools Week</w:t>
      </w:r>
      <w:r>
        <w:rPr>
          <w:sz w:val="21"/>
          <w:szCs w:val="21"/>
        </w:rPr>
        <w:t xml:space="preserve">, 13 September 2022, https://schoolsweek.co.uk/dfe-scheme-to-lure-back-physics-teachers-recruits-just-23-in-two-years/.</w:t>
      </w:r>
    </w:p>
    <w:p>
      <w:pPr>
        <w:spacing w:after="120"/>
        <w:ind w:left="567" w:hanging="567"/>
        <w:jc w:val="left"/>
      </w:pPr>
      <w:r>
        <w:rPr>
          <w:sz w:val="21"/>
          <w:szCs w:val="21"/>
        </w:rPr>
        <w:t xml:space="preserve">Watt, H. M. G., P. W. Richardson, U. Klusmann, M. Kunter, B. Beyer, U. Trautwein and J. Baumert (2012), "Motivations for choosing teaching as a career: An international comparison using the FIT-Choice scale", </w:t>
      </w:r>
      <w:r>
        <w:rPr>
          <w:i/>
          <w:iCs/>
          <w:sz w:val="21"/>
          <w:szCs w:val="21"/>
        </w:rPr>
        <w:t xml:space="preserve">Teaching and Teacher Education</w:t>
      </w:r>
      <w:r>
        <w:rPr>
          <w:sz w:val="21"/>
          <w:szCs w:val="21"/>
        </w:rPr>
        <w:t xml:space="preserve">, Vol. 28/6, pp. 791-805, https://www.sciencedirect.com/science/article/abs/pii/S0742051X12000479.</w:t>
      </w:r>
    </w:p>
    <w:p>
      <w:pPr>
        <w:spacing w:after="120"/>
        <w:ind w:left="567" w:hanging="567"/>
        <w:jc w:val="left"/>
      </w:pPr>
      <w:r>
        <w:rPr>
          <w:sz w:val="21"/>
          <w:szCs w:val="21"/>
        </w:rPr>
        <w:t xml:space="preserve">What Works Clearinghouse (2010), </w:t>
      </w:r>
      <w:r>
        <w:rPr>
          <w:i/>
          <w:iCs/>
          <w:sz w:val="21"/>
          <w:szCs w:val="21"/>
        </w:rPr>
        <w:t xml:space="preserve">WWC Quick Review of the Report "Evaluation of Experience Corps: Student Reading Outcomes"</w:t>
      </w:r>
      <w:r>
        <w:rPr>
          <w:sz w:val="21"/>
          <w:szCs w:val="21"/>
        </w:rPr>
        <w:t xml:space="preserve">, Institute of Education Sciences, U.S. Department of Education, Washington, DC, February 2010, https://ies.ed.gov/ncee/wwc/Docs/QuickReview/expcorps_020910.pdf (accessed on 5 August 2026).</w:t>
      </w:r>
    </w:p>
    <w:p>
      <w:pPr>
        <w:spacing w:after="120"/>
        <w:ind w:left="567" w:hanging="567"/>
        <w:jc w:val="left"/>
      </w:pPr>
      <w:r>
        <w:rPr>
          <w:sz w:val="21"/>
          <w:szCs w:val="21"/>
        </w:rPr>
        <w:t xml:space="preserve">What Works Clearinghouse (2019), </w:t>
      </w:r>
      <w:r>
        <w:rPr>
          <w:i/>
          <w:iCs/>
          <w:sz w:val="21"/>
          <w:szCs w:val="21"/>
        </w:rPr>
        <w:t xml:space="preserve">Review of Individual Study: DeCesare, McClelland and Randel (2017)</w:t>
      </w:r>
      <w:r>
        <w:rPr>
          <w:sz w:val="21"/>
          <w:szCs w:val="21"/>
        </w:rPr>
        <w:t xml:space="preserve"> (Study #88756, reviewed August 2019, Standards and Protocol 4.0), Institute of Education Sciences, U.S. Department of Education, Washington, DC, https://ies.ed.gov/ncee/wwc/Study/88756 (accessed on 5 August 2026).</w:t>
      </w:r>
    </w:p>
    <w:p>
      <w:pPr>
        <w:spacing w:after="120"/>
        <w:ind w:left="567" w:hanging="567"/>
        <w:jc w:val="left"/>
      </w:pPr>
      <w:r>
        <w:rPr>
          <w:sz w:val="21"/>
          <w:szCs w:val="21"/>
        </w:rPr>
        <w:t xml:space="preserve">Will, M. (2022), "Could Retired Teachers Be the Answer to Shortages? It's Complicated", </w:t>
      </w:r>
      <w:r>
        <w:rPr>
          <w:i/>
          <w:iCs/>
          <w:sz w:val="21"/>
          <w:szCs w:val="21"/>
        </w:rPr>
        <w:t xml:space="preserve">Education Week</w:t>
      </w:r>
      <w:r>
        <w:rPr>
          <w:sz w:val="21"/>
          <w:szCs w:val="21"/>
        </w:rPr>
        <w:t xml:space="preserve">, 11 October 2022, https://www.edweek.org/leadership/could-retired-teachers-be-the-answer-to-shortages-its-complicated/2022/10 (accessed on 4 August 2026).</w:t>
      </w:r>
    </w:p>
    <w:p>
      <w:pPr>
        <w:spacing w:after="120"/>
        <w:ind w:left="567" w:hanging="567"/>
        <w:jc w:val="left"/>
      </w:pPr>
      <w:r>
        <w:rPr>
          <w:sz w:val="21"/>
          <w:szCs w:val="21"/>
        </w:rPr>
        <w:t xml:space="preserve">Worth, J. (2023), </w:t>
      </w:r>
      <w:r>
        <w:rPr>
          <w:i/>
          <w:iCs/>
          <w:sz w:val="21"/>
          <w:szCs w:val="21"/>
        </w:rPr>
        <w:t xml:space="preserve">Short Supply: Addressing the Post-Pandemic Teacher Supply Challenge in England</w:t>
      </w:r>
      <w:r>
        <w:rPr>
          <w:sz w:val="21"/>
          <w:szCs w:val="21"/>
        </w:rPr>
        <w:t xml:space="preserve">, National Foundation for Educational Research, Slough, https://files.eric.ed.gov/fulltext/ED627679.pdf (accessed on 4 August 2026).</w:t>
      </w:r>
    </w:p>
    <w:p>
      <w:pPr>
        <w:spacing w:after="120"/>
        <w:ind w:left="567" w:hanging="567"/>
        <w:jc w:val="left"/>
      </w:pPr>
      <w:r>
        <w:rPr>
          <w:sz w:val="21"/>
          <w:szCs w:val="21"/>
        </w:rPr>
        <w:t xml:space="preserve">Worth, J. and C. Sharp (2018), "What do returners want?", NFER blog, 11 July 2018, National Foundation for Educational Research, Slough, https://www.nfer.ac.uk/blogs/what-do-returners-want/ (accessed on 4 August 2026).</w:t>
      </w:r>
    </w:p>
    <w:p>
      <w:pPr>
        <w:spacing w:after="120"/>
        <w:ind w:left="567" w:hanging="567"/>
        <w:jc w:val="left"/>
      </w:pPr>
      <w:r>
        <w:rPr>
          <w:sz w:val="21"/>
          <w:szCs w:val="21"/>
        </w:rPr>
        <w:t xml:space="preserve">Worth, J., S. Bamford and B. Durbin (2015), </w:t>
      </w:r>
      <w:r>
        <w:rPr>
          <w:i/>
          <w:iCs/>
          <w:sz w:val="21"/>
          <w:szCs w:val="21"/>
        </w:rPr>
        <w:t xml:space="preserve">Should I Stay or Should I Go? NFER Analysis of Teachers Joining and Leaving the Profession</w:t>
      </w:r>
      <w:r>
        <w:rPr>
          <w:sz w:val="21"/>
          <w:szCs w:val="21"/>
        </w:rPr>
        <w:t xml:space="preserve">, National Foundation for Educational Research, Slough, https://www.nfer.ac.uk/publications/should-i-stay-or-should-i-go-nfer-analysis-of-teachers-joining-and-leaving-the-profession/.</w:t>
      </w:r>
    </w:p>
    <w:p>
      <w:pPr>
        <w:spacing w:after="120"/>
        <w:ind w:left="567" w:hanging="567"/>
        <w:jc w:val="left"/>
      </w:pPr>
      <w:r>
        <w:rPr>
          <w:sz w:val="21"/>
          <w:szCs w:val="21"/>
        </w:rPr>
        <w:t xml:space="preserve">Zhang, M., Q. Jiang and J. Jiang (2025), "'银龄讲学'政策执行的制约因素与路径选择" ["Constraints on the implementation of the 'Silver Age Lecturing' policy and pathways for improvement"], </w:t>
      </w:r>
      <w:r>
        <w:rPr>
          <w:i/>
          <w:iCs/>
          <w:sz w:val="21"/>
          <w:szCs w:val="21"/>
        </w:rPr>
        <w:t xml:space="preserve">Journal of Hangzhou Normal University (Humanities and Social Sciences)</w:t>
      </w:r>
      <w:r>
        <w:rPr>
          <w:sz w:val="21"/>
          <w:szCs w:val="21"/>
        </w:rPr>
        <w:t xml:space="preserve">, No. 1, pp. 85-93, https://doi.org/10.19925/j.cnki.issn.1674-2338.2025.01.009 (accessed on 19 August 2026).</w:t>
      </w:r>
    </w:p>
    <w:p>
      <w:pPr>
        <w:spacing w:after="120"/>
        <w:ind w:left="567" w:hanging="567"/>
        <w:jc w:val="left"/>
      </w:pPr>
      <w:r>
        <w:rPr>
          <w:sz w:val="21"/>
          <w:szCs w:val="21"/>
        </w:rPr>
        <w:t xml:space="preserve">Zhang, M., T. Fang and Q. Jiang (2025), "Addressing teacher shortages: Policy and practical experiences from China", </w:t>
      </w:r>
      <w:r>
        <w:rPr>
          <w:i/>
          <w:iCs/>
          <w:sz w:val="21"/>
          <w:szCs w:val="21"/>
        </w:rPr>
        <w:t xml:space="preserve">Education and Lifelong Development Research</w:t>
      </w:r>
      <w:r>
        <w:rPr>
          <w:sz w:val="21"/>
          <w:szCs w:val="21"/>
        </w:rPr>
        <w:t xml:space="preserve">, Vol. 2/2, pp. 92-100, https://doi.org/10.46690/elder.2025.02.05 (accessed on 19 August 2026).</w:t>
      </w:r>
    </w:p>
    <w:p>
      <w:pPr>
        <w:spacing w:after="120"/>
        <w:ind w:left="567" w:hanging="567"/>
        <w:jc w:val="left"/>
      </w:pPr>
      <w:r>
        <w:rPr>
          <w:sz w:val="21"/>
          <w:szCs w:val="21"/>
        </w:rPr>
        <w:t xml:space="preserve">ZNS Bahamas (2026), "The Ministry of Education Aiming to Attract More Bahamian Teachers", ZNS Bahamas (Broadcasting Corporation of The Bahamas), 17 July 2026, https://znsbahamas.com/the-ministry-of-education-aiming-to-attract-more-bahamian-teachers/.</w:t>
      </w:r>
    </w:p>
    <w:p>
      <w:pPr>
        <w:pStyle w:val="Heading1"/>
        <w:pageBreakBefore/>
      </w:pPr>
      <w:r>
        <w:t xml:space="preserve">Notes</w:t>
      </w:r>
    </w:p>
    <w:p>
      <w:pPr>
        <w:spacing w:after="120"/>
      </w:pPr>
      <w:r>
        <w:rPr>
          <w:vertAlign w:val="superscript"/>
        </w:rPr>
        <w:t xml:space="preserve">1</w:t>
      </w:r>
      <w:r>
        <w:t xml:space="preserve"> </w:t>
      </w:r>
      <w:r>
        <w:rPr>
          <w:sz w:val="20"/>
          <w:szCs w:val="20"/>
        </w:rPr>
        <w:t xml:space="preserve">Across the 19 OECD education systems with comparable data, the leaving rate for fully qualified teachers remained below 3% in France, Greece, Ireland and Israel and exceeded 10% in Denmark, Estonia and Lithuania in 2022/23 (OECD, 2025a, Table D8.4). In England, the Department for Education counted 40 800 full-time-equivalent leavers from state schools in 2023/24, 9.0% of the qualified workforce (Department for Education, 2025a). In the United States, the National Center for Education Statistics put the leaving rate at 8% of public school teachers for 2021, unchanged since 2012 (NCES, 2023), and pooled Current Population Survey estimates for 2015-2024 average 7.6% a year (Aldeman and Yi, 2025). In Australia, household panel data record a leaving rate of 11.6% in 2022, below its 2012 peak of 16.3% (Cuervo and Vera-Toscano, 2025). Of particular interest is the case of Austria, where the rate nearly doubled within a decade, from 3.2% in 2014/15 to 6.2% in 2022/23 (OECD, 2025a).</w:t>
      </w:r>
    </w:p>
    <w:p>
      <w:pPr>
        <w:spacing w:after="120"/>
      </w:pPr>
      <w:r>
        <w:rPr>
          <w:vertAlign w:val="superscript"/>
        </w:rPr>
        <w:t xml:space="preserve">2</w:t>
      </w:r>
      <w:r>
        <w:t xml:space="preserve"> </w:t>
      </w:r>
      <w:r>
        <w:rPr>
          <w:sz w:val="20"/>
          <w:szCs w:val="20"/>
        </w:rPr>
        <w:t xml:space="preserve">The leaving rate averaged 7.3% in pre-primary, 5.8% in primary and 5.9% in secondary education. Between 2013/14 and 2022/23 the rate rose by more than two percentage points in Austria and Estonia (OECD, 2025a, Table D8.4); Austria's rate rose from 3.2% in 2014/15 to 6.2% in 2022/23 (OECD, 2025a, country note). The rate remained below 3% in France, Greece, Ireland and Israel and above 10% in Denmark, Estonia and Lithuania (OECD, 2025a, Table D8.4).</w:t>
      </w:r>
    </w:p>
    <w:p>
      <w:pPr>
        <w:spacing w:after="120"/>
      </w:pPr>
      <w:r>
        <w:rPr>
          <w:vertAlign w:val="superscript"/>
        </w:rPr>
        <w:t xml:space="preserve">3</w:t>
      </w:r>
      <w:r>
        <w:t xml:space="preserve"> </w:t>
      </w:r>
      <w:r>
        <w:rPr>
          <w:sz w:val="20"/>
          <w:szCs w:val="20"/>
        </w:rPr>
        <w:t xml:space="preserve">Approximately 58% in Austria, 68% in Israel, 40% in the Slovak Republic, 32% in Poland, 30% in Estonia, 23% in Sweden and 16% in Denmark (OECD, 2025a, p. 495).</w:t>
      </w:r>
    </w:p>
    <w:p>
      <w:pPr>
        <w:spacing w:after="120"/>
      </w:pPr>
      <w:r>
        <w:rPr>
          <w:vertAlign w:val="superscript"/>
        </w:rPr>
        <w:t xml:space="preserve">4</w:t>
      </w:r>
      <w:r>
        <w:t xml:space="preserve"> </w:t>
      </w:r>
      <w:r>
        <w:rPr>
          <w:sz w:val="20"/>
          <w:szCs w:val="20"/>
        </w:rPr>
        <w:t xml:space="preserve">In the 2024 round, 19% of teachers reported high stress, with shares above 30% in Alberta (Canada), Australia, Bahrain, Costa Rica, Malta and New Zealand and below 5% in Albania, Azerbaijan, Kazakhstan and Viet Nam (OECD, 2025b).</w:t>
      </w:r>
    </w:p>
    <w:p>
      <w:pPr>
        <w:spacing w:after="120"/>
      </w:pPr>
      <w:r>
        <w:rPr>
          <w:vertAlign w:val="superscript"/>
        </w:rPr>
        <w:t xml:space="preserve">5</w:t>
      </w:r>
      <w:r>
        <w:t xml:space="preserve"> </w:t>
      </w:r>
      <w:r>
        <w:rPr>
          <w:sz w:val="20"/>
          <w:szCs w:val="20"/>
        </w:rPr>
        <w:t xml:space="preserve">In the first fiscal year the remaining statutory routes counted 390 retirees working under an earnings ceiling of USD 15 000 a year (since raised to USD 25 000), 686 working at a quarter of a full-time post or less, and 1 716 under an older programme that has since ended (New Mexico Educational Retirement Board, 2023; New Mexico Educational Retirement Board, 2025).</w:t>
      </w:r>
    </w:p>
    <w:p>
      <w:pPr>
        <w:spacing w:after="120"/>
      </w:pPr>
      <w:r>
        <w:rPr>
          <w:vertAlign w:val="superscript"/>
        </w:rPr>
        <w:t xml:space="preserve">6</w:t>
      </w:r>
      <w:r>
        <w:t xml:space="preserve"> </w:t>
      </w:r>
      <w:r>
        <w:rPr>
          <w:sz w:val="20"/>
          <w:szCs w:val="20"/>
        </w:rPr>
        <w:t xml:space="preserve">Recorded returns while the service was subject-restricted: mathematics 25 and 24, physics 8 and 15, modern foreign languages 29 and 27 in the two years to 2020/21; service costs GBP 361 345 and GBP 325 563 in those years. The counts capture only returns recorded by the department, so unreported and other-subject returns are missing, and the implied cost per recorded returner has no additionality control (UK Parliament, 2022; Walker, 2022).</w:t>
      </w:r>
    </w:p>
    <w:p>
      <w:pPr>
        <w:spacing w:after="120"/>
      </w:pPr>
      <w:r>
        <w:rPr>
          <w:vertAlign w:val="superscript"/>
        </w:rPr>
        <w:t xml:space="preserve">7</w:t>
      </w:r>
      <w:r>
        <w:t xml:space="preserve"> </w:t>
      </w:r>
      <w:r>
        <w:rPr>
          <w:sz w:val="20"/>
          <w:szCs w:val="20"/>
        </w:rPr>
        <w:t xml:space="preserve">Land counts compiled by the survey, on varying definitions and dates: Baden-Württemberg 531, Bavaria about 690, Berlin about 400, Hamburg 285, Schleswig-Holstein 390, Thuringia about 220, and 1 304 teachers past pension age in North Rhine-Westphalia (Deutsches Schulportal, 2023).</w:t>
      </w:r>
    </w:p>
    <w:p>
      <w:pPr>
        <w:spacing w:after="120"/>
      </w:pPr>
      <w:r>
        <w:rPr>
          <w:vertAlign w:val="superscript"/>
        </w:rPr>
        <w:t xml:space="preserve">8</w:t>
      </w:r>
      <w:r>
        <w:t xml:space="preserve"> </w:t>
      </w:r>
      <w:r>
        <w:rPr>
          <w:sz w:val="20"/>
          <w:szCs w:val="20"/>
        </w:rPr>
        <w:t xml:space="preserve">The survey counted 457 000 retired or pensioned teachers in 2021, against an active workforce of roughly 800 000 (Deutsches Schulportal, 2023).</w:t>
      </w:r>
    </w:p>
    <w:sectPr>
      <w:headerReference w:type="default" r:id="rId7"/>
      <w:footerReference w:type="default" r:id="rId8"/>
      <w:pgSz w:w="11906" w:h="16838" w:orient="portrait"/>
      <w:pgMar w:top="1417" w:right="1417" w:bottom="1417" w:left="1417" w:header="708" w:footer="708" w:gutter="0"/>
      <w:pgNumType w:start="1"/>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aps/>
        <w:color w:val="595959"/>
        <w:sz w:val="16"/>
        <w:szCs w:val="16"/>
      </w:rPr>
      <w:t xml:space="preserve">FORMER TEACHERS: BARRIERS, INCENTIVES AND POLICY LESSONS FOR RE-ENTRY — POLICY PAPER, AUGUST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95959"/>
        <w:sz w:val="18"/>
        <w:szCs w:val="18"/>
      </w:rPr>
      <w:fldChar w:fldCharType="begin"/>
      <w:instrText xml:space="preserve">PAGE</w:instrText>
      <w:fldChar w:fldCharType="separate"/>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4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aramond" w:cs="Garamond" w:eastAsia="Garamond" w:hAnsi="Garamond"/>
        <w:color w:val="000000"/>
        <w:sz w:val="23"/>
        <w:szCs w:val="23"/>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300" w:before="240"/>
      <w:outlineLvl w:val="0"/>
    </w:pPr>
    <w:rPr>
      <w:rFonts w:ascii="Garamond" w:cs="Garamond" w:eastAsia="Garamond" w:hAnsi="Garamond"/>
      <w:b/>
      <w:bCs/>
      <w:color w:val="4E81BD"/>
      <w:sz w:val="40"/>
      <w:szCs w:val="40"/>
    </w:rPr>
  </w:style>
  <w:style w:type="paragraph" w:styleId="Heading2">
    <w:name w:val="Heading 2"/>
    <w:basedOn w:val="Normal"/>
    <w:next w:val="Normal"/>
    <w:qFormat/>
    <w:pPr>
      <w:spacing w:after="160" w:before="280"/>
      <w:outlineLvl w:val="1"/>
    </w:pPr>
    <w:rPr>
      <w:rFonts w:ascii="Garamond" w:cs="Garamond" w:eastAsia="Garamond" w:hAnsi="Garamond"/>
      <w:b/>
      <w:bCs/>
      <w:color w:val="4E81BD"/>
      <w:sz w:val="28"/>
      <w:szCs w:val="28"/>
    </w:rPr>
  </w:style>
  <w:style w:type="paragraph" w:styleId="Heading3">
    <w:name w:val="Heading 3"/>
    <w:basedOn w:val="Normal"/>
    <w:next w:val="Normal"/>
    <w:qFormat/>
    <w:pPr>
      <w:spacing w:after="120" w:before="220"/>
      <w:outlineLvl w:val="2"/>
    </w:pPr>
    <w:rPr>
      <w:rFonts w:ascii="Garamond" w:cs="Garamond" w:eastAsia="Garamond" w:hAnsi="Garamond"/>
      <w:b/>
      <w:bCs/>
      <w:color w:val="4E81BD"/>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2026-08-20T15:18:16.957Z</dcterms:created>
  <dcterms:modified xsi:type="dcterms:W3CDTF">2026-08-20T15:18:16.972Z</dcterms:modified>
</cp:coreProperties>
</file>

<file path=docProps/custom.xml><?xml version="1.0" encoding="utf-8"?>
<Properties xmlns="http://schemas.openxmlformats.org/officeDocument/2006/custom-properties" xmlns:vt="http://schemas.openxmlformats.org/officeDocument/2006/docPropsVTypes"/>
</file>