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color w:val="595959"/>
          <w:sz w:val="22"/>
          <w:szCs w:val="22"/>
        </w:rPr>
        <w:t xml:space="preserve">OECD EDUCATION WORKING PAPERS  No. [XX]</w:t>
      </w:r>
    </w:p>
    <w:p>
      <w:pPr>
        <w:pBdr>
          <w:bottom w:val="single" w:color="04629A" w:sz="8"/>
        </w:pBdr>
        <w:spacing w:after="60"/>
      </w:pPr>
      <w:r>
        <w:rPr>
          <w:sz w:val="8"/>
          <w:szCs w:val="8"/>
        </w:rPr>
        <w:t xml:space="preserve"> </w:t>
      </w:r>
    </w:p>
    <w:p>
      <w:pPr>
        <w:spacing w:after="200" w:before="2200"/>
      </w:pPr>
      <w:r>
        <w:rPr>
          <w:b/>
          <w:bCs/>
          <w:color w:val="04629A"/>
          <w:sz w:val="52"/>
          <w:szCs w:val="52"/>
        </w:rPr>
        <w:t xml:space="preserve">Former Teachers: Barriers, Incentives and Policy Lessons for Re-entry</w:t>
      </w:r>
    </w:p>
    <w:p>
      <w:pPr>
        <w:spacing w:after="1200"/>
      </w:pPr>
      <w:r>
        <w:rPr>
          <w:color w:val="404040"/>
          <w:sz w:val="26"/>
          <w:szCs w:val="26"/>
        </w:rPr>
        <w:t xml:space="preserve">[Author name(s)], Directorate for Education and Skills</w:t>
      </w:r>
    </w:p>
    <w:p>
      <w:pPr>
        <w:spacing w:after="120"/>
      </w:pPr>
      <w:r>
        <w:rPr>
          <w:color w:val="595959"/>
          <w:sz w:val="24"/>
          <w:szCs w:val="24"/>
        </w:rPr>
        <w:t xml:space="preserve">WORKING DRAFT — August 2026</w:t>
      </w:r>
    </w:p>
    <w:p>
      <w:pPr>
        <w:spacing w:after="0"/>
      </w:pPr>
      <w:r>
        <w:rPr>
          <w:color w:val="8C8C8C"/>
          <w:sz w:val="20"/>
          <w:szCs w:val="20"/>
        </w:rPr>
        <w:t xml:space="preserve">[Document code]  ·  [JT code]</w:t>
      </w:r>
    </w:p>
    <w:p>
      <w:pPr>
        <w:pageBreakBefore/>
        <w:spacing w:after="200" w:before="400"/>
      </w:pPr>
      <w:r>
        <w:rPr>
          <w:b/>
          <w:bCs/>
          <w:color w:val="04629A"/>
          <w:sz w:val="26"/>
          <w:szCs w:val="26"/>
        </w:rPr>
        <w:t xml:space="preserve">OECD Education Working Papers</w:t>
      </w:r>
    </w:p>
    <w:p>
      <w:pPr>
        <w:spacing w:after="200"/>
      </w:pPr>
      <w:r>
        <w:rPr>
          <w:i/>
          <w:iCs/>
          <w:color w:val="8C8C8C"/>
        </w:rPr>
        <w:t xml:space="preserve">[Series disclaimer: This series is designed to make available to a wider readership selected studies drawn from the work of the OECD Directorate for Education and Skills…]</w:t>
      </w:r>
    </w:p>
    <w:p>
      <w:pPr>
        <w:spacing w:after="200"/>
      </w:pPr>
      <w:r>
        <w:rPr>
          <w:i/>
          <w:iCs/>
          <w:color w:val="8C8C8C"/>
        </w:rPr>
        <w:t xml:space="preserve">[Opinions disclaimer: The opinions expressed and arguments employed herein are those of the author(s) and do not necessarily reflect the official views of the OECD or of its member countries.]</w:t>
      </w:r>
    </w:p>
    <w:p>
      <w:pPr>
        <w:spacing w:after="200"/>
      </w:pPr>
      <w:r>
        <w:rPr>
          <w:i/>
          <w:iCs/>
          <w:color w:val="8C8C8C"/>
        </w:rPr>
        <w:t xml:space="preserve">[Territorial disclaimers]</w:t>
      </w:r>
    </w:p>
    <w:p>
      <w:pPr>
        <w:spacing w:after="200"/>
      </w:pPr>
      <w:r>
        <w:rPr>
          <w:i/>
          <w:iCs/>
          <w:color w:val="8C8C8C"/>
        </w:rPr>
        <w:t xml:space="preserve">[Copyright notice — © OECD 2026 — Attribution 4.0 International (CC BY 4.0)]</w:t>
      </w:r>
    </w:p>
    <w:p>
      <w:pPr>
        <w:spacing w:after="200"/>
      </w:pPr>
      <w:r>
        <w:rPr>
          <w:i/>
          <w:iCs/>
          <w:color w:val="8C8C8C"/>
        </w:rPr>
        <w:t xml:space="preserve">[Comments on Working Papers are welcome and may be sent to: edu.contact@oecd.org]</w:t>
      </w:r>
    </w:p>
    <w:p>
      <w:pPr>
        <w:pStyle w:val="Heading1"/>
        <w:pageBreakBefore/>
        <w:spacing w:after="220" w:before="0"/>
      </w:pPr>
      <w:r>
        <w:rPr>
          <w:rFonts w:ascii="Garamond" w:cs="Garamond" w:eastAsia="Garamond" w:hAnsi="Garamond"/>
          <w:b/>
          <w:bCs/>
          <w:color w:val="04629A"/>
          <w:sz w:val="30"/>
          <w:szCs w:val="30"/>
        </w:rPr>
        <w:t xml:space="preserve">Abstract</w:t>
      </w:r>
    </w:p>
    <w:p>
      <w:pPr>
        <w:spacing w:after="200"/>
      </w:pPr>
      <w:r>
        <w:rPr>
          <w:i/>
          <w:iCs/>
          <w:color w:val="8C8C8C"/>
        </w:rPr>
        <w:t xml:space="preserve">[Abstract — fewer than 150 words, followed by Keywords and JEL codes.]</w:t>
      </w:r>
    </w:p>
    <w:p>
      <w:pPr>
        <w:pStyle w:val="Heading1"/>
        <w:spacing w:after="220" w:before="340"/>
      </w:pPr>
      <w:r>
        <w:rPr>
          <w:rFonts w:ascii="Garamond" w:cs="Garamond" w:eastAsia="Garamond" w:hAnsi="Garamond"/>
          <w:b/>
          <w:bCs/>
          <w:color w:val="04629A"/>
          <w:sz w:val="30"/>
          <w:szCs w:val="30"/>
        </w:rPr>
        <w:t xml:space="preserve">Résumé</w:t>
      </w:r>
    </w:p>
    <w:p>
      <w:pPr>
        <w:spacing w:after="200"/>
      </w:pPr>
      <w:r>
        <w:rPr>
          <w:i/>
          <w:iCs/>
          <w:color w:val="8C8C8C"/>
        </w:rPr>
        <w:t xml:space="preserve">[Résumé en français.]</w:t>
      </w:r>
    </w:p>
    <w:p>
      <w:pPr>
        <w:pStyle w:val="Heading1"/>
        <w:pageBreakBefore/>
        <w:spacing w:after="220" w:before="0"/>
      </w:pPr>
      <w:r>
        <w:rPr>
          <w:rFonts w:ascii="Garamond" w:cs="Garamond" w:eastAsia="Garamond" w:hAnsi="Garamond"/>
          <w:b/>
          <w:bCs/>
          <w:color w:val="04629A"/>
          <w:sz w:val="30"/>
          <w:szCs w:val="30"/>
        </w:rPr>
        <w:t xml:space="preserve">Acknowledgements</w:t>
      </w:r>
    </w:p>
    <w:p>
      <w:pPr>
        <w:spacing w:after="200"/>
      </w:pPr>
      <w:r>
        <w:rPr>
          <w:i/>
          <w:iCs/>
          <w:color w:val="8C8C8C"/>
        </w:rPr>
        <w:t xml:space="preserve">[Acknowledgements to colleagues, reviewers and data providers.]</w:t>
      </w:r>
    </w:p>
    <w:p>
      <w:pPr>
        <w:pStyle w:val="Heading1"/>
        <w:pageBreakBefore/>
        <w:spacing w:after="220" w:before="0"/>
      </w:pPr>
      <w:r>
        <w:rPr>
          <w:rFonts w:ascii="Garamond" w:cs="Garamond" w:eastAsia="Garamond" w:hAnsi="Garamond"/>
          <w:b/>
          <w:bCs/>
          <w:color w:val="04629A"/>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20" w:before="0"/>
      </w:pPr>
      <w:r>
        <w:rPr>
          <w:rFonts w:ascii="Garamond" w:cs="Garamond" w:eastAsia="Garamond" w:hAnsi="Garamond"/>
          <w:b/>
          <w:bCs/>
          <w:color w:val="04629A"/>
          <w:sz w:val="30"/>
          <w:szCs w:val="30"/>
        </w:rPr>
        <w:t xml:space="preserve">1. Introduction</w:t>
      </w:r>
    </w:p>
    <w:p>
      <w:pPr>
        <w:spacing w:after="200"/>
      </w:pPr>
      <w:r>
        <w:rPr>
          <w:i/>
          <w:iCs/>
          <w:color w:val="8C8C8C"/>
        </w:rPr>
        <w:t xml:space="preserve">[To be written last, distilled from the finished text.]</w:t>
      </w:r>
    </w:p>
    <w:p>
      <w:pPr>
        <w:pStyle w:val="Heading1"/>
        <w:pageBreakBefore/>
        <w:spacing w:after="220" w:before="0"/>
      </w:pPr>
      <w:r>
        <w:rPr>
          <w:rFonts w:ascii="Garamond" w:cs="Garamond" w:eastAsia="Garamond" w:hAnsi="Garamond"/>
          <w:b/>
          <w:bCs/>
          <w:color w:val="04629A"/>
          <w:sz w:val="30"/>
          <w:szCs w:val="30"/>
        </w:rPr>
        <w:t xml:space="preserve">2. Why teachers leave</w:t>
      </w:r>
    </w:p>
    <w:p>
      <w:pPr>
        <w:spacing w:after="160" w:line="264"/>
        <w:jc w:val="both"/>
      </w:pPr>
      <w:r>
        <w:t xml:space="preserve">Policies that seek to bring former teachers back to the classroom can succeed only if they rest on the reasons for which those teachers left, and respond to them. The reasons determine who is reachable, at what cost and with which instrument. A financial offer addressed to people who left because the conditions of the work had become unmanageable, or a licensing concession addressed to people who retired when their pension rules made it rational to do so, is addressed to a population that is not there. This section therefore reviews what is known about why teachers leave, before the paper turns to the policies that have tried to bring them back.</w:t>
      </w:r>
    </w:p>
    <w:p>
      <w:pPr>
        <w:spacing w:after="160" w:line="264"/>
        <w:jc w:val="both"/>
      </w:pPr>
      <w:r>
        <w:t xml:space="preserve">The departures themselves can be grouped broadly into resignations towards other employment, withdrawals from the labour market and retirements. The distinction matters for what follows because the person behind each of them faces a different return decision. A teacher who resigned for another job has an employer to leave; a teacher who withdrew to care for a child has a household arrangement to renegotiate; a retired teacher has a pension whose rules may penalise re-employment. Each responds to different instruments, and the balance among the three differs sharply across countries, as this section shows.</w:t>
      </w:r>
    </w:p>
    <w:p>
      <w:pPr>
        <w:spacing w:after="160" w:line="264"/>
        <w:jc w:val="both"/>
      </w:pPr>
      <w:r>
        <w:t xml:space="preserve">How much any given reason weighs in these decisions varies from one system to another with the institutions that govern it, among them the design of pensions and the age at which they can be drawn, the pay of teachers relative to other tertiary-educated workers, the effective right to work part-time, parental leave and the reservation of the post, the inspection regime and the rules of licensure. A reason that dominates departures in one country can be nearly absent in another that has legislated it away, which is why the evidence below is presented together with the institutional setting in which it was produced.</w:t>
      </w:r>
    </w:p>
    <w:p>
      <w:pPr>
        <w:spacing w:after="160" w:line="264"/>
        <w:jc w:val="both"/>
      </w:pPr>
      <w:r>
        <w:t xml:space="preserve">The reasons studied in the research literature fall into six areas, and the evidence behind them is distributed unevenly. Causal or quasi-experimental estimates exist for pay, for pensions and for inspection, because these are set centrally and their reforms create discontinuities that research can exploit. School leadership and pupil behaviour are supported by evidence on observed departures, though almost never by designs that isolate them from everything else a school is. Professional purpose, standing and family reasons rest almost entirely on what teachers themselves report. The imbalance runs through the whole of this section, and it matters for policy, since an area rich in testimony and poor in identification invites confident intervention on weak ground.</w:t>
      </w:r>
    </w:p>
    <w:p>
      <w:pPr>
        <w:pStyle w:val="Heading2"/>
        <w:spacing w:after="140" w:before="260"/>
      </w:pPr>
      <w:r>
        <w:rPr>
          <w:rFonts w:ascii="Garamond" w:cs="Garamond" w:eastAsia="Garamond" w:hAnsi="Garamond"/>
          <w:b/>
          <w:bCs/>
          <w:color w:val="04629A"/>
          <w:sz w:val="25"/>
          <w:szCs w:val="25"/>
        </w:rPr>
        <w:t xml:space="preserve">2.1 Patterns of departure</w:t>
      </w:r>
    </w:p>
    <w:p>
      <w:pPr>
        <w:spacing w:after="160" w:line="264"/>
        <w:jc w:val="both"/>
      </w:pPr>
      <w:r>
        <w:t xml:space="preserve">Teachers leave everywhere, at rates that differ several-fold between systems. Across the 19 OECD education systems with comparable data, 6.5% of fully qualified teachers left the profession in 2022/23, from around 2% in Israel, Ireland, France and Greece to around 12% in Lithuania and Denmark </w:t>
      </w:r>
      <w:r>
        <w:rPr>
          <w:color w:val="0563C1"/>
        </w:rPr>
        <w:t xml:space="preserve">(OECD, 2025a)</w:t>
      </w:r>
      <w:r>
        <w:t xml:space="preserve">.</w:t>
      </w:r>
      <w:r>
        <w:rPr>
          <w:rStyle w:val="FootnoteReference"/>
        </w:rPr>
        <w:footnoteReference w:id="1"/>
      </w:r>
      <w:r>
        <w:t xml:space="preserve"> A range of that width is itself informative. Attrition of 2% is compatible with a workforce that renews itself through retirement alone, while attrition above 10% forces a system to replace a substantial share of its stock every year, and the two situations call for different readings of every result reported below.</w:t>
      </w:r>
    </w:p>
    <w:p>
      <w:pPr>
        <w:spacing w:after="160" w:line="264"/>
        <w:jc w:val="both"/>
      </w:pPr>
      <w:r>
        <w:t xml:space="preserve">These rates are persistent. Where a long series exists, a country's attrition behaves as a stable property of its school system, and the best-documented case is the United States, whose national leaver rate has moved between 5% and 8% across three and a half decades of survey waves, has sat near 8% for the last twenty years, and carries no lasting mark from the pandemic </w:t>
      </w:r>
      <w:r>
        <w:rPr>
          <w:color w:val="0563C1"/>
        </w:rPr>
        <w:t xml:space="preserve">(NCES, 2024)</w:t>
      </w:r>
      <w:r>
        <w:t xml:space="preserve">.</w:t>
      </w:r>
      <w:r>
        <w:rPr>
          <w:rStyle w:val="FootnoteReference"/>
        </w:rPr>
        <w:footnoteReference w:id="2"/>
      </w:r>
      <w:r>
        <w:t xml:space="preserve"> England's rate has stayed within a band of 7% to 11% since 2011, dipping during the pandemic and returning to its previous level within two years </w:t>
      </w:r>
      <w:r>
        <w:rPr>
          <w:color w:val="0563C1"/>
        </w:rPr>
        <w:t xml:space="preserve">(Department for Education, 2024b)</w:t>
      </w:r>
      <w:r>
        <w:t xml:space="preserve">. Across countries, the OECD average moved from 6.9% in 2014/15 to 6.5% in 2022/23 and most systems reporting both years moved by less than a percentage point, although the rate roughly doubled in Austria and in Estonia over the same interval </w:t>
      </w:r>
      <w:r>
        <w:rPr>
          <w:color w:val="0563C1"/>
        </w:rPr>
        <w:t xml:space="preserve">(OECD, 2025a)</w:t>
      </w:r>
      <w:r>
        <w:t xml:space="preserve">. A system's attrition is therefore best read as a slowly moving feature of its institutions, persistent without being immutable.</w:t>
      </w:r>
    </w:p>
    <w:p>
      <w:pPr>
        <w:spacing w:after="160" w:line="264"/>
        <w:jc w:val="both"/>
      </w:pPr>
      <w:r>
        <w:t xml:space="preserve">Whether these rates are high is a question that needs a comparator, and the natural one is other professions of similar qualification. Where that comparison has been made, teaching does not stand out. In the United States, 7.6% of teachers leave the profession in a given year, about the rate at which nurses leave nursing, close to that of accountants and below that of social workers </w:t>
      </w:r>
      <w:r>
        <w:rPr>
          <w:color w:val="0563C1"/>
        </w:rPr>
        <w:t xml:space="preserve">(Aldeman and Yi, 2025; Harris and Adams, 2007)</w:t>
      </w:r>
      <w:r>
        <w:t xml:space="preserve">; in Australia, linked tax records put annual attrition at 5% to 6%, the lowest of the 97 occupation groups the data distinguish </w:t>
      </w:r>
      <w:r>
        <w:rPr>
          <w:color w:val="0563C1"/>
        </w:rPr>
        <w:t xml:space="preserve">(Buckley and Griselda, 2025)</w:t>
      </w:r>
      <w:r>
        <w:t xml:space="preserve">. England reads higher, at 12.3% of full-time teachers against 9.9% of nurses and 7.7% of police officers, though only the gap with the police is statistically significant </w:t>
      </w:r>
      <w:r>
        <w:rPr>
          <w:color w:val="0563C1"/>
        </w:rPr>
        <w:t xml:space="preserve">(Hillary, Andrade and Worth, 2018)</w:t>
      </w:r>
      <w:r>
        <w:t xml:space="preserve">, and no comparable benchmark has been published for any other OECD system.</w:t>
      </w:r>
      <w:r>
        <w:rPr>
          <w:rStyle w:val="FootnoteReference"/>
        </w:rPr>
        <w:footnoteReference w:id="3"/>
      </w:r>
      <w:r>
        <w:t xml:space="preserve"> What teaching does have, distinctively, is earlier retirement </w:t>
      </w:r>
      <w:r>
        <w:rPr>
          <w:color w:val="0563C1"/>
        </w:rPr>
        <w:t xml:space="preserve">(Harris and Adams, 2007)</w:t>
      </w:r>
      <w:r>
        <w:t xml:space="preserve">. Nor is zero the right target. Where low-performing teachers were induced to leave, their replacements raised student achievement by 0.21 standard deviations in mathematics and 0.14 in reading </w:t>
      </w:r>
      <w:r>
        <w:rPr>
          <w:color w:val="0563C1"/>
        </w:rPr>
        <w:t xml:space="preserve">(Adnot et al., 2017)</w:t>
      </w:r>
      <w:r>
        <w:t xml:space="preserve">, while high turnover harms achievement where it concentrates, in disadvantaged schools most of all </w:t>
      </w:r>
      <w:r>
        <w:rPr>
          <w:color w:val="0563C1"/>
        </w:rPr>
        <w:t xml:space="preserve">(Ronfeldt, Loeb and Wyckoff, 2013)</w:t>
      </w:r>
      <w:r>
        <w:t xml:space="preserve">. A degree of attrition is the sign of an occupation connected to its labour market, and the object of policy is less the level of departure than its composition, who leaves, from which schools and in which subjects.</w:t>
      </w:r>
    </w:p>
    <w:p>
      <w:pPr>
        <w:spacing w:after="160" w:line="264"/>
        <w:jc w:val="both"/>
      </w:pPr>
      <w:r>
        <w:t xml:space="preserve">Departure also follows the shape of the career. It is most frequent in the first years of teaching, falls through mid-career and rises again as retirement approaches, a profile documented across the 46 studies of an early systematic review </w:t>
      </w:r>
      <w:r>
        <w:rPr>
          <w:color w:val="0563C1"/>
        </w:rPr>
        <w:t xml:space="preserve">(Guarino, Santibañez and Daley, 2006)</w:t>
      </w:r>
      <w:r>
        <w:t xml:space="preserve">. The early peak reflects sorting, as entrants discover whether the job matches what they trained for, and the late peak reflects the pension rules examined later in this section. Between the two sits a long stretch of comparatively stable mid-career service, which is where most of the potential returner population accumulates.</w:t>
      </w:r>
    </w:p>
    <w:p>
      <w:pPr>
        <w:spacing w:after="160" w:line="264"/>
        <w:jc w:val="both"/>
      </w:pPr>
      <w:r>
        <w:t xml:space="preserve">Where a teacher works predicts departure better than who the teacher is. Pooling 120 studies, school working conditions are more strongly associated with attrition than teachers' personal characteristics; teachers in schools with better conditions face roughly half the odds of leaving, and class size, the variable policy debates return to most readily, shows no association at all </w:t>
      </w:r>
      <w:r>
        <w:rPr>
          <w:color w:val="0563C1"/>
        </w:rPr>
        <w:t xml:space="preserve">(Nguyen et al., 2020)</w:t>
      </w:r>
      <w:r>
        <w:t xml:space="preserve">. Within those conditions, the support of the school's leadership counts for more than material resources. In England, the leadership factor halves an experienced teacher's annual probability of leaving the profession </w:t>
      </w:r>
      <w:r>
        <w:rPr>
          <w:color w:val="0563C1"/>
        </w:rPr>
        <w:t xml:space="preserve">(Sims and Jerrim, 2020)</w:t>
      </w:r>
      <w:r>
        <w:t xml:space="preserve">, and in New York City, schools that improved their leadership, expectations and safety over time saw turnover fall within the same school, in a panel design that holds the school's fixed characteristics constant </w:t>
      </w:r>
      <w:r>
        <w:rPr>
          <w:color w:val="0563C1"/>
        </w:rPr>
        <w:t xml:space="preserve">(Kraft, Marinell and Shen-Wei Yee, 2016)</w:t>
      </w:r>
      <w:r>
        <w:t xml:space="preserve">. None of this evidence is experimental, and the caution recurs below, but the direction is consistent wherever conditions and departures have been measured together.</w:t>
      </w:r>
    </w:p>
    <w:p>
      <w:pPr>
        <w:spacing w:after="160" w:line="264"/>
        <w:jc w:val="both"/>
      </w:pPr>
      <w:r>
        <w:t xml:space="preserve">The reasons teachers give in surveys, finally, do not always coincide with the ones that predict their observed departure. The gap is the one to be expected between stated and revealed preferences </w:t>
      </w:r>
      <w:r>
        <w:rPr>
          <w:color w:val="0563C1"/>
        </w:rPr>
        <w:t xml:space="preserve">(Samuelson, 1938)</w:t>
      </w:r>
      <w:r>
        <w:t xml:space="preserve">. What a person reports about a decision and what the decision itself reveals are different measurements of different objects, and neither replaces the other. The distinction organises much of what follows, and Section 2.4 examines it directly.</w:t>
      </w:r>
    </w:p>
    <w:p>
      <w:pPr>
        <w:pStyle w:val="Heading2"/>
        <w:spacing w:after="140" w:before="260"/>
      </w:pPr>
      <w:r>
        <w:rPr>
          <w:rFonts w:ascii="Garamond" w:cs="Garamond" w:eastAsia="Garamond" w:hAnsi="Garamond"/>
          <w:b/>
          <w:bCs/>
          <w:color w:val="04629A"/>
          <w:sz w:val="25"/>
          <w:szCs w:val="25"/>
        </w:rPr>
        <w:t xml:space="preserve">2.2 Classifying the reasons</w:t>
      </w:r>
    </w:p>
    <w:p>
      <w:pPr>
        <w:spacing w:after="160" w:line="264"/>
        <w:jc w:val="both"/>
      </w:pPr>
      <w:r>
        <w:t xml:space="preserve">The literature offers no single classification of these reasons. Some work separates what pushes a teacher out of the classroom from what attracts them towards other employment, a scheme inherited from the study of migration. Other work distinguishes what belongs to the teacher's life, what depends on the school and what is fixed by general rules, such as pay or pensions. The schemes serve the questions they were built for, and none was built for the question of return, which needs to know why a person left and which authority could alter the reason.</w:t>
      </w:r>
    </w:p>
    <w:p>
      <w:pPr>
        <w:spacing w:after="160" w:line="264"/>
        <w:jc w:val="both"/>
      </w:pPr>
      <w:r>
        <w:t xml:space="preserve">Drawing on that literature, this paper orders the reasons into six areas, defined by the domain to which each belongs and by the authority with the capacity to intervene in it. Table 1 lists them. The remainder of the section examines each area together with the institutional variation that gives it more or less weight in a given country, in the order in which the areas appear in the table.</w:t>
      </w:r>
    </w:p>
    <w:p>
      <w:pPr>
        <w:spacing w:after="160" w:line="264"/>
        <w:jc w:val="both"/>
      </w:pPr>
      <w:r>
        <w:rPr>
          <w:b/>
          <w:bCs/>
        </w:rPr>
        <w:t xml:space="preserve">Table 1. Reasons for leaving teaching, by area</w:t>
      </w:r>
    </w:p>
    <w:tbl>
      <w:tblPr>
        <w:tblW w:type="pct" w:w="100%"/>
        <w:tblBorders>
          <w:top w:val="single" w:color="888888" w:sz="6"/>
          <w:left w:val="none"/>
          <w:bottom w:val="single" w:color="888888" w:sz="6"/>
          <w:right w:val="none"/>
          <w:insideH w:val="single" w:color="CCCCCC" w:sz="2"/>
          <w:insideV w:val="none"/>
        </w:tblBorders>
      </w:tblPr>
      <w:tblGrid>
        <w:gridCol w:w="100"/>
        <w:gridCol w:w="100"/>
      </w:tblGrid>
      <w:tr>
        <w:tc>
          <w:tcPr>
            <w:shd w:fill="E8EEF4"/>
            <w:tcMar>
              <w:top w:type="dxa" w:w="60"/>
              <w:left w:type="dxa" w:w="80"/>
              <w:bottom w:type="dxa" w:w="60"/>
              <w:right w:type="dxa" w:w="80"/>
            </w:tcMar>
          </w:tcPr>
          <w:p>
            <w:pPr>
              <w:spacing w:after="40"/>
            </w:pPr>
            <w:r>
              <w:rPr>
                <w:b/>
                <w:bCs/>
                <w:sz w:val="17"/>
                <w:szCs w:val="17"/>
              </w:rPr>
              <w:t xml:space="preserve">Area</w:t>
            </w:r>
          </w:p>
        </w:tc>
        <w:tc>
          <w:tcPr>
            <w:shd w:fill="E8EEF4"/>
            <w:tcMar>
              <w:top w:type="dxa" w:w="60"/>
              <w:left w:type="dxa" w:w="80"/>
              <w:bottom w:type="dxa" w:w="60"/>
              <w:right w:type="dxa" w:w="80"/>
            </w:tcMar>
          </w:tcPr>
          <w:p>
            <w:pPr>
              <w:spacing w:after="40"/>
            </w:pPr>
            <w:r>
              <w:rPr>
                <w:b/>
                <w:bCs/>
                <w:sz w:val="17"/>
                <w:szCs w:val="17"/>
              </w:rPr>
              <w:t xml:space="preserve">Reasons</w:t>
            </w:r>
          </w:p>
        </w:tc>
      </w:tr>
      <w:tr>
        <w:tc>
          <w:tcPr>
            <w:tcMar>
              <w:top w:type="dxa" w:w="60"/>
              <w:left w:type="dxa" w:w="80"/>
              <w:bottom w:type="dxa" w:w="60"/>
              <w:right w:type="dxa" w:w="80"/>
            </w:tcMar>
          </w:tcPr>
          <w:p>
            <w:pPr>
              <w:spacing w:after="40"/>
            </w:pPr>
            <w:r>
              <w:rPr>
                <w:b w:val="false"/>
                <w:bCs w:val="false"/>
                <w:sz w:val="17"/>
                <w:szCs w:val="17"/>
              </w:rPr>
              <w:t xml:space="preserve">Professional factors</w:t>
            </w:r>
          </w:p>
        </w:tc>
        <w:tc>
          <w:tcPr>
            <w:tcMar>
              <w:top w:type="dxa" w:w="60"/>
              <w:left w:type="dxa" w:w="80"/>
              <w:bottom w:type="dxa" w:w="60"/>
              <w:right w:type="dxa" w:w="80"/>
            </w:tcMar>
          </w:tcPr>
          <w:p>
            <w:pPr>
              <w:spacing w:after="40"/>
            </w:pPr>
            <w:r>
              <w:rPr>
                <w:b w:val="false"/>
                <w:bCs w:val="false"/>
                <w:sz w:val="17"/>
                <w:szCs w:val="17"/>
              </w:rPr>
              <w:t xml:space="preserve">Loss of professional purpose; limited autonomy over the work; professional standing; exposure to parental complaint and legal risk</w:t>
            </w:r>
          </w:p>
        </w:tc>
      </w:tr>
      <w:tr>
        <w:tc>
          <w:tcPr>
            <w:tcMar>
              <w:top w:type="dxa" w:w="60"/>
              <w:left w:type="dxa" w:w="80"/>
              <w:bottom w:type="dxa" w:w="60"/>
              <w:right w:type="dxa" w:w="80"/>
            </w:tcMar>
          </w:tcPr>
          <w:p>
            <w:pPr>
              <w:spacing w:after="40"/>
            </w:pPr>
            <w:r>
              <w:rPr>
                <w:b w:val="false"/>
                <w:bCs w:val="false"/>
                <w:sz w:val="17"/>
                <w:szCs w:val="17"/>
              </w:rPr>
              <w:t xml:space="preserve">Working conditions</w:t>
            </w:r>
          </w:p>
        </w:tc>
        <w:tc>
          <w:tcPr>
            <w:tcMar>
              <w:top w:type="dxa" w:w="60"/>
              <w:left w:type="dxa" w:w="80"/>
              <w:bottom w:type="dxa" w:w="60"/>
              <w:right w:type="dxa" w:w="80"/>
            </w:tcMar>
          </w:tcPr>
          <w:p>
            <w:pPr>
              <w:spacing w:after="40"/>
            </w:pPr>
            <w:r>
              <w:rPr>
                <w:b w:val="false"/>
                <w:bCs w:val="false"/>
                <w:sz w:val="17"/>
                <w:szCs w:val="17"/>
              </w:rPr>
              <w:t xml:space="preserve">Hours and total workload; pupil behaviour and classroom discipline; administrative and documentation demands; limited access to reduced hours; burnout and exhaustion</w:t>
            </w:r>
          </w:p>
        </w:tc>
      </w:tr>
      <w:tr>
        <w:tc>
          <w:tcPr>
            <w:tcMar>
              <w:top w:type="dxa" w:w="60"/>
              <w:left w:type="dxa" w:w="80"/>
              <w:bottom w:type="dxa" w:w="60"/>
              <w:right w:type="dxa" w:w="80"/>
            </w:tcMar>
          </w:tcPr>
          <w:p>
            <w:pPr>
              <w:spacing w:after="40"/>
            </w:pPr>
            <w:r>
              <w:rPr>
                <w:b w:val="false"/>
                <w:bCs w:val="false"/>
                <w:sz w:val="17"/>
                <w:szCs w:val="17"/>
              </w:rPr>
              <w:t xml:space="preserve">Organisational factors</w:t>
            </w:r>
          </w:p>
        </w:tc>
        <w:tc>
          <w:tcPr>
            <w:tcMar>
              <w:top w:type="dxa" w:w="60"/>
              <w:left w:type="dxa" w:w="80"/>
              <w:bottom w:type="dxa" w:w="60"/>
              <w:right w:type="dxa" w:w="80"/>
            </w:tcMar>
          </w:tcPr>
          <w:p>
            <w:pPr>
              <w:spacing w:after="40"/>
            </w:pPr>
            <w:r>
              <w:rPr>
                <w:b w:val="false"/>
                <w:bCs w:val="false"/>
                <w:sz w:val="17"/>
                <w:szCs w:val="17"/>
              </w:rPr>
              <w:t xml:space="preserve">School leadership; collegial support and team structure</w:t>
            </w:r>
          </w:p>
        </w:tc>
      </w:tr>
      <w:tr>
        <w:tc>
          <w:tcPr>
            <w:tcMar>
              <w:top w:type="dxa" w:w="60"/>
              <w:left w:type="dxa" w:w="80"/>
              <w:bottom w:type="dxa" w:w="60"/>
              <w:right w:type="dxa" w:w="80"/>
            </w:tcMar>
          </w:tcPr>
          <w:p>
            <w:pPr>
              <w:spacing w:after="40"/>
            </w:pPr>
            <w:r>
              <w:rPr>
                <w:b w:val="false"/>
                <w:bCs w:val="false"/>
                <w:sz w:val="17"/>
                <w:szCs w:val="17"/>
              </w:rPr>
              <w:t xml:space="preserve">Accountability and regulation</w:t>
            </w:r>
          </w:p>
        </w:tc>
        <w:tc>
          <w:tcPr>
            <w:tcMar>
              <w:top w:type="dxa" w:w="60"/>
              <w:left w:type="dxa" w:w="80"/>
              <w:bottom w:type="dxa" w:w="60"/>
              <w:right w:type="dxa" w:w="80"/>
            </w:tcMar>
          </w:tcPr>
          <w:p>
            <w:pPr>
              <w:spacing w:after="40"/>
            </w:pPr>
            <w:r>
              <w:rPr>
                <w:b w:val="false"/>
                <w:bCs w:val="false"/>
                <w:sz w:val="17"/>
                <w:szCs w:val="17"/>
              </w:rPr>
              <w:t xml:space="preserve">External inspection and its consequences; certification and licensing requirements</w:t>
            </w:r>
          </w:p>
        </w:tc>
      </w:tr>
      <w:tr>
        <w:tc>
          <w:tcPr>
            <w:tcMar>
              <w:top w:type="dxa" w:w="60"/>
              <w:left w:type="dxa" w:w="80"/>
              <w:bottom w:type="dxa" w:w="60"/>
              <w:right w:type="dxa" w:w="80"/>
            </w:tcMar>
          </w:tcPr>
          <w:p>
            <w:pPr>
              <w:spacing w:after="40"/>
            </w:pPr>
            <w:r>
              <w:rPr>
                <w:b w:val="false"/>
                <w:bCs w:val="false"/>
                <w:sz w:val="17"/>
                <w:szCs w:val="17"/>
              </w:rPr>
              <w:t xml:space="preserve">Financial factors</w:t>
            </w:r>
          </w:p>
        </w:tc>
        <w:tc>
          <w:tcPr>
            <w:tcMar>
              <w:top w:type="dxa" w:w="60"/>
              <w:left w:type="dxa" w:w="80"/>
              <w:bottom w:type="dxa" w:w="60"/>
              <w:right w:type="dxa" w:w="80"/>
            </w:tcMar>
          </w:tcPr>
          <w:p>
            <w:pPr>
              <w:spacing w:after="40"/>
            </w:pPr>
            <w:r>
              <w:rPr>
                <w:b w:val="false"/>
                <w:bCs w:val="false"/>
                <w:sz w:val="17"/>
                <w:szCs w:val="17"/>
              </w:rPr>
              <w:t xml:space="preserve">Pay relative to outside options; pension design and its timing incentives; contract insecurity</w:t>
            </w:r>
          </w:p>
        </w:tc>
      </w:tr>
      <w:tr>
        <w:tc>
          <w:tcPr>
            <w:tcMar>
              <w:top w:type="dxa" w:w="60"/>
              <w:left w:type="dxa" w:w="80"/>
              <w:bottom w:type="dxa" w:w="60"/>
              <w:right w:type="dxa" w:w="80"/>
            </w:tcMar>
          </w:tcPr>
          <w:p>
            <w:pPr>
              <w:spacing w:after="40"/>
            </w:pPr>
            <w:r>
              <w:rPr>
                <w:b w:val="false"/>
                <w:bCs w:val="false"/>
                <w:sz w:val="17"/>
                <w:szCs w:val="17"/>
              </w:rPr>
              <w:t xml:space="preserve">Personal and life-course factors</w:t>
            </w:r>
          </w:p>
        </w:tc>
        <w:tc>
          <w:tcPr>
            <w:tcMar>
              <w:top w:type="dxa" w:w="60"/>
              <w:left w:type="dxa" w:w="80"/>
              <w:bottom w:type="dxa" w:w="60"/>
              <w:right w:type="dxa" w:w="80"/>
            </w:tcMar>
          </w:tcPr>
          <w:p>
            <w:pPr>
              <w:spacing w:after="40"/>
            </w:pPr>
            <w:r>
              <w:rPr>
                <w:b w:val="false"/>
                <w:bCs w:val="false"/>
                <w:sz w:val="17"/>
                <w:szCs w:val="17"/>
              </w:rPr>
              <w:t xml:space="preserve">Family formation and care; health and incapacity; relocation and a partner's circumstances; retirement and career stage</w:t>
            </w:r>
          </w:p>
        </w:tc>
      </w:tr>
    </w:tbl>
    <w:p>
      <w:pPr>
        <w:spacing w:after="60" w:line="264"/>
        <w:jc w:val="both"/>
      </w:pPr>
      <w:r>
        <w:rPr>
          <w:sz w:val="17"/>
          <w:szCs w:val="17"/>
        </w:rPr>
        <w:t xml:space="preserve">Source: Authors' elaboration on the literature reviewed in this section.</w:t>
      </w:r>
    </w:p>
    <w:p>
      <w:pPr>
        <w:pStyle w:val="Heading2"/>
        <w:spacing w:after="140" w:before="260"/>
      </w:pPr>
      <w:r>
        <w:rPr>
          <w:rFonts w:ascii="Garamond" w:cs="Garamond" w:eastAsia="Garamond" w:hAnsi="Garamond"/>
          <w:b/>
          <w:bCs/>
          <w:color w:val="04629A"/>
          <w:sz w:val="25"/>
          <w:szCs w:val="25"/>
        </w:rPr>
        <w:t xml:space="preserve">2.3 The reasons and their institutional setting</w:t>
      </w:r>
    </w:p>
    <w:p>
      <w:pPr>
        <w:spacing w:after="160" w:line="264"/>
        <w:jc w:val="both"/>
      </w:pPr>
      <w:r>
        <w:t xml:space="preserve">Asked in their own words, the reason leavers name most often is the loss of commitment to the work itself. In Finland, a longitudinal survey that followed teachers over five years found a lack of professional commitment named ahead of workload and interpersonal difficulty among those declaring an intention to leave, far more often by men, while women cited workload and conflicts </w:t>
      </w:r>
      <w:r>
        <w:rPr>
          <w:color w:val="0563C1"/>
        </w:rPr>
        <w:t xml:space="preserve">(Räsänen et al., 2020)</w:t>
      </w:r>
      <w:r>
        <w:t xml:space="preserve">.</w:t>
      </w:r>
      <w:r>
        <w:rPr>
          <w:rStyle w:val="FootnoteReference"/>
        </w:rPr>
        <w:footnoteReference w:id="4"/>
      </w:r>
      <w:r>
        <w:t xml:space="preserve"> The Finnish setting makes the reading unusually clean. Finnish teachers hold wide professional autonomy and are paid adequately by national standards, so the complaint that remains once material grievances are subtracted concerns the work's purpose, and it persists in a system that has removed most of the conditions other countries' teachers cite.</w:t>
      </w:r>
    </w:p>
    <w:p>
      <w:pPr>
        <w:spacing w:after="160" w:line="264"/>
        <w:jc w:val="both"/>
      </w:pPr>
      <w:r>
        <w:t xml:space="preserve">Professional standing, and the exposure that accompanies its loss, pushes departures in some systems with a force the aggregate statistics only partly capture. In Korea, early retirements of teachers rose from 869 in 2005 to 6 594 in 2021, a rise official research attributes above all to the infringement of teachers' rights, including exposure to parental complaint and legal action </w:t>
      </w:r>
      <w:r>
        <w:rPr>
          <w:color w:val="0563C1"/>
        </w:rPr>
        <w:t xml:space="preserve">(KEDI, 2023)</w:t>
      </w:r>
      <w:r>
        <w:t xml:space="preserve">.</w:t>
      </w:r>
      <w:r>
        <w:rPr>
          <w:rStyle w:val="FootnoteReference"/>
        </w:rPr>
        <w:footnoteReference w:id="5"/>
      </w:r>
      <w:r>
        <w:t xml:space="preserve"> The legislature treated the diagnosis as accurate, amending four statutes on the protection of teachers' educational activities in September 2023 </w:t>
      </w:r>
      <w:r>
        <w:rPr>
          <w:color w:val="0563C1"/>
        </w:rPr>
        <w:t xml:space="preserve">(Republic of Korea, 2023)</w:t>
      </w:r>
      <w:r>
        <w:t xml:space="preserve">, although no evaluation yet connects the reform to retention.</w:t>
      </w:r>
    </w:p>
    <w:p>
      <w:pPr>
        <w:spacing w:after="160" w:line="264"/>
        <w:jc w:val="both"/>
      </w:pPr>
      <w:r>
        <w:t xml:space="preserve">Workload is the reason most declared nearly everywhere the question is asked. Among Dutch teachers who had recently left, 47% named workload, stress and burden ahead of every other category </w:t>
      </w:r>
      <w:r>
        <w:rPr>
          <w:color w:val="0563C1"/>
        </w:rPr>
        <w:t xml:space="preserve">(Van Casteren et al., 2023)</w:t>
      </w:r>
      <w:r>
        <w:t xml:space="preserve">, and workload ranks first among Swedish leavers and second among Australian ones </w:t>
      </w:r>
      <w:r>
        <w:rPr>
          <w:color w:val="0563C1"/>
        </w:rPr>
        <w:t xml:space="preserve">(Statistics Sweden, 2023; Brandenburg et al., 2024)</w:t>
      </w:r>
      <w:r>
        <w:t xml:space="preserve">. How much of that load a teacher can lawfully shed, though, varies enormously between systems, and the variation changes what the declaration means. A Dutch employer must grant a request for fewer hours unless a weighty business interest prevents it, and two thirds of Dutch lower-secondary teachers work part-time; Japanese teachers, who hold no such entitlement, are at 7% </w:t>
      </w:r>
      <w:r>
        <w:rPr>
          <w:color w:val="0563C1"/>
        </w:rPr>
        <w:t xml:space="preserve">(OECD, 2025c)</w:t>
      </w:r>
      <w:r>
        <w:t xml:space="preserve">; an English teacher holds a right to ask that a school may refuse on eight statutory grounds </w:t>
      </w:r>
      <w:r>
        <w:rPr>
          <w:color w:val="0563C1"/>
        </w:rPr>
        <w:t xml:space="preserve">(United Kingdom, 1996)</w:t>
      </w:r>
      <w:r>
        <w:t xml:space="preserve">.</w:t>
      </w:r>
      <w:r>
        <w:rPr>
          <w:rStyle w:val="FootnoteReference"/>
        </w:rPr>
        <w:footnoteReference w:id="6"/>
      </w:r>
      <w:r>
        <w:t xml:space="preserve"> Where hours can be reduced, an overloaded teacher can buy relief without resigning; where they cannot, the same complaint has only one margin left. No study yet estimates what part-time access does to teacher exit, which leaves one of the most widespread working-conditions instruments without an evaluated effect.</w:t>
      </w:r>
    </w:p>
    <w:p>
      <w:pPr>
        <w:spacing w:after="160" w:line="264"/>
        <w:jc w:val="both"/>
      </w:pPr>
      <w:r>
        <w:t xml:space="preserve">Within workload, what predicts departure is not what the declarations emphasise. In England, TALIS 2018 responses were linked to the administrative register of the school workforce to study the effective determinants of departure, and not only the declared ones, by observing who had left the profession a year after answering the survey.</w:t>
      </w:r>
      <w:r>
        <w:rPr>
          <w:rStyle w:val="FootnoteReference"/>
        </w:rPr>
        <w:footnoteReference w:id="7"/>
      </w:r>
      <w:r>
        <w:t xml:space="preserve"> Experienced teachers who work in schools with worse discipline leave more, and the magnitude is considerable, since a one-standard-deviation improvement in the school's discipline climate is associated with a halving of the annual probability of leaving the profession, while self-reported working hours, the motive most cited in surveys, do not predict departure robustly </w:t>
      </w:r>
      <w:r>
        <w:rPr>
          <w:color w:val="0563C1"/>
        </w:rPr>
        <w:t xml:space="preserve">(Sims and Jerrim, 2020)</w:t>
      </w:r>
      <w:r>
        <w:t xml:space="preserve">. The discipline measure captures whether rules are applied consistently, whether disruption is contained and whether teachers are free of intimidation, which suggests that the load that expels is not the volume of work but the conditions under which it must be done.</w:t>
      </w:r>
    </w:p>
    <w:p>
      <w:pPr>
        <w:spacing w:after="160" w:line="264"/>
        <w:jc w:val="both"/>
      </w:pPr>
      <w:r>
        <w:t xml:space="preserve">School leadership is the reason most often associated with departure and among the hardest to isolate, because head teachers are not assigned to schools at random, schools with better heads differ in pupils, resources and staff, and teachers who choose to stay tend to rate their head more favourably. Among the contextual factors measured in New York City, teachers' perceptions of the school administration carry the greatest influence on retention decisions </w:t>
      </w:r>
      <w:r>
        <w:rPr>
          <w:color w:val="0563C1"/>
        </w:rPr>
        <w:t xml:space="preserve">(Boyd et al., 2011)</w:t>
      </w:r>
      <w:r>
        <w:t xml:space="preserve">, and the panel evidence cited above, which follows change within the same school over time, is the closest the field has come to separating the leadership effect from the school around it </w:t>
      </w:r>
      <w:r>
        <w:rPr>
          <w:color w:val="0563C1"/>
        </w:rPr>
        <w:t xml:space="preserve">(Kraft, Marinell and Shen-Wei Yee, 2016)</w:t>
      </w:r>
      <w:r>
        <w:t xml:space="preserve">. No study anywhere estimates what changing a school's leadership does to retention, so the most replicated association in the field remains unpriced as an instrument.</w:t>
      </w:r>
    </w:p>
    <w:p>
      <w:pPr>
        <w:spacing w:after="160" w:line="264"/>
        <w:jc w:val="both"/>
      </w:pPr>
      <w:r>
        <w:t xml:space="preserve">Young teachers are more likely to remain in their school if they are mentored by an older teacher at the start of their career. In observational research, those who receive mentoring leave less often, with the odds of departure at about three quarters of those of unmentored colleagues </w:t>
      </w:r>
      <w:r>
        <w:rPr>
          <w:color w:val="0563C1"/>
        </w:rPr>
        <w:t xml:space="preserve">(Nguyen et al., 2020)</w:t>
      </w:r>
      <w:r>
        <w:t xml:space="preserve">, and England's evaluation of the Early Career Framework, which entitles every new teacher to two years of structured mentoring, estimated 4.4 additional percentage points of retention in the original school after two years </w:t>
      </w:r>
      <w:r>
        <w:rPr>
          <w:color w:val="0563C1"/>
        </w:rPr>
        <w:t xml:space="preserve">(Walker et al., 2024)</w:t>
      </w:r>
      <w:r>
        <w:t xml:space="preserve">.</w:t>
      </w:r>
    </w:p>
    <w:p>
      <w:pPr>
        <w:spacing w:after="160" w:line="264"/>
        <w:jc w:val="both"/>
      </w:pPr>
      <w:r>
        <w:t xml:space="preserve">Whether to keep teaching is a decision each teacher takes by comparing what the post offers with the best that same person could obtain outside it. That outside option differs with the subject taught, the qualification held and the local labour market, which is why a single pay scale produces very different exit rates across subjects and regions, and why the shortages most systems report are shortages of physics, mathematics and computing teachers before they are shortages of teachers in general. Where pay has been tested causally, money retains. A Norwegian premium of about 10% for schools with recruitment difficulties cut voluntary quits by around a third of their level </w:t>
      </w:r>
      <w:r>
        <w:rPr>
          <w:color w:val="0563C1"/>
        </w:rPr>
        <w:t xml:space="preserve">(Falch, 2011)</w:t>
      </w:r>
      <w:r>
        <w:t xml:space="preserve">; English payments of GBP 2 000 a year after tax made eligible mathematics and physics teachers 23% less likely to leave </w:t>
      </w:r>
      <w:r>
        <w:rPr>
          <w:color w:val="0563C1"/>
        </w:rPr>
        <w:t xml:space="preserve">(Sims and Benhenda, 2022)</w:t>
      </w:r>
      <w:r>
        <w:t xml:space="preserve">; a North Carolina bonus for mathematics, science and special-education teachers in high-poverty schools lowered turnover in the target group by about 17% </w:t>
      </w:r>
      <w:r>
        <w:rPr>
          <w:color w:val="0563C1"/>
        </w:rPr>
        <w:t xml:space="preserve">(Clotfelter et al., 2008)</w:t>
      </w:r>
      <w:r>
        <w:t xml:space="preserve">. The reductions run from 9% to 23% across these programmes, though the effect has lasted only as long as the payment itself </w:t>
      </w:r>
      <w:r>
        <w:rPr>
          <w:color w:val="0563C1"/>
        </w:rPr>
        <w:t xml:space="preserve">(See et al., 2020)</w:t>
      </w:r>
      <w:r>
        <w:t xml:space="preserve">. Behind those margins sits the level. In most OECD countries primary teachers earn less than the average tertiary-educated worker, at 83% of that benchmark on average, from 63% in the United States to 128% in Portugal (Figure 1).</w:t>
      </w:r>
      <w:r>
        <w:rPr>
          <w:rStyle w:val="FootnoteReference"/>
        </w:rPr>
        <w:footnoteReference w:id="8"/>
      </w:r>
    </w:p>
    <w:p>
      <w:pPr>
        <w:spacing w:after="160" w:line="264"/>
        <w:jc w:val="both"/>
      </w:pPr>
      <w:r>
        <w:rPr>
          <w:b/>
          <w:bCs/>
        </w:rPr>
        <w:t xml:space="preserve">Figure 1. Primary teachers earn less than other tertiary-educated workers in most countries</w:t>
      </w:r>
    </w:p>
    <w:p>
      <w:pPr>
        <w:spacing w:after="12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19500"/>
                    </a:xfrm>
                    <a:prstGeom prst="rect">
                      <a:avLst/>
                    </a:prstGeom>
                  </pic:spPr>
                </pic:pic>
              </a:graphicData>
            </a:graphic>
          </wp:inline>
        </w:drawing>
      </w:r>
    </w:p>
    <w:p>
      <w:pPr>
        <w:spacing w:after="60" w:line="264"/>
        <w:jc w:val="both"/>
      </w:pPr>
      <w:r>
        <w:rPr>
          <w:sz w:val="17"/>
          <w:szCs w:val="17"/>
        </w:rPr>
        <w:t xml:space="preserve">Note: Ratio of the annual average actual salary of full-time primary teachers in public institutions, including bonuses and allowances, to the earnings of full-time, full-year workers with tertiary education aged 25 to 64. Countries absent from the chart do not report the series. Data refer to 2024 or the nearest available year.</w:t>
      </w:r>
    </w:p>
    <w:p>
      <w:pPr>
        <w:spacing w:after="60" w:line="264"/>
        <w:jc w:val="both"/>
      </w:pPr>
      <w:r>
        <w:rPr>
          <w:sz w:val="17"/>
          <w:szCs w:val="17"/>
        </w:rPr>
        <w:t xml:space="preserve">Source: </w:t>
      </w:r>
      <w:r>
        <w:rPr>
          <w:color w:val="0563C1"/>
          <w:sz w:val="17"/>
          <w:szCs w:val="17"/>
        </w:rPr>
        <w:t xml:space="preserve">OECD (2025)</w:t>
      </w:r>
      <w:r>
        <w:rPr>
          <w:sz w:val="17"/>
          <w:szCs w:val="17"/>
        </w:rPr>
        <w:t xml:space="preserve">, Education at a Glance 2025, Table D3.2.</w:t>
      </w:r>
    </w:p>
    <w:p>
      <w:pPr>
        <w:spacing w:after="160" w:line="264"/>
        <w:jc w:val="both"/>
      </w:pPr>
      <w:r>
        <w:t xml:space="preserve">Salary trajectories after leaving differ systematically by destination, and the distinction reads directly on the outside option. Those who remain within the education sector, the majority everywhere this has been measured, experience small salary changes; those who abandon the sector face a far more dispersed distribution of outcomes, with thick tails at both ends, and the upper tail is concentrated among men and among shortage specialisations. United States tax records show mean earnings still slightly below pre-exit teaching pay eight years after departure, with about one fifth of leavers not employed at all, the bottom quartile of employed leavers under USD 20 000 a year and the top quartile out-earning nearly all of those who stayed </w:t>
      </w:r>
      <w:r>
        <w:rPr>
          <w:color w:val="0563C1"/>
        </w:rPr>
        <w:t xml:space="preserve">(Brummet et al., 2024)</w:t>
      </w:r>
      <w:r>
        <w:t xml:space="preserve">.</w:t>
      </w:r>
      <w:r>
        <w:rPr>
          <w:rStyle w:val="FootnoteReference"/>
        </w:rPr>
        <w:footnoteReference w:id="9"/>
      </w:r>
      <w:r>
        <w:t xml:space="preserve"> Florida records give the same shape by destination, with the ratio of the ninetieth to the fiftieth percentile of earnings rising from 1.3 to 1.8 among leavers to other industries and unchanged among those who moved within the sector </w:t>
      </w:r>
      <w:r>
        <w:rPr>
          <w:color w:val="0563C1"/>
        </w:rPr>
        <w:t xml:space="preserve">(Chingos and West, 2012)</w:t>
      </w:r>
      <w:r>
        <w:t xml:space="preserve">, and the earlier state studies of Georgia and Missouri concluded that very few exiting teachers took jobs paying more than their teaching salaries </w:t>
      </w:r>
      <w:r>
        <w:rPr>
          <w:color w:val="0563C1"/>
        </w:rPr>
        <w:t xml:space="preserve">(Scafidi, Sjoquist and Stinebrickner, 2006; Podgursky, Monroe and Watson, 2004)</w:t>
      </w:r>
      <w:r>
        <w:t xml:space="preserve">. Danish register data and Australian panel data agree in direction, at around 6% below previous pay </w:t>
      </w:r>
      <w:r>
        <w:rPr>
          <w:color w:val="0563C1"/>
        </w:rPr>
        <w:t xml:space="preserve">(ROCKWOOL Fonden, 2025; Cuervo and Vera-Toscano, 2025)</w:t>
      </w:r>
      <w:r>
        <w:t xml:space="preserve">. England is the partial exception, where leavers out-earn their own last teaching salary by 7% after one year and 21% after ten, and still fall behind comparable teachers who stayed, whose earnings grew 37% over the same decade </w:t>
      </w:r>
      <w:r>
        <w:rPr>
          <w:color w:val="0563C1"/>
        </w:rPr>
        <w:t xml:space="preserve">(Worth and McLean, 2022)</w:t>
      </w:r>
      <w:r>
        <w:t xml:space="preserve">.</w:t>
      </w:r>
    </w:p>
    <w:p>
      <w:pPr>
        <w:spacing w:after="160" w:line="264"/>
        <w:jc w:val="both"/>
      </w:pPr>
      <w:r>
        <w:t xml:space="preserve">In most pension schemes covering teachers, retiring before the age the rules set reduces the pension, and retiring later barely increases it. Teacher retirements therefore cluster around that age, which is a parameter of the regulation and not of individual preferences. The mechanism is the shape of accrual. Pension wealth does not accumulate at the same pace across a career; in defined-benefit schemes it grows slowly through most of the career, very fast in the years immediately before the full-pension age, and hardly at all afterwards, so that one more year of work can be worth a great deal at 54 and almost nothing at 60 </w:t>
      </w:r>
      <w:r>
        <w:rPr>
          <w:color w:val="0563C1"/>
        </w:rPr>
        <w:t xml:space="preserve">(Costrell and Podgursky, 2009)</w:t>
      </w:r>
      <w:r>
        <w:t xml:space="preserve">. The profile is not particular to the United States. Accrual concentrated around rule-set ages is documented in the civil-service teacher schemes of Germany, France, Spain, Portugal and Austria and in the legacy schemes of England and Ontario, while notional and funded defined-contribution systems, as in Sweden, Australia and post-reform Norway, are close to actuarially neutral and spread retirements accordingly </w:t>
      </w:r>
      <w:r>
        <w:rPr>
          <w:color w:val="0563C1"/>
        </w:rPr>
        <w:t xml:space="preserve">(OECD, 2025e)</w:t>
      </w:r>
      <w:r>
        <w:t xml:space="preserve">.</w:t>
      </w:r>
      <w:r>
        <w:rPr>
          <w:rStyle w:val="FootnoteReference"/>
        </w:rPr>
        <w:footnoteReference w:id="10"/>
      </w:r>
      <w:r>
        <w:t xml:space="preserve"> Teachers anticipate these incentives, and retirements concentrate at the ages from which retiring stops being penalised; structural estimates on administrative records reproduce the observed retirement spikes as forward-looking responses to the rules </w:t>
      </w:r>
      <w:r>
        <w:rPr>
          <w:color w:val="0563C1"/>
        </w:rPr>
        <w:t xml:space="preserve">(Ni and Podgursky, 2016)</w:t>
      </w:r>
      <w:r>
        <w:t xml:space="preserve">.</w:t>
      </w:r>
    </w:p>
    <w:p>
      <w:pPr>
        <w:spacing w:after="160" w:line="264"/>
        <w:jc w:val="both"/>
      </w:pPr>
      <w:r>
        <w:t xml:space="preserve">When early retirement carries a pension reduction, teachers postpone it. France's 2003 reform priced early claiming for public servants, and retirement at ages 60 and 61 among secondary teachers fell by around 9 percentage points in the study that exploits the reform's discontinuity </w:t>
      </w:r>
      <w:r>
        <w:rPr>
          <w:color w:val="0563C1"/>
        </w:rPr>
        <w:t xml:space="preserve">(Baraton, Beffy and Fougère, 2011)</w:t>
      </w:r>
      <w:r>
        <w:t xml:space="preserve">; Dutch public employees born after a cut-off date that lowered pension wealth postponed their expected retirement </w:t>
      </w:r>
      <w:r>
        <w:rPr>
          <w:color w:val="0563C1"/>
        </w:rPr>
        <w:t xml:space="preserve">(Montizaan, Cörvers and de Grip, 2010)</w:t>
      </w:r>
      <w:r>
        <w:t xml:space="preserve">. Germany offers the same picture descriptively. After deductions of up to 10.8% were introduced in 2001 for incapacity retirement before the age of 63, the share of teacher retirements taken on incapacity grounds fell from 64% to 28% within three years, and the mean retirement age of teachers rose by three years to 62 </w:t>
      </w:r>
      <w:r>
        <w:rPr>
          <w:color w:val="0563C1"/>
        </w:rPr>
        <w:t xml:space="preserve">(Statistisches Bundesamt, 2005)</w:t>
      </w:r>
      <w:r>
        <w:t xml:space="preserve">, although the series records a coincidence in time with the reform and not an estimated effect.</w:t>
      </w:r>
    </w:p>
    <w:p>
      <w:pPr>
        <w:spacing w:after="160" w:line="264"/>
        <w:jc w:val="both"/>
      </w:pPr>
      <w:r>
        <w:t xml:space="preserve">From an economic perspective, a teacher's lifetime income has two parts, the salary collected while working and the pension collected after retirement. The future pension is an incentive to remain in teaching only to the extent that the teacher values it today, and that valuation and the cost of funding the promise need not coincide. If teachers heavily discount income that lies decades ahead, the state pays dearly for an instrument that retains little, and the same money would retain more if paid as current salary. The evidence leaves the valuation open. When Illinois teachers were offered the chance to buy additional pension rights at a stated price, their willingness to pay was about 20 cents per dollar of present value </w:t>
      </w:r>
      <w:r>
        <w:rPr>
          <w:color w:val="0563C1"/>
        </w:rPr>
        <w:t xml:space="preserve">(Fitzpatrick, 2015)</w:t>
      </w:r>
      <w:r>
        <w:t xml:space="preserve">, while following the same cohort to retirement points to a much higher valuation </w:t>
      </w:r>
      <w:r>
        <w:rPr>
          <w:color w:val="0563C1"/>
        </w:rPr>
        <w:t xml:space="preserve">(Ni, Podgursky and Wang, 2022)</w:t>
      </w:r>
      <w:r>
        <w:t xml:space="preserve">.</w:t>
      </w:r>
      <w:r>
        <w:rPr>
          <w:rStyle w:val="FootnoteReference"/>
        </w:rPr>
        <w:footnoteReference w:id="11"/>
      </w:r>
      <w:r>
        <w:t xml:space="preserve"> What the quasi-experimental record does establish is that pension generosity retains selectively. Enhancements and cuts to deferred benefits move separations little among younger public employees, and teachers have been the least responsive occupation studied </w:t>
      </w:r>
      <w:r>
        <w:rPr>
          <w:color w:val="0563C1"/>
        </w:rPr>
        <w:t xml:space="preserve">(Koedel and Xiang, 2017; Quinby and Wettstein, 2021)</w:t>
      </w:r>
      <w:r>
        <w:t xml:space="preserve">, which is consistent with deferred pay binding those close to the accrual spike and doing little, per unit of cost, for the early-career teachers among whom attrition is highest.</w:t>
      </w:r>
    </w:p>
    <w:p>
      <w:pPr>
        <w:spacing w:after="160" w:line="264"/>
        <w:jc w:val="both"/>
      </w:pPr>
      <w:r>
        <w:t xml:space="preserve">The birth of a child is one of the main reasons female teachers leave. In England, where the workforce census can follow teachers after maternity leave, between 17% and 20% of those who return leave the profession within a year, double the rate of comparable teachers, and women aged 30 to 39 form the largest group among those who leave </w:t>
      </w:r>
      <w:r>
        <w:rPr>
          <w:color w:val="0563C1"/>
        </w:rPr>
        <w:t xml:space="preserve">(Department for Education, 2023)</w:t>
      </w:r>
      <w:r>
        <w:t xml:space="preserve">.</w:t>
      </w:r>
      <w:r>
        <w:rPr>
          <w:rStyle w:val="FootnoteReference"/>
        </w:rPr>
        <w:footnoteReference w:id="12"/>
      </w:r>
      <w:r>
        <w:t xml:space="preserve"> Structural modelling attributes much of the fall in teachers' labour-force participation after certification to marriage and fertility, and two thirds of exiting female teachers left the labour market altogether </w:t>
      </w:r>
      <w:r>
        <w:rPr>
          <w:color w:val="0563C1"/>
        </w:rPr>
        <w:t xml:space="preserve">(Stinebrickner, 2001; Stinebrickner, 2002)</w:t>
      </w:r>
      <w:r>
        <w:t xml:space="preserve">. Where the law makes hours adjustable, the same event shows up inside the profession instead of at its exit, as in Germany, where 43% of teachers work part-time, or the Netherlands, where about a quarter of female primary teachers work full-time </w:t>
      </w:r>
      <w:r>
        <w:rPr>
          <w:color w:val="0563C1"/>
        </w:rPr>
        <w:t xml:space="preserve">(Destatis, 2024; CBS, 2023)</w:t>
      </w:r>
      <w:r>
        <w:t xml:space="preserve">. A causal estimate of the effect of childbirth on teacher exit and return does not yet exist in any OECD system, and the gap is immediate for a paper about re-entry, because a teacher on a career break and a teacher permanently gone cannot at present be told apart in the data.</w:t>
      </w:r>
    </w:p>
    <w:p>
      <w:pPr>
        <w:spacing w:after="160" w:line="264"/>
        <w:jc w:val="both"/>
      </w:pPr>
      <w:r>
        <w:t xml:space="preserve">Paid maternity leave and the reservation of the post vary considerably across countries. A Spanish teacher on a permanent public contract has nineteen weeks of paid leave and may take up to three years of childcare leave per child, the first two with her post reserved </w:t>
      </w:r>
      <w:r>
        <w:rPr>
          <w:color w:val="0563C1"/>
        </w:rPr>
        <w:t xml:space="preserve">(Government of Spain, 2015; Government of Spain, 2025)</w:t>
      </w:r>
      <w:r>
        <w:t xml:space="preserve">; a teacher in the United States is guaranteed twelve unpaid weeks under federal law, and fewer than one in five large districts pay parental leave </w:t>
      </w:r>
      <w:r>
        <w:rPr>
          <w:color w:val="0563C1"/>
        </w:rPr>
        <w:t xml:space="preserve">(United States, 2013; National Council on Teacher Quality, 2026)</w:t>
      </w:r>
      <w:r>
        <w:t xml:space="preserve">.</w:t>
      </w:r>
      <w:r>
        <w:rPr>
          <w:rStyle w:val="FootnoteReference"/>
        </w:rPr>
        <w:footnoteReference w:id="13"/>
      </w:r>
      <w:r>
        <w:t xml:space="preserve"> In the Spanish design, childbirth interrupts a teaching career without ending it, and the returner population is by construction on leave; in the American design, the same event forces an exit that the system then has to reverse through re-employment.</w:t>
      </w:r>
    </w:p>
    <w:p>
      <w:pPr>
        <w:spacing w:after="160" w:line="264"/>
        <w:jc w:val="both"/>
      </w:pPr>
      <w:r>
        <w:t xml:space="preserve">The proportion between resignations and retirements, finally, varies widely across countries (Figure 2). In the 19 OECD systems with comparable data, resignations account for 51% of departures; they exceed 80% in Denmark, England and Estonia, and retirements predominate in France, Greece, Ireland and Israel </w:t>
      </w:r>
      <w:r>
        <w:rPr>
          <w:color w:val="0563C1"/>
        </w:rPr>
        <w:t xml:space="preserve">(OECD, 2025a)</w:t>
      </w:r>
      <w:r>
        <w:t xml:space="preserve">. The thesis that retirement is a minor component of attrition comes from the Anglophone systems and does not generalise. For a paper about return, the composition matters as much as the level, because a system losing mid-career resigners and a system losing retirees hold reserves of former teachers with different ages, different licences and different reasons to come back.</w:t>
      </w:r>
    </w:p>
    <w:p>
      <w:pPr>
        <w:spacing w:after="160" w:line="264"/>
        <w:jc w:val="both"/>
      </w:pPr>
      <w:r>
        <w:rPr>
          <w:b/>
          <w:bCs/>
        </w:rPr>
        <w:t xml:space="preserve">Figure 2. Who the leavers are differs as much as how many leave</w:t>
      </w:r>
    </w:p>
    <w:p>
      <w:pPr>
        <w:spacing w:after="12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19500"/>
                    </a:xfrm>
                    <a:prstGeom prst="rect">
                      <a:avLst/>
                    </a:prstGeom>
                  </pic:spPr>
                </pic:pic>
              </a:graphicData>
            </a:graphic>
          </wp:inline>
        </w:drawing>
      </w:r>
    </w:p>
    <w:p>
      <w:pPr>
        <w:spacing w:after="60" w:line="264"/>
        <w:jc w:val="both"/>
      </w:pPr>
      <w:r>
        <w:rPr>
          <w:sz w:val="17"/>
          <w:szCs w:val="17"/>
        </w:rPr>
        <w:t xml:space="preserve">Note: Each bar is the share of fully qualified teachers who left the profession in 2022/23, decomposed into those who resigned and those who retired. Data cover pre-primary to upper secondary education; systems that report the attrition rate without its decomposition are absent from the chart.</w:t>
      </w:r>
    </w:p>
    <w:p>
      <w:pPr>
        <w:spacing w:after="60" w:line="264"/>
        <w:jc w:val="both"/>
      </w:pPr>
      <w:r>
        <w:rPr>
          <w:sz w:val="17"/>
          <w:szCs w:val="17"/>
        </w:rPr>
        <w:t xml:space="preserve">Source: </w:t>
      </w:r>
      <w:r>
        <w:rPr>
          <w:color w:val="0563C1"/>
          <w:sz w:val="17"/>
          <w:szCs w:val="17"/>
        </w:rPr>
        <w:t xml:space="preserve">OECD (2025)</w:t>
      </w:r>
      <w:r>
        <w:rPr>
          <w:sz w:val="17"/>
          <w:szCs w:val="17"/>
        </w:rPr>
        <w:t xml:space="preserve">, Education at a Glance 2025, Table D8.4.</w:t>
      </w:r>
    </w:p>
    <w:p>
      <w:pPr>
        <w:pStyle w:val="Heading2"/>
        <w:spacing w:after="140" w:before="260"/>
      </w:pPr>
      <w:r>
        <w:rPr>
          <w:rFonts w:ascii="Garamond" w:cs="Garamond" w:eastAsia="Garamond" w:hAnsi="Garamond"/>
          <w:b/>
          <w:bCs/>
          <w:color w:val="04629A"/>
          <w:sz w:val="25"/>
          <w:szCs w:val="25"/>
        </w:rPr>
        <w:t xml:space="preserve">2.4 Stated and revealed preferences</w:t>
      </w:r>
    </w:p>
    <w:p>
      <w:pPr>
        <w:spacing w:after="160" w:line="264"/>
        <w:jc w:val="both"/>
      </w:pPr>
      <w:r>
        <w:t xml:space="preserve">Teachers who leave declare workload and personal circumstances as their principal motives and place salary in the middle of the list. Teachers who are considering leaving place salary at or near the top. Observed decisions respond strongly to salary variation. Among American leavers surveyed after departure, higher pay is the fourth most-cited main reason, at 9.5%, behind retirement, personal life and another job </w:t>
      </w:r>
      <w:r>
        <w:rPr>
          <w:color w:val="0563C1"/>
        </w:rPr>
        <w:t xml:space="preserve">(NCES, 2024)</w:t>
      </w:r>
      <w:r>
        <w:t xml:space="preserve">; among serving teachers considering departure it is second, at 60% </w:t>
      </w:r>
      <w:r>
        <w:rPr>
          <w:color w:val="0563C1"/>
        </w:rPr>
        <w:t xml:space="preserve">(Doan et al., 2023)</w:t>
      </w:r>
      <w:r>
        <w:t xml:space="preserve">.</w:t>
      </w:r>
      <w:r>
        <w:rPr>
          <w:rStyle w:val="FootnoteReference"/>
        </w:rPr>
        <w:footnoteReference w:id="14"/>
      </w:r>
      <w:r>
        <w:t xml:space="preserve"> English leavers cite pay at 25% to 34% against 74% to 84% for workload </w:t>
      </w:r>
      <w:r>
        <w:rPr>
          <w:color w:val="0563C1"/>
        </w:rPr>
        <w:t xml:space="preserve">(Department for Education, 2024a)</w:t>
      </w:r>
      <w:r>
        <w:t xml:space="preserve">, and Dutch leavers rank it sixth at 22% </w:t>
      </w:r>
      <w:r>
        <w:rPr>
          <w:color w:val="0563C1"/>
        </w:rPr>
        <w:t xml:space="preserve">(Van Casteren et al., 2023)</w:t>
      </w:r>
      <w:r>
        <w:t xml:space="preserve">. Set against those declarations, across twelve discrete-choice experiments in eight countries a 10% pay increase raises the probability of choosing a post by 5 to 12 percentage points </w:t>
      </w:r>
      <w:r>
        <w:rPr>
          <w:color w:val="0563C1"/>
        </w:rPr>
        <w:t xml:space="preserve">(Sims, Lowes-Belk and Routledge, 2026)</w:t>
      </w:r>
      <w:r>
        <w:t xml:space="preserve">, and Dutch part-time teachers require a 23% increase in net hourly pay before accepting a full-time post </w:t>
      </w:r>
      <w:r>
        <w:rPr>
          <w:color w:val="0563C1"/>
        </w:rPr>
        <w:t xml:space="preserve">(Somers et al., 2024a)</w:t>
      </w:r>
      <w:r>
        <w:t xml:space="preserve">. The three measurements are not in contradiction; they measure the narrative a person gives, the plan a person holds and the choice a person makes, and pay weighs least in the first and most in the last. The contrast between stated and revealed preferences is therefore drawn in this paper on realised exits, and not on plans.</w:t>
      </w:r>
    </w:p>
    <w:p>
      <w:pPr>
        <w:spacing w:after="160" w:line="264"/>
        <w:jc w:val="both"/>
      </w:pPr>
      <w:r>
        <w:t xml:space="preserve">Many more teachers say they will leave than do. Where intention and behaviour have been measured on the same people, one leaves for every three or four who declare the intention. In a nationally representative American survey of 102 970 teachers linked to the following year's behaviour, 32.5% of those intending to leave as soon as possible had left a year later, against 6.8% of everyone else, and two thirds of them were still teaching </w:t>
      </w:r>
      <w:r>
        <w:rPr>
          <w:color w:val="0563C1"/>
        </w:rPr>
        <w:t xml:space="preserve">(Nguyen et al., 2025)</w:t>
      </w:r>
      <w:r>
        <w:t xml:space="preserve">.</w:t>
      </w:r>
      <w:r>
        <w:rPr>
          <w:rStyle w:val="FootnoteReference"/>
        </w:rPr>
        <w:footnoteReference w:id="15"/>
      </w:r>
      <w:r>
        <w:t xml:space="preserve"> Intention data still have a use, since they locate dissatisfaction across countries and school types, but they do not forecast supply. The 17% of teachers across TALIS systems who intend to leave within five years cannot for that reason be read against the 6.5% annual rate of departure; the two measure different things </w:t>
      </w:r>
      <w:r>
        <w:rPr>
          <w:color w:val="0563C1"/>
        </w:rPr>
        <w:t xml:space="preserve">(OECD, 2025b; OECD, 2025a)</w:t>
      </w:r>
      <w:r>
        <w:t xml:space="preserve">.</w:t>
      </w:r>
    </w:p>
    <w:p>
      <w:pPr>
        <w:pStyle w:val="Heading2"/>
        <w:spacing w:after="140" w:before="260"/>
      </w:pPr>
      <w:r>
        <w:rPr>
          <w:rFonts w:ascii="Garamond" w:cs="Garamond" w:eastAsia="Garamond" w:hAnsi="Garamond"/>
          <w:b/>
          <w:bCs/>
          <w:color w:val="04629A"/>
          <w:sz w:val="25"/>
          <w:szCs w:val="25"/>
        </w:rPr>
        <w:t xml:space="preserve">2.5 Destinations after leaving</w:t>
      </w:r>
    </w:p>
    <w:p>
      <w:pPr>
        <w:spacing w:after="160" w:line="264"/>
        <w:jc w:val="both"/>
      </w:pPr>
      <w:r>
        <w:t xml:space="preserve">Most of those who leave teaching keep working in the education sector, and former teachers are therefore locatable through the records of employers and regulators. In the United States, linked tax records show more than half of leavers still in education broadly defined and about one fifth out of the labour force </w:t>
      </w:r>
      <w:r>
        <w:rPr>
          <w:color w:val="0563C1"/>
        </w:rPr>
        <w:t xml:space="preserve">(Brummet et al., 2024)</w:t>
      </w:r>
      <w:r>
        <w:t xml:space="preserve">; the first-year composition is similar in Australia, where over two fifths of leavers hold jobs in school education or in other education, health and social assistance work </w:t>
      </w:r>
      <w:r>
        <w:rPr>
          <w:color w:val="0563C1"/>
        </w:rPr>
        <w:t xml:space="preserve">(Cuervo and Vera-Toscano, 2025)</w:t>
      </w:r>
      <w:r>
        <w:t xml:space="preserve">, and most English leavers who do not retire take education-sector jobs </w:t>
      </w:r>
      <w:r>
        <w:rPr>
          <w:color w:val="0563C1"/>
        </w:rPr>
        <w:t xml:space="preserve">(Worth, Bamford and Durbin, 2015)</w:t>
      </w:r>
      <w:r>
        <w:t xml:space="preserve">. The modern former teacher is usually still employed, often nearby, and reachable through the same administrative systems that already pay or license them.</w:t>
      </w:r>
    </w:p>
    <w:p>
      <w:pPr>
        <w:spacing w:after="160" w:line="264"/>
        <w:jc w:val="both"/>
      </w:pPr>
      <w:r>
        <w:t xml:space="preserve">The population of former teachers is large wherever it has been counted, and the gross count overstates the usable reserve, which discounts expired certificates and specialisations without vacancies. Michigan holds 141 810 certified teachers, of whom 61 252 do not teach in a public school, and half of those hold expired certificates, against 6% of active teachers </w:t>
      </w:r>
      <w:r>
        <w:rPr>
          <w:color w:val="0563C1"/>
        </w:rPr>
        <w:t xml:space="preserve">(Lindsay, Gnedko-Berry and Wan, 2021)</w:t>
      </w:r>
      <w:r>
        <w:t xml:space="preserve">; the Netherlands counts some 62 000 qualified teachers outside education, four times its measured secondary shortage </w:t>
      </w:r>
      <w:r>
        <w:rPr>
          <w:color w:val="0563C1"/>
        </w:rPr>
        <w:t xml:space="preserve">(Somers et al., 2024b)</w:t>
      </w:r>
      <w:r>
        <w:t xml:space="preserve">.</w:t>
      </w:r>
      <w:r>
        <w:rPr>
          <w:rStyle w:val="FootnoteReference"/>
        </w:rPr>
        <w:footnoteReference w:id="16"/>
      </w:r>
      <w:r>
        <w:t xml:space="preserve"> What a return offer can expect depends on why each person left. In Scotland, most of the teachers interviewed at length had left after an accumulation of pressures with no single trigger, and with their vocational commitment intact </w:t>
      </w:r>
      <w:r>
        <w:rPr>
          <w:color w:val="0563C1"/>
        </w:rPr>
        <w:t xml:space="preserve">(Hulme et al., 2026)</w:t>
      </w:r>
      <w:r>
        <w:t xml:space="preserve">, which suggests that the reserve contains people for whom the question is the conditions of a return and people for whom it is closed. It is to that population, and to the instruments aimed at it, that the next section turns.</w:t>
      </w:r>
    </w:p>
    <w:p>
      <w:pPr>
        <w:pStyle w:val="Heading1"/>
        <w:pageBreakBefore/>
        <w:spacing w:after="220" w:before="0"/>
      </w:pPr>
      <w:r>
        <w:rPr>
          <w:rFonts w:ascii="Garamond" w:cs="Garamond" w:eastAsia="Garamond" w:hAnsi="Garamond"/>
          <w:b/>
          <w:bCs/>
          <w:color w:val="04629A"/>
          <w:sz w:val="30"/>
          <w:szCs w:val="30"/>
        </w:rPr>
        <w:t xml:space="preserve">3. The policies</w:t>
      </w:r>
    </w:p>
    <w:p>
      <w:pPr>
        <w:spacing w:after="200"/>
      </w:pPr>
      <w:r>
        <w:rPr>
          <w:i/>
          <w:iCs/>
          <w:color w:val="8C8C8C"/>
        </w:rPr>
        <w:t xml:space="preserve">[The body of the paper: the international record of re-attraction policies.]</w:t>
      </w:r>
    </w:p>
    <w:p>
      <w:pPr>
        <w:pStyle w:val="Heading1"/>
        <w:pageBreakBefore/>
        <w:spacing w:after="220" w:before="0"/>
      </w:pPr>
      <w:r>
        <w:rPr>
          <w:rFonts w:ascii="Garamond" w:cs="Garamond" w:eastAsia="Garamond" w:hAnsi="Garamond"/>
          <w:b/>
          <w:bCs/>
          <w:color w:val="04629A"/>
          <w:sz w:val="30"/>
          <w:szCs w:val="30"/>
        </w:rPr>
        <w:t xml:space="preserve">4. Conclusions</w:t>
      </w:r>
    </w:p>
    <w:p>
      <w:pPr>
        <w:spacing w:after="200"/>
      </w:pPr>
      <w:r>
        <w:rPr>
          <w:i/>
          <w:iCs/>
          <w:color w:val="8C8C8C"/>
        </w:rPr>
        <w:t xml:space="preserve">[Conclusions under their own numbered section heading.]</w:t>
      </w:r>
    </w:p>
    <w:p>
      <w:pPr>
        <w:pStyle w:val="Heading2"/>
        <w:spacing w:after="140" w:before="260"/>
      </w:pPr>
      <w:r>
        <w:rPr>
          <w:rFonts w:ascii="Garamond" w:cs="Garamond" w:eastAsia="Garamond" w:hAnsi="Garamond"/>
          <w:b/>
          <w:bCs/>
          <w:color w:val="04629A"/>
          <w:sz w:val="25"/>
          <w:szCs w:val="25"/>
        </w:rPr>
        <w:t xml:space="preserve">References</w:t>
      </w:r>
    </w:p>
    <w:p>
      <w:pPr>
        <w:spacing w:after="70"/>
        <w:ind w:left="280" w:hanging="280"/>
      </w:pPr>
      <w:r>
        <w:rPr>
          <w:sz w:val="20"/>
          <w:szCs w:val="20"/>
        </w:rPr>
        <w:t xml:space="preserve">Adnot, M., T. Dee, V. Katz and J. Wyckoff (2017), "Teacher turnover, teacher quality, and student achievement in DCPS", *Educational Evaluation and Policy Analysis*, Vol. 39/1, pp. 54-76, https://doi.org/10.3102/0162373716663646.</w:t>
      </w:r>
    </w:p>
    <w:p>
      <w:pPr>
        <w:spacing w:after="70"/>
        <w:ind w:left="280" w:hanging="280"/>
      </w:pPr>
      <w:r>
        <w:rPr>
          <w:sz w:val="20"/>
          <w:szCs w:val="20"/>
        </w:rPr>
        <w:t xml:space="preserve">Aldeman, C. and S. Yi (2025), "Are teachers abandoning teaching? Data show teacher turnover remains low", *Education Next*, 18 December 2025, https://www.educationnext.org/are-teachers-abandoning-teaching-data-show-teacher-turnover-remains-low/.</w:t>
      </w:r>
    </w:p>
    <w:p>
      <w:pPr>
        <w:spacing w:after="70"/>
        <w:ind w:left="280" w:hanging="280"/>
      </w:pPr>
      <w:r>
        <w:rPr>
          <w:sz w:val="20"/>
          <w:szCs w:val="20"/>
        </w:rPr>
        <w:t xml:space="preserve">Baraton, M., M. Beffy and D. Fougère (2011), "Une évaluation de l'effet de la réforme de 2003 sur les départs en retraite : Le cas des enseignants du second degré public", *Économie et Statistique*, No. 441-442, pp. 55-78, https://doi.org/10.3406/estat.2011.9615.</w:t>
      </w:r>
    </w:p>
    <w:p>
      <w:pPr>
        <w:spacing w:after="70"/>
        <w:ind w:left="280" w:hanging="280"/>
      </w:pPr>
      <w:r>
        <w:rPr>
          <w:sz w:val="20"/>
          <w:szCs w:val="20"/>
        </w:rPr>
        <w:t xml:space="preserve">Boyd, D. et al. (2011), "The influence of school administrators on teacher retention decisions", *American Educational Research Journal*, Vol. 48/2, pp. 303-333, https://doi.org/10.3102/0002831210380788.</w:t>
      </w:r>
    </w:p>
    <w:p>
      <w:pPr>
        <w:spacing w:after="70"/>
        <w:ind w:left="280" w:hanging="280"/>
      </w:pPr>
      <w:r>
        <w:rPr>
          <w:sz w:val="20"/>
          <w:szCs w:val="20"/>
        </w:rPr>
        <w:t xml:space="preserve">Brandenburg, R. et al. (2024), "'I left the teaching profession... and this is what I am doing now': A national study of teacher attrition", *The Australian Educational Researcher*, Vol. 51, pp. 2381-2400, https://doi.org/10.1007/s13384-024-00697-1.</w:t>
      </w:r>
    </w:p>
    <w:p>
      <w:pPr>
        <w:spacing w:after="70"/>
        <w:ind w:left="280" w:hanging="280"/>
      </w:pPr>
      <w:r>
        <w:rPr>
          <w:sz w:val="20"/>
          <w:szCs w:val="20"/>
        </w:rPr>
        <w:t xml:space="preserve">Brummet, Q., E. K. Penner, N. Pharris-Ciurej and S. R. Porter (2024), "The earnings and labor market trajectories of teachers who leave the profession", *Educational Evaluation and Policy Analysis*, Vol. 47/2, pp. 503-531, https://doi.org/10.3102/01623737241227906.</w:t>
      </w:r>
    </w:p>
    <w:p>
      <w:pPr>
        <w:spacing w:after="70"/>
        <w:ind w:left="280" w:hanging="280"/>
      </w:pPr>
      <w:r>
        <w:rPr>
          <w:sz w:val="20"/>
          <w:szCs w:val="20"/>
        </w:rPr>
        <w:t xml:space="preserve">Buckley, J. and S. Griselda (2025), *Who Stays, Who Goes? A New Look at Teacher Attrition Using Administrative Data*, e61 Institute Research Note, Sydney, https://e61.in/who-stays-who-goes-a-new-look-at-teacher-attrition-using-administrative-data/.</w:t>
      </w:r>
    </w:p>
    <w:p>
      <w:pPr>
        <w:spacing w:after="70"/>
        <w:ind w:left="280" w:hanging="280"/>
      </w:pPr>
      <w:r>
        <w:rPr>
          <w:sz w:val="20"/>
          <w:szCs w:val="20"/>
        </w:rPr>
        <w:t xml:space="preserve">CBS (2023), *Werken in het onderwijs: Deeltijd en voltijd*, Centraal Bureau voor de Statistiek, The Hague, https://www.cbs.nl/.</w:t>
      </w:r>
    </w:p>
    <w:p>
      <w:pPr>
        <w:spacing w:after="70"/>
        <w:ind w:left="280" w:hanging="280"/>
      </w:pPr>
      <w:r>
        <w:rPr>
          <w:sz w:val="20"/>
          <w:szCs w:val="20"/>
        </w:rPr>
        <w:t xml:space="preserve">Chingos, M. M. and M. R. West (2012), "Do more effective teachers earn more outside the classroom?", *Education Finance and Policy*, Vol. 7/1, pp. 8-43, https://doi.org/10.1162/EDFP_a_00052.</w:t>
      </w:r>
    </w:p>
    <w:p>
      <w:pPr>
        <w:spacing w:after="70"/>
        <w:ind w:left="280" w:hanging="280"/>
      </w:pPr>
      <w:r>
        <w:rPr>
          <w:sz w:val="20"/>
          <w:szCs w:val="20"/>
        </w:rPr>
        <w:t xml:space="preserve">Clotfelter, C., E. Glennie, H. Ladd and J. Vigdor (2008), "Would higher salaries keep teachers in high-poverty schools? Evidence from a policy intervention in North Carolina", *Journal of Public Economics*, Vol. 92/5-6, pp. 1352-1370, https://doi.org/10.1016/j.jpubeco.2007.07.003.</w:t>
      </w:r>
    </w:p>
    <w:p>
      <w:pPr>
        <w:spacing w:after="70"/>
        <w:ind w:left="280" w:hanging="280"/>
      </w:pPr>
      <w:r>
        <w:rPr>
          <w:sz w:val="20"/>
          <w:szCs w:val="20"/>
        </w:rPr>
        <w:t xml:space="preserve">Costrell, R. M. and M. Podgursky (2009), "Peaks, cliffs, and valleys: The peculiar incentives in teacher retirement systems and their consequences for school staffing", *Education Finance and Policy*, Vol. 4/2, pp. 175-211, https://doi.org/10.1162/edfp.2009.4.2.175.</w:t>
      </w:r>
    </w:p>
    <w:p>
      <w:pPr>
        <w:spacing w:after="70"/>
        <w:ind w:left="280" w:hanging="280"/>
      </w:pPr>
      <w:r>
        <w:rPr>
          <w:sz w:val="20"/>
          <w:szCs w:val="20"/>
        </w:rPr>
        <w:t xml:space="preserve">Cuervo, H. and E. Vera-Toscano (2025), "Teacher attrition in Australia: Evidence of labour market and wage outcomes from longitudinal data", *Australian Journal of Education*, https://doi.org/10.1177/00049441251341603.</w:t>
      </w:r>
    </w:p>
    <w:p>
      <w:pPr>
        <w:spacing w:after="70"/>
        <w:ind w:left="280" w:hanging="280"/>
      </w:pPr>
      <w:r>
        <w:rPr>
          <w:sz w:val="20"/>
          <w:szCs w:val="20"/>
        </w:rPr>
        <w:t xml:space="preserve">Department for Education (2023), *School Workforce in England: Ad Hoc Statistics on Maternity Leave and Returns*, Department for Education, London. [Release to be verified before publication.]</w:t>
      </w:r>
    </w:p>
    <w:p>
      <w:pPr>
        <w:spacing w:after="70"/>
        <w:ind w:left="280" w:hanging="280"/>
      </w:pPr>
      <w:r>
        <w:rPr>
          <w:sz w:val="20"/>
          <w:szCs w:val="20"/>
        </w:rPr>
        <w:t xml:space="preserve">Department for Education (2024a), *Working Lives of Teachers and Leaders: Wave 3 and Wave 4 Reports*, Department for Education, London, https://www.gov.uk/government/publications/working-lives-of-teachers-and-leaders.</w:t>
      </w:r>
    </w:p>
    <w:p>
      <w:pPr>
        <w:spacing w:after="70"/>
        <w:ind w:left="280" w:hanging="280"/>
      </w:pPr>
      <w:r>
        <w:rPr>
          <w:sz w:val="20"/>
          <w:szCs w:val="20"/>
        </w:rPr>
        <w:t xml:space="preserve">Destatis (2024), *Schuljahr 2023/24: 43,1% der Lehrkräfte arbeiteten in Teilzeit*, Statistisches Bundesamt, Wiesbaden, https://www.destatis.de/.</w:t>
      </w:r>
    </w:p>
    <w:p>
      <w:pPr>
        <w:spacing w:after="70"/>
        <w:ind w:left="280" w:hanging="280"/>
      </w:pPr>
      <w:r>
        <w:rPr>
          <w:sz w:val="20"/>
          <w:szCs w:val="20"/>
        </w:rPr>
        <w:t xml:space="preserve">Department for Education (2024b), *School Workforce in England: Reporting Year 2023*, National Statistics, London, https://explore-education-statistics.service.gov.uk/find-statistics/school-workforce-in-england.</w:t>
      </w:r>
    </w:p>
    <w:p>
      <w:pPr>
        <w:spacing w:after="70"/>
        <w:ind w:left="280" w:hanging="280"/>
      </w:pPr>
      <w:r>
        <w:rPr>
          <w:sz w:val="20"/>
          <w:szCs w:val="20"/>
        </w:rPr>
        <w:t xml:space="preserve">Doan, S., E. D. Steiner, R. Pandey and A. Woo (2023), *Teacher Well-Being and Intentions to Leave: Findings from the 2023 State of the American Teacher Survey*, RR-A1108-8, RAND Corporation, Santa Monica, CA, https://www.rand.org/pubs/research_reports/RRA1108-8.html.</w:t>
      </w:r>
    </w:p>
    <w:p>
      <w:pPr>
        <w:spacing w:after="70"/>
        <w:ind w:left="280" w:hanging="280"/>
      </w:pPr>
      <w:r>
        <w:rPr>
          <w:sz w:val="20"/>
          <w:szCs w:val="20"/>
        </w:rPr>
        <w:t xml:space="preserve">Falch, T. (2011), "Teacher mobility responses to wage changes: Evidence from a quasi-natural experiment", *American Economic Review*, Vol. 101/3, pp. 460-465, https://doi.org/10.1257/aer.101.3.460.</w:t>
      </w:r>
    </w:p>
    <w:p>
      <w:pPr>
        <w:spacing w:after="70"/>
        <w:ind w:left="280" w:hanging="280"/>
      </w:pPr>
      <w:r>
        <w:rPr>
          <w:sz w:val="20"/>
          <w:szCs w:val="20"/>
        </w:rPr>
        <w:t xml:space="preserve">Fitzpatrick, M. D. (2015), "How much are public school teachers willing to pay for their retirement benefits?", *American Economic Journal: Economic Policy*, Vol. 7/4, pp. 165-188, https://doi.org/10.1257/pol.20140087.</w:t>
      </w:r>
    </w:p>
    <w:p>
      <w:pPr>
        <w:spacing w:after="70"/>
        <w:ind w:left="280" w:hanging="280"/>
      </w:pPr>
      <w:r>
        <w:rPr>
          <w:sz w:val="20"/>
          <w:szCs w:val="20"/>
        </w:rPr>
        <w:t xml:space="preserve">Goldhaber, D. and R. Theobald (2025), *Teacher Attrition and Mobility Four Years After the Pandemic*, CALDER Working Paper No. 313-0325, American Institutes for Research, Washington, DC, https://caldercenter.org/. [Exact title to be confirmed against the working paper.]</w:t>
      </w:r>
    </w:p>
    <w:p>
      <w:pPr>
        <w:spacing w:after="70"/>
        <w:ind w:left="280" w:hanging="280"/>
      </w:pPr>
      <w:r>
        <w:rPr>
          <w:sz w:val="20"/>
          <w:szCs w:val="20"/>
        </w:rPr>
        <w:t xml:space="preserve">Government of Spain (2015), *Real Decreto Legislativo 5/2015, de 30 de octubre, por el que se aprueba el texto refundido de la Ley del Estatuto Básico del Empleado Público*, Articles 49 and 89, Boletín Oficial del Estado, Madrid, https://www.boe.es/eli/es/rdlg/2015/10/30/5/con.</w:t>
      </w:r>
    </w:p>
    <w:p>
      <w:pPr>
        <w:spacing w:after="70"/>
        <w:ind w:left="280" w:hanging="280"/>
      </w:pPr>
      <w:r>
        <w:rPr>
          <w:sz w:val="20"/>
          <w:szCs w:val="20"/>
        </w:rPr>
        <w:t xml:space="preserve">Government of Spain (2025), *Real Decreto-ley 9/2025, de 29 de julio, por el que se amplía el permiso por nacimiento y cuidado del menor*, Boletín Oficial del Estado, Madrid.</w:t>
      </w:r>
    </w:p>
    <w:p>
      <w:pPr>
        <w:spacing w:after="70"/>
        <w:ind w:left="280" w:hanging="280"/>
      </w:pPr>
      <w:r>
        <w:rPr>
          <w:sz w:val="20"/>
          <w:szCs w:val="20"/>
        </w:rPr>
        <w:t xml:space="preserve">Guarino, C. M., L. Santibañez and G. A. Daley (2006), "Teacher recruitment and retention: A review of the recent empirical literature", *Review of Educational Research*, Vol. 76/2, pp. 173-208, https://doi.org/10.3102/00346543076002173.</w:t>
      </w:r>
    </w:p>
    <w:p>
      <w:pPr>
        <w:spacing w:after="70"/>
        <w:ind w:left="280" w:hanging="280"/>
      </w:pPr>
      <w:r>
        <w:rPr>
          <w:sz w:val="20"/>
          <w:szCs w:val="20"/>
        </w:rPr>
        <w:t xml:space="preserve">Harris, D. N. and S. J. Adams (2007), "Understanding the level and causes of teacher turnover: A comparison with other professions", *Economics of Education Review*, Vol. 26/3, pp. 325-337, https://doi.org/10.1016/j.econedurev.2005.09.007.</w:t>
      </w:r>
    </w:p>
    <w:p>
      <w:pPr>
        <w:spacing w:after="70"/>
        <w:ind w:left="280" w:hanging="280"/>
      </w:pPr>
      <w:r>
        <w:rPr>
          <w:sz w:val="20"/>
          <w:szCs w:val="20"/>
        </w:rPr>
        <w:t xml:space="preserve">Hillary, J., J. Andrade and J. Worth (2018), *Teacher Retention and Turnover Research. Research Update 4: How Do Teachers Compare to Nurses and Police Officers?*, National Foundation for Educational Research, Slough, https://www.nfer.ac.uk/media/tntdmbr1/teacher_retention_and_turnover_research_research_update_4.pdf.</w:t>
      </w:r>
    </w:p>
    <w:p>
      <w:pPr>
        <w:spacing w:after="70"/>
        <w:ind w:left="280" w:hanging="280"/>
      </w:pPr>
      <w:r>
        <w:rPr>
          <w:sz w:val="20"/>
          <w:szCs w:val="20"/>
        </w:rPr>
        <w:t xml:space="preserve">Hulme, M. et al. (2026), "Teacher turnover in Scotland: Reluctant leavers, downscaling, and the limits of voluntary exit", *Oxford Review of Education*, https://doi.org/10.1080/03054985.2026.2709882.</w:t>
      </w:r>
    </w:p>
    <w:p>
      <w:pPr>
        <w:spacing w:after="70"/>
        <w:ind w:left="280" w:hanging="280"/>
      </w:pPr>
      <w:r>
        <w:rPr>
          <w:sz w:val="20"/>
          <w:szCs w:val="20"/>
        </w:rPr>
        <w:t xml:space="preserve">KEDI (2023), *Survey Evidence on Teacher Attrition and the Infringement of Teachers' Rights*, Korean Educational Development Institute, Jincheon. [Full bibliographic details to be completed before publication.]</w:t>
      </w:r>
    </w:p>
    <w:p>
      <w:pPr>
        <w:spacing w:after="70"/>
        <w:ind w:left="280" w:hanging="280"/>
      </w:pPr>
      <w:r>
        <w:rPr>
          <w:sz w:val="20"/>
          <w:szCs w:val="20"/>
        </w:rPr>
        <w:t xml:space="preserve">Koedel, C. and P. B. Xiang (2017), "Pension enhancements and the retention of public employees", *ILR Review*, Vol. 70/2, pp. 519-551, https://doi.org/10.1177/0019793916650452.</w:t>
      </w:r>
    </w:p>
    <w:p>
      <w:pPr>
        <w:spacing w:after="70"/>
        <w:ind w:left="280" w:hanging="280"/>
      </w:pPr>
      <w:r>
        <w:rPr>
          <w:sz w:val="20"/>
          <w:szCs w:val="20"/>
        </w:rPr>
        <w:t xml:space="preserve">Kraft, M. A., W. H. Marinell and D. Shen-Wei Yee (2016), "School organizational contexts, teacher turnover, and student achievement: Evidence from panel data", *American Educational Research Journal*, Vol. 53/5, pp. 1411-1449, https://doi.org/10.3102/0002831216667478.</w:t>
      </w:r>
    </w:p>
    <w:p>
      <w:pPr>
        <w:spacing w:after="70"/>
        <w:ind w:left="280" w:hanging="280"/>
      </w:pPr>
      <w:r>
        <w:rPr>
          <w:sz w:val="20"/>
          <w:szCs w:val="20"/>
        </w:rPr>
        <w:t xml:space="preserve">Lindsay, J., N. Gnedko-Berry and C. Wan (2021), *Michigan Teachers Who Are Not Teaching: Who Are They, and What Would Motivate Them to Teach?*, REL 2021-076, Regional Educational Laboratory Midwest, Institute of Education Sciences, Washington, DC, https://ies.ed.gov/ncee/edlabs/projects/project.asp?projectID=4592.</w:t>
      </w:r>
    </w:p>
    <w:p>
      <w:pPr>
        <w:spacing w:after="70"/>
        <w:ind w:left="280" w:hanging="280"/>
      </w:pPr>
      <w:r>
        <w:rPr>
          <w:sz w:val="20"/>
          <w:szCs w:val="20"/>
        </w:rPr>
        <w:t xml:space="preserve">Montizaan, R., F. Cörvers and A. de Grip (2010), "The effects of pension rights and retirement age on training participation: Evidence from a natural experiment", *Labour Economics*, Vol. 17/1, pp. 240-247, https://doi.org/10.1016/j.labeco.2009.09.002.</w:t>
      </w:r>
    </w:p>
    <w:p>
      <w:pPr>
        <w:spacing w:after="70"/>
        <w:ind w:left="280" w:hanging="280"/>
      </w:pPr>
      <w:r>
        <w:rPr>
          <w:sz w:val="20"/>
          <w:szCs w:val="20"/>
        </w:rPr>
        <w:t xml:space="preserve">National Council on Teacher Quality (2026), *Paid Parental Leave for Teachers: State and District Policies*, NCTQ, Washington, DC, https://www.nctq.org/research-insights/how-many-school-districts-offer-paid-parental-leave/.</w:t>
      </w:r>
    </w:p>
    <w:p>
      <w:pPr>
        <w:spacing w:after="70"/>
        <w:ind w:left="280" w:hanging="280"/>
      </w:pPr>
      <w:r>
        <w:rPr>
          <w:sz w:val="20"/>
          <w:szCs w:val="20"/>
        </w:rPr>
        <w:t xml:space="preserve">NCES (2015), *Public School Teacher Attrition and Mobility in the First Five Years*, NCES 2015-337, National Center for Education Statistics, Washington, DC, https://nces.ed.gov/pubs2015/2015337.pdf.</w:t>
      </w:r>
    </w:p>
    <w:p>
      <w:pPr>
        <w:spacing w:after="70"/>
        <w:ind w:left="280" w:hanging="280"/>
      </w:pPr>
      <w:r>
        <w:rPr>
          <w:sz w:val="20"/>
          <w:szCs w:val="20"/>
        </w:rPr>
        <w:t xml:space="preserve">NCES (2024), *Teacher Attrition and Mobility: Results from the 2021-22 Teacher Follow-up Survey*, National Center for Education Statistics, Washington, DC, https://nces.ed.gov/pubsearch/pubsinfo.asp?pubid=2024039.</w:t>
      </w:r>
    </w:p>
    <w:p>
      <w:pPr>
        <w:spacing w:after="70"/>
        <w:ind w:left="280" w:hanging="280"/>
      </w:pPr>
      <w:r>
        <w:rPr>
          <w:sz w:val="20"/>
          <w:szCs w:val="20"/>
        </w:rPr>
        <w:t xml:space="preserve">Nguyen, T. D., L. D. Pham, M. Crouch and M. G. Springer (2020), "The correlates of teacher turnover: An updated and expanded meta-analysis of the literature", *Educational Research Review*, Vol. 31, 100355, https://doi.org/10.1016/j.edurev.2020.100355.</w:t>
      </w:r>
    </w:p>
    <w:p>
      <w:pPr>
        <w:spacing w:after="70"/>
        <w:ind w:left="280" w:hanging="280"/>
      </w:pPr>
      <w:r>
        <w:rPr>
          <w:sz w:val="20"/>
          <w:szCs w:val="20"/>
        </w:rPr>
        <w:t xml:space="preserve">Nguyen, T. D. et al. (2025), "Teacher turnover intentions and actual turnover: Evidence from nationally representative data", *AERA Open*. [Full bibliographic details to be completed before publication.]</w:t>
      </w:r>
    </w:p>
    <w:p>
      <w:pPr>
        <w:spacing w:after="70"/>
        <w:ind w:left="280" w:hanging="280"/>
      </w:pPr>
      <w:r>
        <w:rPr>
          <w:sz w:val="20"/>
          <w:szCs w:val="20"/>
        </w:rPr>
        <w:t xml:space="preserve">Ni, S. and M. Podgursky (2016), "How teachers respond to pension system incentives: New estimates and policy applications", *Journal of Labor Economics*, Vol. 34/4, pp. 1075-1104, https://doi.org/10.1086/686263.</w:t>
      </w:r>
    </w:p>
    <w:p>
      <w:pPr>
        <w:spacing w:after="70"/>
        <w:ind w:left="280" w:hanging="280"/>
      </w:pPr>
      <w:r>
        <w:rPr>
          <w:sz w:val="20"/>
          <w:szCs w:val="20"/>
        </w:rPr>
        <w:t xml:space="preserve">Ni, S., M. Podgursky and F. Wang (2022), "How much are public school teachers willing to pay for their retirement benefits? Comment", *American Economic Journal: Economic Policy*, Vol. 14/3, pp. 478-493, https://doi.org/10.1257/pol.20200763.</w:t>
      </w:r>
    </w:p>
    <w:p>
      <w:pPr>
        <w:spacing w:after="70"/>
        <w:ind w:left="280" w:hanging="280"/>
      </w:pPr>
      <w:r>
        <w:rPr>
          <w:sz w:val="20"/>
          <w:szCs w:val="20"/>
        </w:rPr>
        <w:t xml:space="preserve">OECD (2025a), "What is the profile of the teaching workforce and how has it evolved?", in *Education at a Glance 2025: OECD Indicators*, Indicator D8, Table D8.4, OECD Publishing, Paris, https://doi.org/10.1787/f7b0b326-en.</w:t>
      </w:r>
    </w:p>
    <w:p>
      <w:pPr>
        <w:spacing w:after="70"/>
        <w:ind w:left="280" w:hanging="280"/>
      </w:pPr>
      <w:r>
        <w:rPr>
          <w:sz w:val="20"/>
          <w:szCs w:val="20"/>
        </w:rPr>
        <w:t xml:space="preserve">OECD (2025b), *Results from TALIS 2024*, OECD Publishing, Paris.</w:t>
      </w:r>
    </w:p>
    <w:p>
      <w:pPr>
        <w:spacing w:after="70"/>
        <w:ind w:left="280" w:hanging="280"/>
      </w:pPr>
      <w:r>
        <w:rPr>
          <w:sz w:val="20"/>
          <w:szCs w:val="20"/>
        </w:rPr>
        <w:t xml:space="preserve">OECD (2025c), *Results from TALIS 2024, Country Notes: Japan, France and the Netherlands*, OECD Publishing, Paris, https://doi.org/10.1787/e127f9e2-en.</w:t>
      </w:r>
    </w:p>
    <w:p>
      <w:pPr>
        <w:spacing w:after="70"/>
        <w:ind w:left="280" w:hanging="280"/>
      </w:pPr>
      <w:r>
        <w:rPr>
          <w:sz w:val="20"/>
          <w:szCs w:val="20"/>
        </w:rPr>
        <w:t xml:space="preserve">OECD (2025d), "How much are teachers and school heads paid?", in *Education at a Glance 2025: OECD Indicators*, Indicator D3, Table D3.2, OECD Publishing, Paris, https://doi.org/10.1787/1c0d9c79-en.</w:t>
      </w:r>
    </w:p>
    <w:p>
      <w:pPr>
        <w:spacing w:after="70"/>
        <w:ind w:left="280" w:hanging="280"/>
      </w:pPr>
      <w:r>
        <w:rPr>
          <w:sz w:val="20"/>
          <w:szCs w:val="20"/>
        </w:rPr>
        <w:t xml:space="preserve">OECD (2025e), *Pensions at a Glance 2025: OECD and G20 Indicators*, OECD Publishing, Paris.</w:t>
      </w:r>
    </w:p>
    <w:p>
      <w:pPr>
        <w:spacing w:after="70"/>
        <w:ind w:left="280" w:hanging="280"/>
      </w:pPr>
      <w:r>
        <w:rPr>
          <w:sz w:val="20"/>
          <w:szCs w:val="20"/>
        </w:rPr>
        <w:t xml:space="preserve">Podgursky, M., R. Monroe and D. Watson (2004), "The academic quality of public school teachers: An analysis of entry and exit behavior", *Economics of Education Review*, Vol. 23/5, pp. 507-518, https://doi.org/10.1016/j.econedurev.2004.01.005.</w:t>
      </w:r>
    </w:p>
    <w:p>
      <w:pPr>
        <w:spacing w:after="70"/>
        <w:ind w:left="280" w:hanging="280"/>
      </w:pPr>
      <w:r>
        <w:rPr>
          <w:sz w:val="20"/>
          <w:szCs w:val="20"/>
        </w:rPr>
        <w:t xml:space="preserve">Quinby, L. and G. Wettstein (2021), "Do deferred benefit cuts for current employees increase separation?", *Labour Economics*, Vol. 73, 102081, https://doi.org/10.1016/j.labeco.2021.102081.</w:t>
      </w:r>
    </w:p>
    <w:p>
      <w:pPr>
        <w:spacing w:after="70"/>
        <w:ind w:left="280" w:hanging="280"/>
      </w:pPr>
      <w:r>
        <w:rPr>
          <w:sz w:val="20"/>
          <w:szCs w:val="20"/>
        </w:rPr>
        <w:t xml:space="preserve">Ronfeldt, M., S. Loeb and J. Wyckoff (2013), "How teacher turnover harms student achievement", *American Educational Research Journal*, Vol. 50/1, pp. 4-36, https://doi.org/10.3102/0002831212463813.</w:t>
      </w:r>
    </w:p>
    <w:p>
      <w:pPr>
        <w:spacing w:after="70"/>
        <w:ind w:left="280" w:hanging="280"/>
      </w:pPr>
      <w:r>
        <w:rPr>
          <w:sz w:val="20"/>
          <w:szCs w:val="20"/>
        </w:rPr>
        <w:t xml:space="preserve">Räsänen, K., J. Pietarinen, K. Pyhältö, T. Soini and P. Väisänen (2020), "Why leave the teaching profession? A longitudinal approach to the prevalence and persistence of teacher turnover intentions", *Social Psychology of Education*, Vol. 23/4, pp. 837-859, https://doi.org/10.1007/s11218-020-09567-x.</w:t>
      </w:r>
    </w:p>
    <w:p>
      <w:pPr>
        <w:spacing w:after="70"/>
        <w:ind w:left="280" w:hanging="280"/>
      </w:pPr>
      <w:r>
        <w:rPr>
          <w:sz w:val="20"/>
          <w:szCs w:val="20"/>
        </w:rPr>
        <w:t xml:space="preserve">Republic of Korea (2023), *Special Act on the Improvement of Teachers' Status and the Protection of Their Educational Activities*, as amended by Act No. 19735 of 27 September 2023, Korea Legislation Research Institute, Seoul, https://elaw.klri.re.kr/eng_mobile/viewer.do?hseq=69754.</w:t>
      </w:r>
    </w:p>
    <w:p>
      <w:pPr>
        <w:spacing w:after="70"/>
        <w:ind w:left="280" w:hanging="280"/>
      </w:pPr>
      <w:r>
        <w:rPr>
          <w:sz w:val="20"/>
          <w:szCs w:val="20"/>
        </w:rPr>
        <w:t xml:space="preserve">ROCKWOOL Fonden (2025), *Folkeskolelærere, der forlader deres job, går ned i løn og søger mod job med færre sygemeldinger*, ROCKWOOL Fondens Forskningsenhed, Copenhagen, https://rockwoolfonden.dk/. [Full working-paper reference to be confirmed.]</w:t>
      </w:r>
    </w:p>
    <w:p>
      <w:pPr>
        <w:spacing w:after="70"/>
        <w:ind w:left="280" w:hanging="280"/>
      </w:pPr>
      <w:r>
        <w:rPr>
          <w:sz w:val="20"/>
          <w:szCs w:val="20"/>
        </w:rPr>
        <w:t xml:space="preserve">Samuelson, P. A. (1938), "A note on the pure theory of consumer's behaviour", *Economica*, Vol. 5/17, pp. 61-71, https://doi.org/10.2307/2548836.</w:t>
      </w:r>
    </w:p>
    <w:p>
      <w:pPr>
        <w:spacing w:after="70"/>
        <w:ind w:left="280" w:hanging="280"/>
      </w:pPr>
      <w:r>
        <w:rPr>
          <w:sz w:val="20"/>
          <w:szCs w:val="20"/>
        </w:rPr>
        <w:t xml:space="preserve">Scafidi, B., D. L. Sjoquist and T. R. Stinebrickner (2006), "Do teachers really leave for higher paying jobs in alternative occupations?", *The B.E. Journal of Economic Analysis and Policy*, Vol. 6/1, https://doi.org/10.2202/1538-0645.1604.</w:t>
      </w:r>
    </w:p>
    <w:p>
      <w:pPr>
        <w:spacing w:after="70"/>
        <w:ind w:left="280" w:hanging="280"/>
      </w:pPr>
      <w:r>
        <w:rPr>
          <w:sz w:val="20"/>
          <w:szCs w:val="20"/>
        </w:rPr>
        <w:t xml:space="preserve">See, B. H., R. Morris, S. Gorard and N. El Soufi (2020), "Teacher recruitment and retention: A critical review of international evidence of most promising interventions", *Education Sciences*, Vol. 10/10, 262, https://doi.org/10.3390/educsci10100262.</w:t>
      </w:r>
    </w:p>
    <w:p>
      <w:pPr>
        <w:spacing w:after="70"/>
        <w:ind w:left="280" w:hanging="280"/>
      </w:pPr>
      <w:r>
        <w:rPr>
          <w:sz w:val="20"/>
          <w:szCs w:val="20"/>
        </w:rPr>
        <w:t xml:space="preserve">Sims, S. and A. Benhenda (2022), *The Effect of Financial Incentives on the Retention of Shortage-Subject Teachers: Evidence from England*, CEPEO Working Paper No. 22-04, UCL Centre for Education Policy and Equalising Opportunities, London, https://repec-cepeo.ucl.ac.uk/cepeow/cepeowp22-04.pdf.</w:t>
      </w:r>
    </w:p>
    <w:p>
      <w:pPr>
        <w:spacing w:after="70"/>
        <w:ind w:left="280" w:hanging="280"/>
      </w:pPr>
      <w:r>
        <w:rPr>
          <w:sz w:val="20"/>
          <w:szCs w:val="20"/>
        </w:rPr>
        <w:t xml:space="preserve">Sims, S. and J. Jerrim (2020), *TALIS 2018: Teacher Working Conditions, Turnover and Attrition*, Statistical Working Paper, Department for Education, London, https://www.gov.uk/government/publications/talis-2018-teacher-working-conditions-turnover-and-attrition.</w:t>
      </w:r>
    </w:p>
    <w:p>
      <w:pPr>
        <w:spacing w:after="70"/>
        <w:ind w:left="280" w:hanging="280"/>
      </w:pPr>
      <w:r>
        <w:rPr>
          <w:sz w:val="20"/>
          <w:szCs w:val="20"/>
        </w:rPr>
        <w:t xml:space="preserve">Sims, S., B. Lowes-Belk and A. Routledge (2026), "Teacher preferences for pay and working conditions: A systematic review of discrete-choice experiments", *Economics of Education Review*. [Full bibliographic details to be completed before publication.]</w:t>
      </w:r>
    </w:p>
    <w:p>
      <w:pPr>
        <w:spacing w:after="70"/>
        <w:ind w:left="280" w:hanging="280"/>
      </w:pPr>
      <w:r>
        <w:rPr>
          <w:sz w:val="20"/>
          <w:szCs w:val="20"/>
        </w:rPr>
        <w:t xml:space="preserve">Somers, M. et al. (2024a), *Loont het om leraren financieel te prikkelen? De voltijdbonus onderzocht*, ROA, Maastricht University, Maastricht, https://roa.maastrichtuniversity.nl/.</w:t>
      </w:r>
    </w:p>
    <w:p>
      <w:pPr>
        <w:spacing w:after="70"/>
        <w:ind w:left="280" w:hanging="280"/>
      </w:pPr>
      <w:r>
        <w:rPr>
          <w:sz w:val="20"/>
          <w:szCs w:val="20"/>
        </w:rPr>
        <w:t xml:space="preserve">Somers, M. et al. (2024b), *De stille reserve aan leraren buiten het onderwijs*, ROA, Maastricht University, Maastricht, https://roa.maastrichtuniversity.nl/.</w:t>
      </w:r>
    </w:p>
    <w:p>
      <w:pPr>
        <w:spacing w:after="70"/>
        <w:ind w:left="280" w:hanging="280"/>
      </w:pPr>
      <w:r>
        <w:rPr>
          <w:sz w:val="20"/>
          <w:szCs w:val="20"/>
        </w:rPr>
        <w:t xml:space="preserve">Statistics Sweden (2023), *Lärare utanför yrket 2022/2023*, Statistiska centralbyrån, Stockholm, https://www.scb.se/.</w:t>
      </w:r>
    </w:p>
    <w:p>
      <w:pPr>
        <w:spacing w:after="70"/>
        <w:ind w:left="280" w:hanging="280"/>
      </w:pPr>
      <w:r>
        <w:rPr>
          <w:sz w:val="20"/>
          <w:szCs w:val="20"/>
        </w:rPr>
        <w:t xml:space="preserve">Statistisches Bundesamt (2005), *Lehrkräfte gehen mit durchschnittlich 62 Jahren in Pension*, press release, Destatis, Wiesbaden. [Archived release to be obtained before publication.]</w:t>
      </w:r>
    </w:p>
    <w:p>
      <w:pPr>
        <w:spacing w:after="70"/>
        <w:ind w:left="280" w:hanging="280"/>
      </w:pPr>
      <w:r>
        <w:rPr>
          <w:sz w:val="20"/>
          <w:szCs w:val="20"/>
        </w:rPr>
        <w:t xml:space="preserve">Stinebrickner, T. R. (2001), "A dynamic model of teacher labor supply", *Journal of Labor Economics*, Vol. 19/1, pp. 196-230, https://doi.org/10.1086/209985.</w:t>
      </w:r>
    </w:p>
    <w:p>
      <w:pPr>
        <w:spacing w:after="70"/>
        <w:ind w:left="280" w:hanging="280"/>
      </w:pPr>
      <w:r>
        <w:rPr>
          <w:sz w:val="20"/>
          <w:szCs w:val="20"/>
        </w:rPr>
        <w:t xml:space="preserve">Stinebrickner, T. R. (2002), "An analysis of occupational change and departure from the labor force: Evidence of the reasons that teachers leave", *Journal of Human Resources*, Vol. 37/1, pp. 192-216, https://doi.org/10.2307/3069608.</w:t>
      </w:r>
    </w:p>
    <w:p>
      <w:pPr>
        <w:spacing w:after="70"/>
        <w:ind w:left="280" w:hanging="280"/>
      </w:pPr>
      <w:r>
        <w:rPr>
          <w:sz w:val="20"/>
          <w:szCs w:val="20"/>
        </w:rPr>
        <w:t xml:space="preserve">United Kingdom (1996), *Employment Rights Act 1996*, Part 8A (Flexible Working), sections 80F-80G, as amended, London, https://www.legislation.gov.uk/ukpga/1996/18/part/8A.</w:t>
      </w:r>
    </w:p>
    <w:p>
      <w:pPr>
        <w:spacing w:after="70"/>
        <w:ind w:left="280" w:hanging="280"/>
      </w:pPr>
      <w:r>
        <w:rPr>
          <w:sz w:val="20"/>
          <w:szCs w:val="20"/>
        </w:rPr>
        <w:t xml:space="preserve">United States (2013), *Family and Medical Leave Act Regulations*, 29 CFR Part 825, Subpart F, Washington, DC, https://www.ecfr.gov/current/title-29/subtitle-B/chapter-V/subchapter-C/part-825/subpart-F.</w:t>
      </w:r>
    </w:p>
    <w:p>
      <w:pPr>
        <w:spacing w:after="70"/>
        <w:ind w:left="280" w:hanging="280"/>
      </w:pPr>
      <w:r>
        <w:rPr>
          <w:sz w:val="20"/>
          <w:szCs w:val="20"/>
        </w:rPr>
        <w:t xml:space="preserve">Van Casteren, W. et al. (2023), *Vertrekredenen leraren en docenten in het po, vo en mbo*, ResearchNed, Nijmegen, https://www.voion.nl/publicaties/vertrekredenen-leraren-en-docenten-in-het-po-vo-en-mbo/.</w:t>
      </w:r>
    </w:p>
    <w:p>
      <w:pPr>
        <w:spacing w:after="70"/>
        <w:ind w:left="280" w:hanging="280"/>
      </w:pPr>
      <w:r>
        <w:rPr>
          <w:sz w:val="20"/>
          <w:szCs w:val="20"/>
        </w:rPr>
        <w:t xml:space="preserve">Walker, M. et al. (2024), *Evaluation of the Early Roll-out of the Early Career Framework: Evaluation Report*, National Foundation for Educational Research for the Education Endowment Foundation, London, https://d2tic4wvo1iusb.cloudfront.net/production/documents/projects/ECF_early_year_rollout_evaluation_report.pdf.</w:t>
      </w:r>
    </w:p>
    <w:p>
      <w:pPr>
        <w:spacing w:after="70"/>
        <w:ind w:left="280" w:hanging="280"/>
      </w:pPr>
      <w:r>
        <w:rPr>
          <w:sz w:val="20"/>
          <w:szCs w:val="20"/>
        </w:rPr>
        <w:t xml:space="preserve">Weldon, P. R. (2018), "Early career teacher attrition in Australia: Evidence, definition, classification and measurement", *Australian Journal of Education*, Vol. 62/1, pp. 61-78, https://doi.org/10.1177/0004944117752478.</w:t>
      </w:r>
    </w:p>
    <w:p>
      <w:pPr>
        <w:spacing w:after="70"/>
        <w:ind w:left="280" w:hanging="280"/>
      </w:pPr>
      <w:r>
        <w:rPr>
          <w:sz w:val="20"/>
          <w:szCs w:val="20"/>
        </w:rPr>
        <w:t xml:space="preserve">Worth, J., S. Bamford and B. Durbin (2015), *Should I Stay or Should I Go? NFER Analysis of Teachers Joining and Leaving the Profession*, National Foundation for Educational Research, Slough, https://www.nfer.ac.uk/publications/should-i-stay-or-should-i-go-nfer-analysis-of-teachers-joining-and-leaving-the-profession.</w:t>
      </w:r>
    </w:p>
    <w:p>
      <w:pPr>
        <w:spacing w:after="70"/>
        <w:ind w:left="280" w:hanging="280"/>
      </w:pPr>
      <w:r>
        <w:rPr>
          <w:sz w:val="20"/>
          <w:szCs w:val="20"/>
        </w:rPr>
        <w:t xml:space="preserve">Worth, J. and D. McLean (2022), *Teacher Labour Market in England: Annual Report and Earnings Analysis*, National Foundation for Educational Research, Slough, https://www.nfer.ac.uk/. [Exact report title to be confirmed against the earnings analysis cited.]</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FOR OFFICIAL USE — DRAFT, NOT FOR CIRCULATION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60"/>
        <w:jc w:val="both"/>
      </w:pPr>
      <w:r>
        <w:rPr>
          <w:rStyle w:val="FootnoteReference"/>
        </w:rPr>
        <w:footnoteRef/>
      </w:r>
      <w:r>
        <w:rPr>
          <w:sz w:val="18"/>
          <w:szCs w:val="18"/>
        </w:rPr>
        <w:t xml:space="preserve">Table D8.4 measures departure from the profession, defined as fully qualified teachers who left by resigning or retiring during the reference year. It excludes movement between schools, so these rates are not comparable with turnover statistics, which combine leavers with movers and therefore run higher.</w:t>
      </w:r>
    </w:p>
  </w:footnote>
  <w:footnote w:id="2">
    <w:p>
      <w:pPr>
        <w:spacing w:after="60"/>
        <w:jc w:val="both"/>
      </w:pPr>
      <w:r>
        <w:rPr>
          <w:rStyle w:val="FootnoteReference"/>
        </w:rPr>
        <w:footnoteRef/>
      </w:r>
      <w:r>
        <w:rPr>
          <w:sz w:val="18"/>
          <w:szCs w:val="18"/>
        </w:rPr>
        <w:t xml:space="preserve">Successive waves of the Teacher Follow-up Survey put the share of public-school teachers leaving the profession at 5.6% in 1988/89, 5.1% in 1991/92, 6.6% in 1994/95, 7.4% in 2000/01, 8.4% in 2004/05, 8.0% in 2008/09, 7.7% in 2012/13 and 7.9% in 2021/22, and the last figure is not statistically different from the one a decade earlier </w:t>
      </w:r>
      <w:r>
        <w:rPr>
          <w:color w:val="0563C1"/>
          <w:sz w:val="18"/>
          <w:szCs w:val="18"/>
        </w:rPr>
        <w:t xml:space="preserve">(NCES, 2024)</w:t>
      </w:r>
      <w:r>
        <w:rPr>
          <w:sz w:val="18"/>
          <w:szCs w:val="18"/>
        </w:rPr>
        <w:t xml:space="preserve">. A 39-year administrative series for Washington State shows a one-off rise to 8.9% after 2021/22, back at pre-pandemic levels by 2023 </w:t>
      </w:r>
      <w:r>
        <w:rPr>
          <w:color w:val="0563C1"/>
          <w:sz w:val="18"/>
          <w:szCs w:val="18"/>
        </w:rPr>
        <w:t xml:space="preserve">(Goldhaber and Theobald, 2025)</w:t>
      </w:r>
      <w:r>
        <w:rPr>
          <w:sz w:val="18"/>
          <w:szCs w:val="18"/>
        </w:rPr>
        <w:t xml:space="preserve">. The English series counts exits from the state-funded sector, which include moves to private schools, so its level is not strictly comparable with the profession-based American one.</w:t>
      </w:r>
    </w:p>
  </w:footnote>
  <w:footnote w:id="3">
    <w:p>
      <w:pPr>
        <w:spacing w:after="60"/>
        <w:jc w:val="both"/>
      </w:pPr>
      <w:r>
        <w:rPr>
          <w:rStyle w:val="FootnoteReference"/>
        </w:rPr>
        <w:footnoteRef/>
      </w:r>
      <w:r>
        <w:rPr>
          <w:sz w:val="18"/>
          <w:szCs w:val="18"/>
        </w:rPr>
        <w:t xml:space="preserve">The catastrophic early-career figures in circulation do not survive the data: 17% of beginning American teachers had left by their fifth year </w:t>
      </w:r>
      <w:r>
        <w:rPr>
          <w:color w:val="0563C1"/>
          <w:sz w:val="18"/>
          <w:szCs w:val="18"/>
        </w:rPr>
        <w:t xml:space="preserve">(NCES, 2015)</w:t>
      </w:r>
      <w:r>
        <w:rPr>
          <w:sz w:val="18"/>
          <w:szCs w:val="18"/>
        </w:rPr>
        <w:t xml:space="preserve">, Australian early-career attrition fell from 4% to 2.3% a year over the 2010s </w:t>
      </w:r>
      <w:r>
        <w:rPr>
          <w:color w:val="0563C1"/>
          <w:sz w:val="18"/>
          <w:szCs w:val="18"/>
        </w:rPr>
        <w:t xml:space="preserve">(Buckley and Griselda, 2025)</w:t>
      </w:r>
      <w:r>
        <w:rPr>
          <w:sz w:val="18"/>
          <w:szCs w:val="18"/>
        </w:rPr>
        <w:t xml:space="preserve">, and the 30% to 50% claims for Australia rest on no robust evidence </w:t>
      </w:r>
      <w:r>
        <w:rPr>
          <w:color w:val="0563C1"/>
          <w:sz w:val="18"/>
          <w:szCs w:val="18"/>
        </w:rPr>
        <w:t xml:space="preserve">(Weldon, 2018)</w:t>
      </w:r>
      <w:r>
        <w:rPr>
          <w:sz w:val="18"/>
          <w:szCs w:val="18"/>
        </w:rPr>
        <w:t xml:space="preserve">. Occupational comparisons are sensitive to measurement, since survey-based rates run above administrative ones; the English comparison relies on a household panel whose teacher leaving rate exceeds the figure in the school workforce census.</w:t>
      </w:r>
    </w:p>
  </w:footnote>
  <w:footnote w:id="4">
    <w:p>
      <w:pPr>
        <w:spacing w:after="60"/>
        <w:jc w:val="both"/>
      </w:pPr>
      <w:r>
        <w:rPr>
          <w:rStyle w:val="FootnoteReference"/>
        </w:rPr>
        <w:footnoteRef/>
      </w:r>
      <w:r>
        <w:rPr>
          <w:sz w:val="18"/>
          <w:szCs w:val="18"/>
        </w:rPr>
        <w:t xml:space="preserve">The survey followed Finnish comprehensive-school teachers over five years and measured turnover intentions and their stated reasons, not observed exits. About half of respondents reported turnover intentions at some point, and the reason a teacher gave was unstable, since fewer than half of those with persistent intentions named the same factor five years apart.</w:t>
      </w:r>
    </w:p>
  </w:footnote>
  <w:footnote w:id="5">
    <w:p>
      <w:pPr>
        <w:spacing w:after="60"/>
        <w:jc w:val="both"/>
      </w:pPr>
      <w:r>
        <w:rPr>
          <w:rStyle w:val="FootnoteReference"/>
        </w:rPr>
        <w:footnoteRef/>
      </w:r>
      <w:r>
        <w:rPr>
          <w:sz w:val="18"/>
          <w:szCs w:val="18"/>
        </w:rPr>
        <w:t xml:space="preserve">The KEDI series reached this review through official Korean reporting; the full bibliographic details of the underlying survey remain to be completed before publication.</w:t>
      </w:r>
    </w:p>
  </w:footnote>
  <w:footnote w:id="6">
    <w:p>
      <w:pPr>
        <w:spacing w:after="60"/>
        <w:jc w:val="both"/>
      </w:pPr>
      <w:r>
        <w:rPr>
          <w:rStyle w:val="FootnoteReference"/>
        </w:rPr>
        <w:footnoteRef/>
      </w:r>
      <w:r>
        <w:rPr>
          <w:sz w:val="18"/>
          <w:szCs w:val="18"/>
        </w:rPr>
        <w:t xml:space="preserve">The Dutch entitlement rests on the Wet flexibel werken, under which a request left unanswered past the statutory deadline is deemed granted. The English right to request flexible working sits in Part 8A of the Employment Rights Act 1996, and the eight permissible grounds of refusal include the burden of additional costs and the inability to reorganise work among existing staff.</w:t>
      </w:r>
    </w:p>
  </w:footnote>
  <w:footnote w:id="7">
    <w:p>
      <w:pPr>
        <w:spacing w:after="60"/>
        <w:jc w:val="both"/>
      </w:pPr>
      <w:r>
        <w:rPr>
          <w:rStyle w:val="FootnoteReference"/>
        </w:rPr>
        <w:footnoteRef/>
      </w:r>
      <w:r>
        <w:rPr>
          <w:sz w:val="18"/>
          <w:szCs w:val="18"/>
        </w:rPr>
        <w:t xml:space="preserve">TALIS is the OECD's international survey of teachers and school leaders in primary and lower secondary education. In its 2018 round, 73% of surveyed English teachers consented to having their responses linked to the School Workforce Census, the annual administrative register of the staff of England's state-funded schools, and the matching produced 2 684 linked records at a match rate of 84%. The analysis, commissioned by the Department for Education, is </w:t>
      </w:r>
      <w:r>
        <w:rPr>
          <w:color w:val="0563C1"/>
          <w:sz w:val="18"/>
          <w:szCs w:val="18"/>
        </w:rPr>
        <w:t xml:space="preserve">Sims and Jerrim (2020)</w:t>
      </w:r>
      <w:r>
        <w:rPr>
          <w:sz w:val="18"/>
          <w:szCs w:val="18"/>
        </w:rPr>
        <w:t xml:space="preserve">, available at https://www.gov.uk/government/publications/talis-2018-teacher-working-conditions-turnover-and-attrition.</w:t>
      </w:r>
    </w:p>
  </w:footnote>
  <w:footnote w:id="8">
    <w:p>
      <w:pPr>
        <w:spacing w:after="60"/>
        <w:jc w:val="both"/>
      </w:pPr>
      <w:r>
        <w:rPr>
          <w:rStyle w:val="FootnoteReference"/>
        </w:rPr>
        <w:footnoteRef/>
      </w:r>
      <w:r>
        <w:rPr>
          <w:sz w:val="18"/>
          <w:szCs w:val="18"/>
        </w:rPr>
        <w:t xml:space="preserve">Indicator D3 compares the average serving teacher's salary with the earnings of the average tertiary-educated worker. It measures the standing of the occupation, not the outside option of any individual teacher, and its methodological notes warn that it divides a mean teacher salary by a median comparator figure in some countries, a difference worth up to 14% where both can be computed </w:t>
      </w:r>
      <w:r>
        <w:rPr>
          <w:color w:val="0563C1"/>
          <w:sz w:val="18"/>
          <w:szCs w:val="18"/>
        </w:rPr>
        <w:t xml:space="preserve">(OECD, 2025d)</w:t>
      </w:r>
      <w:r>
        <w:rPr>
          <w:sz w:val="18"/>
          <w:szCs w:val="18"/>
        </w:rPr>
        <w:t xml:space="preserve">.</w:t>
      </w:r>
    </w:p>
  </w:footnote>
  <w:footnote w:id="9">
    <w:p>
      <w:pPr>
        <w:spacing w:after="60"/>
        <w:jc w:val="both"/>
      </w:pPr>
      <w:r>
        <w:rPr>
          <w:rStyle w:val="FootnoteReference"/>
        </w:rPr>
        <w:footnoteRef/>
      </w:r>
      <w:r>
        <w:rPr>
          <w:sz w:val="18"/>
          <w:szCs w:val="18"/>
        </w:rPr>
        <w:t xml:space="preserve">The study links the human-resources records of a large urban school district over twelve years of leavers to federal tax records held at the United States Census Bureau, and is the only United States evidence that observes leavers who disappear from employer records entirely, which is why its mean sits below studies that condition on employment.</w:t>
      </w:r>
    </w:p>
  </w:footnote>
  <w:footnote w:id="10">
    <w:p>
      <w:pPr>
        <w:spacing w:after="60"/>
        <w:jc w:val="both"/>
      </w:pPr>
      <w:r>
        <w:rPr>
          <w:rStyle w:val="FootnoteReference"/>
        </w:rPr>
        <w:footnoteRef/>
      </w:r>
      <w:r>
        <w:rPr>
          <w:sz w:val="18"/>
          <w:szCs w:val="18"/>
        </w:rPr>
        <w:t xml:space="preserve">Causal evidence that teacher retirement timing responds to these incentives exists for the United States, France and the Netherlands, with Germany documented descriptively; for the remaining systems the scheme parameters are documented but the behavioural response is not.</w:t>
      </w:r>
    </w:p>
  </w:footnote>
  <w:footnote w:id="11">
    <w:p>
      <w:pPr>
        <w:spacing w:after="60"/>
        <w:jc w:val="both"/>
      </w:pPr>
      <w:r>
        <w:rPr>
          <w:rStyle w:val="FootnoteReference"/>
        </w:rPr>
        <w:footnoteRef/>
      </w:r>
      <w:r>
        <w:rPr>
          <w:sz w:val="18"/>
          <w:szCs w:val="18"/>
        </w:rPr>
        <w:t xml:space="preserve">The two estimates bracket the question without resolving it. The willingness-to-pay figure comes from take-up of a real upgrade offer priced against present value; the later study follows the same cohort to retirement and finds that most teachers eventually bought the upgrade and that decliners faced a negative net return given their retirement timing, which implies a valuation far above 20 cents.</w:t>
      </w:r>
    </w:p>
  </w:footnote>
  <w:footnote w:id="12">
    <w:p>
      <w:pPr>
        <w:spacing w:after="60"/>
        <w:jc w:val="both"/>
      </w:pPr>
      <w:r>
        <w:rPr>
          <w:rStyle w:val="FootnoteReference"/>
        </w:rPr>
        <w:footnoteRef/>
      </w:r>
      <w:r>
        <w:rPr>
          <w:sz w:val="18"/>
          <w:szCs w:val="18"/>
        </w:rPr>
        <w:t xml:space="preserve">The maternity-return figures are Department for Education ad hoc statistics for 2016-2019 reported to Parliament; the original statistical release should be verified before publication. In 2022/23, women aged 30 to 39 leaving state-funded schools in England numbered over 9 000, against roughly 3 400 men of the same age.</w:t>
      </w:r>
    </w:p>
  </w:footnote>
  <w:footnote w:id="13">
    <w:p>
      <w:pPr>
        <w:spacing w:after="60"/>
        <w:jc w:val="both"/>
      </w:pPr>
      <w:r>
        <w:rPr>
          <w:rStyle w:val="FootnoteReference"/>
        </w:rPr>
        <w:footnoteRef/>
      </w:r>
      <w:r>
        <w:rPr>
          <w:sz w:val="18"/>
          <w:szCs w:val="18"/>
        </w:rPr>
        <w:t xml:space="preserve">The Spanish provisions are Article 49 </w:t>
      </w:r>
      <w:r>
        <w:rPr>
          <w:color w:val="0563C1"/>
          <w:sz w:val="18"/>
          <w:szCs w:val="18"/>
        </w:rPr>
        <w:t xml:space="preserve">(paid leave, extended to nineteen weeks in 2025)</w:t>
      </w:r>
      <w:r>
        <w:rPr>
          <w:sz w:val="18"/>
          <w:szCs w:val="18"/>
        </w:rPr>
        <w:t xml:space="preserve"> and Article 89.4 (childcare leave with post reservation) of the consolidated public-employment statute; the American floor is the Family and Medical Leave Act, whose school-specific regulations allow a district to keep a teacher on leave until the end of a term in defined circumstances.</w:t>
      </w:r>
    </w:p>
  </w:footnote>
  <w:footnote w:id="14">
    <w:p>
      <w:pPr>
        <w:spacing w:after="60"/>
        <w:jc w:val="both"/>
      </w:pPr>
      <w:r>
        <w:rPr>
          <w:rStyle w:val="FootnoteReference"/>
        </w:rPr>
        <w:footnoteRef/>
      </w:r>
      <w:r>
        <w:rPr>
          <w:sz w:val="18"/>
          <w:szCs w:val="18"/>
        </w:rPr>
        <w:t xml:space="preserve">The two American sources measure different populations with different instruments. The National Center for Education Statistics figure comes from the Teacher Follow-up Survey of 2021-22 former teachers, who choose one main reason; the 60% figure comes from the RAND State of the American Teacher survey of serving teachers, who select all reasons for considering departure, among whom pay ranks first for early-career and Black teachers. A Michigan survey of intending leavers likewise places pay at the top jointly with workload, which illustrates how intention surveys and leaver surveys order the same motives differently.</w:t>
      </w:r>
    </w:p>
  </w:footnote>
  <w:footnote w:id="15">
    <w:p>
      <w:pPr>
        <w:spacing w:after="60"/>
        <w:jc w:val="both"/>
      </w:pPr>
      <w:r>
        <w:rPr>
          <w:rStyle w:val="FootnoteReference"/>
        </w:rPr>
        <w:footnoteRef/>
      </w:r>
      <w:r>
        <w:rPr>
          <w:sz w:val="18"/>
          <w:szCs w:val="18"/>
        </w:rPr>
        <w:t xml:space="preserve">The correlation between stated intention and observed departure in the same data is 0.15.</w:t>
      </w:r>
    </w:p>
  </w:footnote>
  <w:footnote w:id="16">
    <w:p>
      <w:pPr>
        <w:spacing w:after="60"/>
        <w:jc w:val="both"/>
      </w:pPr>
      <w:r>
        <w:rPr>
          <w:rStyle w:val="FootnoteReference"/>
        </w:rPr>
        <w:footnoteRef/>
      </w:r>
      <w:r>
        <w:rPr>
          <w:sz w:val="18"/>
          <w:szCs w:val="18"/>
        </w:rPr>
        <w:t xml:space="preserve">The Michigan count refers to certificates in force in 2018-19; the Dutch estimate defines the silent reserve as qualified teachers below retirement age employed outside education altogether.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FORMER TEACHERS — WORKING DRAFT  |  </w:t>
    </w:r>
    <w:r>
      <w:rPr>
        <w:color w:val="8C8C8C"/>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94ce49220f10738fe877badb562e3def4bba5a.png"/><Relationship Id="rId10" Type="http://schemas.openxmlformats.org/officeDocument/2006/relationships/image" Target="media/e5c85c137c06f7f3abbe4e4a11831a242cddc83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2026-08-27T15:50:05.779Z</dcterms:created>
  <dcterms:modified xsi:type="dcterms:W3CDTF">2026-08-27T15:50:05.800Z</dcterms:modified>
</cp:coreProperties>
</file>

<file path=docProps/custom.xml><?xml version="1.0" encoding="utf-8"?>
<Properties xmlns="http://schemas.openxmlformats.org/officeDocument/2006/custom-properties" xmlns:vt="http://schemas.openxmlformats.org/officeDocument/2006/docPropsVTypes"/>
</file>