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WORKING PAPER SERIES</w:t>
      </w:r>
    </w:p>
    <w:p>
      <w:pPr>
        <w:spacing w:after="160" w:line="264" w:lineRule="auto"/>
        <w:jc w:val="both"/>
      </w:pPr>
      <w:r>
        <w:t xml:space="preserve">This working paper presents preliminary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Education Working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Pr>
      <w:r>
        <w:t xml:space="preserve">Acknowledgements</w:t>
      </w:r>
    </w:p>
    <w:p>
      <w:pPr>
        <w:spacing w:after="160" w:line="264" w:lineRule="auto"/>
        <w:jc w:val="both"/>
      </w:pPr>
      <w:r>
        <w:rPr>
          <w:i/>
          <w:iCs/>
          <w:color w:val="595959"/>
        </w:rPr>
        <w:t xml:space="preserve">[This working paper was prepared by the authors for the Former Teachers project. Acknowledgements to colleagues, reviewers and data providers to be added before circulation.]</w:t>
      </w:r>
    </w:p>
    <w:p>
      <w:pPr>
        <w:pStyle w:val="Heading1"/>
        <w:pageBreakBefore/>
      </w:pPr>
      <w:r>
        <w:t xml:space="preserve">Abstract</w:t>
      </w:r>
    </w:p>
    <w:p>
      <w:pPr>
        <w:spacing w:after="160" w:line="264" w:lineRule="auto"/>
        <w:jc w:val="both"/>
      </w:pPr>
      <w:r>
        <w:t xml:space="preserve">Education systems facing teacher shortages are turning to former teachers, a group they have already trained. This policy paper compiles and verifies the international experience with re-entry policies across some twenty education systems, from return-to-teaching programmes in England, New South Wales and the Netherlands to retiree re-engagement in Austria, Germany, Portugal, Japan and China, together with the pension, licensure and career-break rules that govern return. Take-up figures are verified against audits, annual reports and parliamentary records rather than taken from launch announcements. The paper argues that former teachers merit attention for what they bring back – classroom craft, curriculum knowledge and mentoring capacity – and that re-entry is a modest but real margin of supply, not a solution to shortages. The compiled record shows that interest is abundant while conversion into appointments is scarce, and that regulation binds harder than programme design; where pension penalties were removed outright, as in North Carolina, returns ran to thousands over a decade, while Georgia's stacked eligibility screens hold them to about 350 full-time rehires a year and blocked hires that 45% of surveyed districts wanted to make. Design lessons follow on recruiting from employers' own records, funding conversion tied to vacancies, removing pension penalties, making re-accreditation a standing rule and mandating uptake counts for every new measure.</w:t>
      </w:r>
    </w:p>
    <w:p>
      <w:pPr>
        <w:pStyle w:val="Heading1"/>
        <w:spacing w:before="300"/>
      </w:pPr>
      <w:r>
        <w:t xml:space="preserve">Résumé</w:t>
      </w:r>
    </w:p>
    <w:p>
      <w:pPr>
        <w:spacing w:after="160" w:line="264" w:lineRule="auto"/>
        <w:jc w:val="both"/>
      </w:pPr>
      <w:r>
        <w:t xml:space="preserve">Confrontés à des pénuries d'enseignants, les systèmes éducatifs se tournent vers un groupe qu'ils ont déjà formé, les anciens enseignants. Ce document d'orientation compile et vérifie l'expérience internationale des politiques de réintégration dans une vingtaine de systèmes éducatifs, des programmes de retour à l'enseignement en Angleterre, en Nouvelle-Galles du Sud et aux Pays-Bas aux dispositifs de réengagement des retraités en Autriche, en Allemagne, au Portugal, au Japon et en Chine, ainsi que les règles en matière de retraite, d'accréditation et d'interruption de carrière qui encadrent le retour. Les chiffres de participation sont vérifiés à partir d'audits, de rapports annuels et de documents parlementaires plutôt que d'annonces de lancement. Le document soutient que les anciens enseignants méritent l'attention pour ce qu'ils rapportent à la profession – savoir-faire pédagogique, connaissance des programmes et capacité de mentorat – et que la réintégration constitue une marge d'offre modeste mais réelle, et non une solution aux pénuries. Les données compilées montrent que l'intérêt abonde alors que la conversion en recrutements reste rare, et que la réglementation pèse plus que la conception des programmes ; les règles de cumul emploi-retraite sont déterminantes : la Caroline du Nord, en autorisant le cumul intégral du salaire et de la pension, a vu plus de 35% des enseignants éligibles à la retraite l'année précédente reprendre un poste à temps plein en 2009, tandis que les critères cumulatifs de la Géorgie ne produisent qu'environ 350 réemplois à temps plein par an face à quelque 6 000 postes vacants ou pourvus par des non-titulaires. Il en découle des enseignements pour la conception des politiques : recruter à partir des dossiers des employeurs, lier le financement de la conversion aux postes vacants, supprimer les pénalités de pension, pérenniser les règles de réaccréditation et imposer la publication des chiffres de participation pour toute nouvelle mesure.</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1.1. Three populations of former teachers</w:t>
      </w:r>
    </w:p>
    <w:p>
      <w:pPr>
        <w:spacing w:after="60"/>
      </w:pPr>
      <w:r>
        <w:rPr>
          <w:sz w:val="21"/>
          <w:szCs w:val="21"/>
        </w:rPr>
        <w:t xml:space="preserve">Table 2.1. Former teachers counted, where they can be counted</w:t>
      </w:r>
    </w:p>
    <w:p>
      <w:pPr>
        <w:spacing w:after="60"/>
      </w:pPr>
      <w:r>
        <w:rPr>
          <w:sz w:val="21"/>
          <w:szCs w:val="21"/>
        </w:rPr>
        <w:t xml:space="preserve">Table 3.1. Verified recruitment funnels of re-entry programmes</w:t>
      </w:r>
    </w:p>
    <w:p>
      <w:pPr>
        <w:spacing w:after="60"/>
      </w:pPr>
      <w:r>
        <w:rPr>
          <w:sz w:val="21"/>
          <w:szCs w:val="21"/>
        </w:rPr>
        <w:t xml:space="preserve">Table 3.2. Pension compatibility rules for returning retired teachers in selected jurisdictions</w:t>
      </w:r>
    </w:p>
    <w:p>
      <w:pPr>
        <w:spacing w:after="60"/>
      </w:pPr>
      <w:r>
        <w:rPr>
          <w:sz w:val="21"/>
          <w:szCs w:val="21"/>
        </w:rPr>
        <w:t xml:space="preserve">Table 4.1. Re-entry measures in force with no published uptake or outcome data</w:t>
      </w:r>
    </w:p>
    <w:p>
      <w:pPr>
        <w:spacing w:after="120" w:before="240"/>
      </w:pPr>
      <w:r>
        <w:rPr>
          <w:b/>
          <w:bCs/>
          <w:color w:val="4E81BD"/>
          <w:sz w:val="21"/>
          <w:szCs w:val="21"/>
        </w:rPr>
        <w:t xml:space="preserve">BOXES</w:t>
      </w:r>
    </w:p>
    <w:p>
      <w:pPr>
        <w:spacing w:after="60"/>
      </w:pPr>
      <w:r>
        <w:rPr>
          <w:sz w:val="21"/>
          <w:szCs w:val="21"/>
        </w:rPr>
        <w:t xml:space="preserve">Box 2.1. What a certification registry reveals: Michigan (United States)</w:t>
      </w:r>
    </w:p>
    <w:p>
      <w:pPr>
        <w:spacing w:after="60"/>
      </w:pPr>
      <w:r>
        <w:rPr>
          <w:sz w:val="21"/>
          <w:szCs w:val="21"/>
        </w:rPr>
        <w:t xml:space="preserve">Box 3.1. England's Return to Teaching pilot: the funnel that set the benchmark</w:t>
      </w:r>
    </w:p>
    <w:p>
      <w:pPr>
        <w:spacing w:after="60"/>
      </w:pPr>
      <w:r>
        <w:rPr>
          <w:sz w:val="21"/>
          <w:szCs w:val="21"/>
        </w:rPr>
        <w:t xml:space="preserve">Box 3.2. The Netherlands: a EUR 2 500 subsidy beside a 31 000-strong reserve</w:t>
      </w:r>
    </w:p>
    <w:p>
      <w:pPr>
        <w:spacing w:after="60"/>
      </w:pPr>
      <w:r>
        <w:rPr>
          <w:sz w:val="21"/>
          <w:szCs w:val="21"/>
        </w:rPr>
        <w:t xml:space="preserve">Box 3.3. Austria: retiree outreach with an audited answer</w:t>
      </w:r>
    </w:p>
    <w:p>
      <w:pPr>
        <w:spacing w:after="60"/>
      </w:pPr>
      <w:r>
        <w:rPr>
          <w:sz w:val="21"/>
          <w:szCs w:val="21"/>
        </w:rPr>
        <w:t xml:space="preserve">Box 3.4. China's Silver Age plans: retiree redeployment at scale, with targeting but without evaluation</w:t>
      </w:r>
    </w:p>
    <w:p>
      <w:pPr>
        <w:spacing w:after="60"/>
      </w:pPr>
      <w:r>
        <w:rPr>
          <w:sz w:val="21"/>
          <w:szCs w:val="21"/>
        </w:rPr>
        <w:t xml:space="preserve">Box 3.5. North Carolina's 1999-2009 return-to-work window: what full pension-salary compatibility buys</w:t>
      </w:r>
    </w:p>
    <w:p>
      <w:pPr>
        <w:pageBreakBefore/>
        <w:spacing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8"/>
              <w:left w:val="single" w:color="4E81BD" w:sz="8"/>
              <w:bottom w:val="single" w:color="4E81BD" w:sz="8"/>
              <w:right w:val="single" w:color="4E81BD" w:sz="8"/>
            </w:tcBorders>
            <w:shd w:fill="EEECE1" w:val="clear"/>
            <w:tcMar>
              <w:top w:type="dxa" w:w="200"/>
              <w:left w:type="dxa" w:w="220"/>
              <w:bottom w:type="dxa" w:w="160"/>
              <w:right w:type="dxa" w:w="220"/>
            </w:tcMar>
          </w:tcPr>
          <w:p>
            <w:pPr>
              <w:spacing w:after="200"/>
            </w:pPr>
            <w:r>
              <w:rPr>
                <w:b/>
                <w:bCs/>
                <w:color w:val="4E81BD"/>
                <w:sz w:val="28"/>
                <w:szCs w:val="28"/>
              </w:rPr>
              <w:t xml:space="preserve">Key Take-Aways</w:t>
            </w:r>
          </w:p>
          <w:p>
            <w:pPr>
              <w:pStyle w:val="ListParagraph"/>
              <w:numPr>
                <w:ilvl w:val="0"/>
                <w:numId w:val="2"/>
              </w:numPr>
              <w:spacing w:after="120" w:line="252" w:lineRule="auto"/>
              <w:jc w:val="both"/>
            </w:pPr>
            <w:r>
              <w:rPr>
                <w:b/>
                <w:bCs/>
                <w:sz w:val="22"/>
                <w:szCs w:val="22"/>
              </w:rPr>
              <w:t xml:space="preserve">Interest is cheap; conversion is the constraint.</w:t>
            </w:r>
            <w:r>
              <w:rPr>
                <w:sz w:val="22"/>
                <w:szCs w:val="22"/>
              </w:rPr>
              <w:t xml:space="preserve"> Where interest is invited by open registration, the gap between it and appointment is enormous: England's pilot turned 5 729 registrations into 354 supported returners and 27 permanent posts in its target subjects. Where former staff are contacted individually, conversion is far better but the base is small: New South Wales turned over 1 500 direct contacts into more than 260 expressions of interest and 145 returners doing casual and temporary work.</w:t>
            </w:r>
          </w:p>
          <w:p>
            <w:pPr>
              <w:pStyle w:val="ListParagraph"/>
              <w:numPr>
                <w:ilvl w:val="0"/>
                <w:numId w:val="2"/>
              </w:numPr>
              <w:spacing w:after="120" w:line="252" w:lineRule="auto"/>
              <w:jc w:val="both"/>
            </w:pPr>
            <w:r>
              <w:rPr>
                <w:b/>
                <w:bCs/>
                <w:sz w:val="22"/>
                <w:szCs w:val="22"/>
              </w:rPr>
              <w:t xml:space="preserve">Pension rules, not programmes, are the binding constraint on retiree return.</w:t>
            </w:r>
            <w:r>
              <w:rPr>
                <w:sz w:val="22"/>
                <w:szCs w:val="22"/>
              </w:rPr>
              <w:t xml:space="preserve"> In the final year of North Carolina's decade of full pension-salary compatibility, just over a third of retirement-eligible teachers were returning to full-time work, some 3 500 over the decade in all, and returns collapsed when the window closed; Georgia's stacked eligibility screens leave about 350 retirees in full-time posts in any given year, under 1% of a workforce facing some 6 000 vacant or under-certified posts, and 45% of districts told the state auditor the screens had blocked a hire they wanted to make.</w:t>
            </w:r>
          </w:p>
          <w:p>
            <w:pPr>
              <w:pStyle w:val="ListParagraph"/>
              <w:numPr>
                <w:ilvl w:val="0"/>
                <w:numId w:val="2"/>
              </w:numPr>
              <w:spacing w:after="120" w:line="252" w:lineRule="auto"/>
              <w:jc w:val="both"/>
            </w:pPr>
            <w:r>
              <w:rPr>
                <w:b/>
                <w:bCs/>
                <w:sz w:val="22"/>
                <w:szCs w:val="22"/>
              </w:rPr>
              <w:t xml:space="preserve">Former teachers matter for what they bring back.</w:t>
            </w:r>
            <w:r>
              <w:rPr>
                <w:sz w:val="22"/>
                <w:szCs w:val="22"/>
              </w:rPr>
              <w:t xml:space="preserve"> They return with formed classroom craft, subject and curriculum knowledge and the capacity to mentor colleagues, and the measured reserves are mostly of working age, not retired. Their experience overlaps directly with the veteran capacity that systems struggle to replace.</w:t>
            </w:r>
          </w:p>
          <w:p>
            <w:pPr>
              <w:pStyle w:val="ListParagraph"/>
              <w:numPr>
                <w:ilvl w:val="0"/>
                <w:numId w:val="2"/>
              </w:numPr>
              <w:spacing w:after="120" w:line="252" w:lineRule="auto"/>
              <w:jc w:val="both"/>
            </w:pPr>
            <w:r>
              <w:rPr>
                <w:b/>
                <w:bCs/>
                <w:sz w:val="22"/>
                <w:szCs w:val="22"/>
              </w:rPr>
              <w:t xml:space="preserve">Re-entry is a modest but real margin of supply.</w:t>
            </w:r>
            <w:r>
              <w:rPr>
                <w:sz w:val="22"/>
                <w:szCs w:val="22"/>
              </w:rPr>
              <w:t xml:space="preserve"> Returners already supply about one third of entrants in England and accounted for 37-49% of new hires in United States data reported in 2016, yet no verified programme has come close to closing a national shortage, and reserve arithmetic describes a pool, not a plausible flow.</w:t>
            </w:r>
          </w:p>
          <w:p>
            <w:pPr>
              <w:pStyle w:val="ListParagraph"/>
              <w:numPr>
                <w:ilvl w:val="0"/>
                <w:numId w:val="2"/>
              </w:numPr>
              <w:spacing w:after="120" w:line="252" w:lineRule="auto"/>
              <w:jc w:val="both"/>
            </w:pPr>
            <w:r>
              <w:rPr>
                <w:b/>
                <w:bCs/>
                <w:sz w:val="22"/>
                <w:szCs w:val="22"/>
              </w:rPr>
              <w:t xml:space="preserve">At comparable money, preventing an exit is far easier than reversing one.</w:t>
            </w:r>
            <w:r>
              <w:rPr>
                <w:sz w:val="22"/>
                <w:szCs w:val="22"/>
              </w:rPr>
              <w:t xml:space="preserve"> Portugal ran both margins side by side and drew 63 accepted returnees against roughly 2 200 teachers paid to postpone retirement.</w:t>
            </w:r>
          </w:p>
          <w:p>
            <w:pPr>
              <w:pStyle w:val="ListParagraph"/>
              <w:numPr>
                <w:ilvl w:val="0"/>
                <w:numId w:val="2"/>
              </w:numPr>
              <w:spacing w:after="120" w:line="252" w:lineRule="auto"/>
              <w:jc w:val="both"/>
            </w:pPr>
            <w:r>
              <w:rPr>
                <w:b/>
                <w:bCs/>
                <w:sz w:val="22"/>
                <w:szCs w:val="22"/>
              </w:rPr>
              <w:t xml:space="preserve">The cheapest effective instrument is the employer's own records.</w:t>
            </w:r>
            <w:r>
              <w:rPr>
                <w:sz w:val="22"/>
                <w:szCs w:val="22"/>
              </w:rPr>
              <w:t xml:space="preserve"> Direct outreach to known former staff, with accreditation, approvals and background checks bundled into one supported contact, produced 145 verified returns in New South Wales at near-zero marginal cost; Vienna and Salzburg wrote to their retirees on the same logic, though neither published a return count. And returning retirees tend to go back to their former schools.</w:t>
            </w:r>
          </w:p>
          <w:p>
            <w:pPr>
              <w:pStyle w:val="ListParagraph"/>
              <w:numPr>
                <w:ilvl w:val="0"/>
                <w:numId w:val="2"/>
              </w:numPr>
              <w:spacing w:after="120" w:line="252" w:lineRule="auto"/>
              <w:jc w:val="both"/>
            </w:pPr>
            <w:r>
              <w:rPr>
                <w:b/>
                <w:bCs/>
                <w:sz w:val="22"/>
                <w:szCs w:val="22"/>
              </w:rPr>
              <w:t xml:space="preserve">Part-time and flexible posts are the actual price of return.</w:t>
            </w:r>
            <w:r>
              <w:rPr>
                <w:sz w:val="22"/>
                <w:szCs w:val="22"/>
              </w:rPr>
              <w:t xml:space="preserve"> Career breakers, the most return-committed segment of England's leavers, came back at double the rate of other groups and wanted part-time work that schools rarely advertise; offers that assume a full classroom load on unchanged conditions misread the population.</w:t>
            </w:r>
          </w:p>
          <w:p>
            <w:pPr>
              <w:pStyle w:val="ListParagraph"/>
              <w:numPr>
                <w:ilvl w:val="0"/>
                <w:numId w:val="2"/>
              </w:numPr>
              <w:spacing w:after="120" w:line="252" w:lineRule="auto"/>
              <w:jc w:val="both"/>
            </w:pPr>
            <w:r>
              <w:rPr>
                <w:b/>
                <w:bCs/>
                <w:sz w:val="22"/>
                <w:szCs w:val="22"/>
              </w:rPr>
              <w:t xml:space="preserve">Retirees' craft has rigorous support in tutoring roles, but not in mentoring ones.</w:t>
            </w:r>
            <w:r>
              <w:rPr>
                <w:sz w:val="22"/>
                <w:szCs w:val="22"/>
              </w:rPr>
              <w:t xml:space="preserve"> Retired and substitute teachers reproduced a large mathematics tutoring effect (+0.34) in a randomised trial, and older volunteer tutors improved early reading, while the one randomised test of retirees as new-teacher mentors found no significant effects.</w:t>
            </w:r>
          </w:p>
          <w:p>
            <w:pPr>
              <w:pStyle w:val="ListParagraph"/>
              <w:numPr>
                <w:ilvl w:val="0"/>
                <w:numId w:val="2"/>
              </w:numPr>
              <w:spacing w:after="120" w:line="252" w:lineRule="auto"/>
              <w:jc w:val="both"/>
            </w:pPr>
            <w:r>
              <w:rPr>
                <w:b/>
                <w:bCs/>
                <w:sz w:val="22"/>
                <w:szCs w:val="22"/>
              </w:rPr>
              <w:t xml:space="preserve">Only measures that legislated their own accounting have known results.</w:t>
            </w:r>
            <w:r>
              <w:rPr>
                <w:sz w:val="22"/>
                <w:szCs w:val="22"/>
              </w:rPr>
              <w:t xml:space="preserve"> This paper compiles the programmes and rules through which some twenty education systems have sought to bring former teachers back, with take-up verified against audits, annual reports and parliamentary records rather than launch announcements. For nine of the measures compiled here, set out in Table 4.1, no take-up or outcome figure has been published: six have never published one, and three stopped after an initial count. Georgia, Austria and New Mexico, by contrast, wrote an audit or a recurring count into the measure itself; every new re-entry measure should carry a sunset date, a mandated uptake count and an arm's-length review.</w:t>
            </w:r>
          </w:p>
        </w:tc>
      </w:tr>
    </w:tbl>
    <w:p>
      <w:pPr>
        <w:pStyle w:val="Heading1"/>
        <w:pageBreakBefore/>
      </w:pPr>
      <w:r>
        <w:t xml:space="preserve">1. Introduction</w:t>
      </w:r>
    </w:p>
    <w:p>
      <w:pPr>
        <w:pStyle w:val="Heading2"/>
      </w:pPr>
      <w:r>
        <w:t xml:space="preserve">1.1. Why former teachers merit their own analysis</w:t>
      </w:r>
    </w:p>
    <w:p>
      <w:pPr>
        <w:spacing w:after="160" w:line="264" w:lineRule="auto"/>
        <w:jc w:val="both"/>
      </w:pPr>
      <w:r>
        <w:t xml:space="preserve">Every education system employs fewer teachers than it has trained. The difference is not a statistical residual but a population of people, and a distinctive one. It includes the head of mathematics who retired last summer, the primary teacher who stepped out of paid work to raise children, and the science graduate who taught for six years before moving into industry. This paper is about that population, what it carries, and what governments have actually done to bring parts of it back into schools.</w:t>
      </w:r>
    </w:p>
    <w:p>
      <w:pPr>
        <w:spacing w:after="160" w:line="264" w:lineRule="auto"/>
        <w:jc w:val="both"/>
      </w:pPr>
      <w:r>
        <w:t xml:space="preserve">Former teachers are worth studying in their own right because of what they bring to the profession. Alone among the recruitment pools open to education systems, they arrive with classroom craft already formed, with subject and curriculum knowledge acquired in service, and often with the accumulated judgement of a long career. The overlap with veteran teachers is substantial. Retirees are veterans by definition, and even among teachers who resign rather than retire, two out of three had more than five years of experience across the seven OECD countries with seniority data (OECD, 2025a). That experience matches a documented scarcity inside schools. On average across OECD countries, only 22% of novice teachers have an assigned mentor (OECD, 2019), and some systems now explicitly consider bringing former teachers back into mentoring rather than classroom roles (OECD, 2024).</w:t>
      </w:r>
    </w:p>
    <w:p>
      <w:pPr>
        <w:spacing w:after="160" w:line="264" w:lineRule="auto"/>
        <w:jc w:val="both"/>
      </w:pPr>
      <w:r>
        <w:t xml:space="preserve">None of this is a new discovery. </w:t>
      </w:r>
      <w:r>
        <w:rPr>
          <w:i/>
          <w:iCs/>
        </w:rPr>
        <w:t xml:space="preserve">Teachers Matter</w:t>
      </w:r>
      <w:r>
        <w:t xml:space="preserve"> identified former teachers as "a potentially important source of recruits" two decades ago, noting that returners made up about 25% of the flow of full-time teachers into the United Kingdom's maintained schools sector in 2000/01, and more than 50% of the part-time inflow, and recommending that systems maintain contact with former teachers and offer targeted retraining (OECD, 2005). The </w:t>
      </w:r>
      <w:r>
        <w:rPr>
          <w:i/>
          <w:iCs/>
        </w:rPr>
        <w:t xml:space="preserve">Education Policy Outlook 2024</w:t>
      </w:r>
      <w:r>
        <w:t xml:space="preserve"> returns to the same ground, listing support for re-entry among four levers for expanding teacher supply and observing that returners bring diverse career experiences that can enhance teaching quality and drive innovation (OECD, 2024). What the flagship literature has not yet provided is a systematic account of the programmes and rules through which countries act on this advice. That is the gap this paper addresses.</w:t>
      </w:r>
    </w:p>
    <w:p>
      <w:pPr>
        <w:pStyle w:val="Heading2"/>
      </w:pPr>
      <w:r>
        <w:t xml:space="preserve">1.2. Shortages and the realistic size of the re-entry margin</w:t>
      </w:r>
    </w:p>
    <w:p>
      <w:pPr>
        <w:spacing w:after="160" w:line="264" w:lineRule="auto"/>
        <w:jc w:val="both"/>
      </w:pPr>
      <w:r>
        <w:t xml:space="preserve">The policy context is a broad tightening of teacher supply. On average across OECD countries, the share of students in schools whose principals reported that instruction is hindered by a lack of teaching staff rose from 26% in 2018 to 47% in 2022, an increase of 21 percentage points (OECD, 2023; OECD, 2025a). Globally, UNESCO estimates that 44 million additional primary and secondary teachers will be needed by 2030 (UNESCO and International Task Force on Teachers for Education 2030, 2024). The outflow feeding these gaps is steady rather than dramatic. Across 19 OECD countries and economies with data, 6.5% of fully qualified teachers left the profession in 2022/23 (OECD, 2025a), and 17% of teachers who are not near retirement intend to leave within five years (OECD, 2025b). Chapter 2 examines these figures, and their national variation, in detail.</w:t>
      </w:r>
    </w:p>
    <w:p>
      <w:pPr>
        <w:spacing w:after="160" w:line="264" w:lineRule="auto"/>
        <w:jc w:val="both"/>
      </w:pPr>
      <w:r>
        <w:t xml:space="preserve">Re-entry is one part of the response to that tightening, and a modest part. That deserves saying plainly at the outset, because reserve arithmetic can suggest otherwise. Dutch register data identify over 62 000 qualified people outside education, against a combined shortage of 13 600 full-time equivalents, and the researchers note that if 22% of this reserve returned full time the shortage would disappear (Somers, Groot and van Merode, 2024b). The calculation is useful context, not a promise. No system has come close to activation on that scale. In the United States, only around a third of teachers who leave ever return (Sutcher, Darling-Hammond and Carver-Thomas, 2016), and the share appears to have fallen to roughly one fifth for the 2000-2019 cohort (Moyer, 2022). The Dutch education agency itself, publishing its own reserve estimates, warns that the reserve "does not, however, solve the teacher shortage" (DUO, 2026).</w:t>
      </w:r>
    </w:p>
    <w:p>
      <w:pPr>
        <w:spacing w:after="160" w:line="264" w:lineRule="auto"/>
        <w:jc w:val="both"/>
      </w:pPr>
      <w:r>
        <w:t xml:space="preserve">Return is nonetheless a routine supply channel, one that most systems already depend on without managing it deliberately. Re-entrants accounted for 37-49% of new hires in United States data reported in 2016 (Sutcher, Darling-Hammond and Carver-Thomas, 2016), and in England returners increased in 2024/25 while every other category of entrant fell (Department for Education, 2025a). The case for policy attention rests on this combination. The channel is real, it flows anyway, and what governments do shapes who comes back and on what terms, even though it will never close shortages on its own.</w:t>
      </w:r>
    </w:p>
    <w:p>
      <w:pPr>
        <w:pStyle w:val="Heading2"/>
      </w:pPr>
      <w:r>
        <w:t xml:space="preserve">1.3. Who former teachers are</w:t>
      </w:r>
    </w:p>
    <w:p>
      <w:pPr>
        <w:spacing w:after="160" w:line="264" w:lineRule="auto"/>
        <w:jc w:val="both"/>
      </w:pPr>
      <w:r>
        <w:t xml:space="preserve">The population behind the aggregate numbers falls into three broad groups, which recur throughout this paper because programmes and rules tend to address them separately (Table 1.1).</w:t>
      </w:r>
    </w:p>
    <w:p>
      <w:pPr>
        <w:spacing w:after="160" w:line="264" w:lineRule="auto"/>
        <w:jc w:val="both"/>
      </w:pPr>
      <w:r>
        <w:t xml:space="preserve">The first group is retirees. They are numerous, visible in pension registers, and the default target where no other data exist. Germany counted some 457 000 retired teachers in 2021, of whom just over 5 000 were teaching (Deutsches Schulportal, 2023); in France, Greece, Ireland and Israel, retirements account for more than half of all departures from the profession (OECD, 2025a). The second group comprises qualified people currently outside the labour market, much of it reflecting care work at home. In the classic United States cohort evidence, about two-thirds of exiting female teachers left the labour force entirely rather than switching employer, with the arrival of a child the single strongest exit determinant (Stinebrickner, 2002); in recent linked administrative data, about a fifth of leavers exit the labour force (Brummet et al., 2024). The third group is job switchers working in other sectors. They attract the most political attention but are the smallest destination in the best United States evidence, where fewer than a quarter of leavers take jobs outside education (Brummet et al., 2024); in the Netherlands, roughly a fifth of primary-qualified and a quarter of secondary-qualified people work in other sectors (Somers, Groot and van Merode, 2024b).</w:t>
      </w:r>
    </w:p>
    <w:p>
      <w:pPr>
        <w:keepNext/>
        <w:spacing w:after="120" w:before="200"/>
      </w:pPr>
      <w:r>
        <w:rPr>
          <w:b/>
          <w:bCs/>
          <w:color w:val="4E81BD"/>
          <w:sz w:val="23"/>
          <w:szCs w:val="23"/>
        </w:rPr>
        <w:t xml:space="preserve">Table 1.1. Three populations of former teachers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51"/>
        <w:gridCol w:w="2732"/>
        <w:gridCol w:w="4589"/>
      </w:tblGrid>
      <w:tr>
        <w:trPr>
          <w:tblHeader/>
        </w:trPr>
        <w:tc>
          <w:tcPr>
            <w:tcW w:type="dxa" w:w="175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Group</w:t>
            </w:r>
          </w:p>
        </w:tc>
        <w:tc>
          <w:tcPr>
            <w:tcW w:type="dxa" w:w="273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Typical route out of the classroom</w:t>
            </w:r>
          </w:p>
        </w:tc>
        <w:tc>
          <w:tcPr>
            <w:tcW w:type="dxa" w:w="458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Indicative evidence</w:t>
            </w:r>
          </w:p>
        </w:tc>
      </w:tr>
      <w:tr>
        <w:trPr>
          <w:tblHeader w:val="false"/>
        </w:trPr>
        <w:tc>
          <w:tcPr>
            <w:tcW w:type="dxa" w:w="17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Retirees</w:t>
            </w:r>
          </w:p>
        </w:tc>
        <w:tc>
          <w:tcPr>
            <w:tcW w:type="dxa" w:w="27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Statutory or early retirement at the end of a full career</w:t>
            </w:r>
          </w:p>
        </w:tc>
        <w:tc>
          <w:tcPr>
            <w:tcW w:type="dxa" w:w="45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457 000 retired teachers in Germany (2021); retirements exceed half of departures in France, Greece, Ireland and Israel (Deutsches Schulportal, 2023; OECD, 2025a)</w:t>
            </w:r>
          </w:p>
        </w:tc>
      </w:tr>
      <w:tr>
        <w:trPr>
          <w:tblHeader w:val="false"/>
        </w:trPr>
        <w:tc>
          <w:tcPr>
            <w:tcW w:type="dxa" w:w="17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Qualified people outside the labour market</w:t>
            </w:r>
          </w:p>
        </w:tc>
        <w:tc>
          <w:tcPr>
            <w:tcW w:type="dxa" w:w="27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Exit from paid work, frequently linked to childbirth and care responsibilities</w:t>
            </w:r>
          </w:p>
        </w:tc>
        <w:tc>
          <w:tcPr>
            <w:tcW w:type="dxa" w:w="45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About two-thirds of exiting female teachers in the NLS-72 cohort left the labour force entirely; about a fifth of recent leavers exit the labour force (Stinebrickner, 2002; Brummet et al., 2024)</w:t>
            </w:r>
          </w:p>
        </w:tc>
      </w:tr>
      <w:tr>
        <w:trPr>
          <w:tblHeader w:val="false"/>
        </w:trPr>
        <w:tc>
          <w:tcPr>
            <w:tcW w:type="dxa" w:w="175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Job switchers in other sectors</w:t>
            </w:r>
          </w:p>
        </w:tc>
        <w:tc>
          <w:tcPr>
            <w:tcW w:type="dxa" w:w="273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Move to another employer or occupation</w:t>
            </w:r>
          </w:p>
        </w:tc>
        <w:tc>
          <w:tcPr>
            <w:tcW w:type="dxa" w:w="45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Fewer than a quarter of United States leavers work outside education; about a fifth to a quarter of Dutch qualification holders work in other sectors (Brummet et al., 2024; Somers, Groot and van Merode, 2024b)</w:t>
            </w:r>
          </w:p>
        </w:tc>
      </w:tr>
    </w:tbl>
    <w:p>
      <w:pPr>
        <w:spacing w:after="120"/>
      </w:pPr>
    </w:p>
    <w:p>
      <w:pPr>
        <w:spacing w:after="60"/>
        <w:jc w:val="left"/>
      </w:pPr>
      <w:r>
        <w:rPr>
          <w:sz w:val="18"/>
          <w:szCs w:val="18"/>
        </w:rPr>
        <w:t xml:space="preserve">Note: The groups overlap over time; a leaver may pass through more than one state before returning or retiring definitively.</w:t>
      </w:r>
    </w:p>
    <w:p>
      <w:pPr>
        <w:spacing w:after="60"/>
        <w:jc w:val="left"/>
      </w:pPr>
      <w:r>
        <w:rPr>
          <w:sz w:val="18"/>
          <w:szCs w:val="18"/>
        </w:rPr>
        <w:t xml:space="preserve">Source: Authors' typology; indicative evidence from Deutsches Schulportal (2023); OECD (2025a); Stinebrickner (2002); Brummet et al. (2024); Somers, Groot and van Merode (2024b).</w:t>
      </w:r>
    </w:p>
    <w:p>
      <w:pPr>
        <w:pStyle w:val="Heading2"/>
      </w:pPr>
      <w:r>
        <w:t xml:space="preserve">1.4. What this paper does and adds</w:t>
      </w:r>
    </w:p>
    <w:p>
      <w:pPr>
        <w:spacing w:after="160" w:line="264" w:lineRule="auto"/>
        <w:jc w:val="both"/>
      </w:pPr>
      <w:r>
        <w:t xml:space="preserve">This is a policy paper. Its contribution is to compile, verify and make salient what many countries have actually tried in order to bring former teachers back, from re-engagement campaigns and refresher courses to pension re-employment rules and salary top-ups for postponing retirement. The compilation matters because the field is documented unevenly. Announcements are plentiful; accounts of results are rare, and the OECD itself observes that many systems lack accurate data on the number, characteristics and motivations of potential returnees (OECD, 2024). Wherever possible, this paper therefore reports programme take-up as verified against official sources, including annual reports, audit institutions and parliamentary records, rather than against launch publicity.</w:t>
      </w:r>
    </w:p>
    <w:p>
      <w:pPr>
        <w:spacing w:after="160" w:line="264" w:lineRule="auto"/>
        <w:jc w:val="both"/>
      </w:pPr>
      <w:r>
        <w:t xml:space="preserve">The remainder of the paper proceeds as follows. Chapter 2 reviews the evidence on why teachers leave, where they go and what they say would bring them back, treating former teachers as a population rather than a statistic. Chapter 3 is the core of the paper. It presents the international experience with re-entry policy, organised into programmes that actively recruit and support returners (Section 3.1) and the regulatory settings, above all pension and re-employment rules, that permit or obstruct return (Section 3.2). Chapter 4 draws out lessons and recommendations for policymakers.</w:t>
      </w:r>
    </w:p>
    <w:p>
      <w:pPr>
        <w:pStyle w:val="Heading1"/>
        <w:pageBreakBefore/>
      </w:pPr>
      <w:r>
        <w:t xml:space="preserve">2. Why teachers leave, where they go, and what would bring them back</w:t>
      </w:r>
    </w:p>
    <w:p>
      <w:pPr>
        <w:spacing w:after="160" w:line="264" w:lineRule="auto"/>
        <w:jc w:val="both"/>
      </w:pPr>
      <w:r>
        <w:t xml:space="preserve">Most teachers who leave the profession do so voluntarily and at working age, and most end up employed close to education on pay no better than they earned in the classroom. That single regularity, documented below across administrative registers, panel surveys and follow-up studies, defines the population that re-entry programmes address. This chapter establishes who leaves and how much of the outflow is chosen rather than imposed, why teachers go, where they end up and what they retain, and what they themselves say would bring them back. The programme evidence in Chapter 3 can only be judged against this baseline.</w:t>
      </w:r>
    </w:p>
    <w:p>
      <w:pPr>
        <w:pStyle w:val="Heading2"/>
      </w:pPr>
      <w:r>
        <w:t xml:space="preserve">2.1. Who leaves, when in their career, and how far exit is a choice</w:t>
      </w:r>
    </w:p>
    <w:p>
      <w:pPr>
        <w:spacing w:after="160" w:line="264" w:lineRule="auto"/>
        <w:jc w:val="both"/>
      </w:pPr>
      <w:r>
        <w:t xml:space="preserve">Attrition in most OECD systems is moderate in level and dominated by resignation rather than retirement. In 2022/23, across the 19 OECD countries and economies with comparable data, 6.5% of fully qualified teachers from pre-primary to upper secondary education left the profession on average; France, Greece, Ireland and Israel sat under 3%, Denmark, Estonia and Lithuania above 10%, and rates were somewhat higher in pre-primary education (7.3%) than in primary (5.8%) or secondary (5.9%) (OECD, 2025a). An average of 51% of these leavers resigned rather than retired. That split varies sharply by system, and it matters for everything that follows in this paper. In Denmark, Estonia and England (United Kingdom), more than 80% of leavers resigned, so the departing cohort there is overwhelmingly of working age; retirement was instead the majority exit route in Argentina (primary education), France, the French Community of Belgium, Greece, Ireland and Israel, where the exit margin is largely actuarial (OECD, 2025a). Resignation is also an early-career phenomenon. In the seven OECD countries reporting seniority, the share of resigning teachers with under five years of experience ran from 16% to 68%, one in three on average, and the same source notes that most countries maintain routes back for teachers who wish to return (OECD, 2025a).</w:t>
      </w:r>
    </w:p>
    <w:p>
      <w:pPr>
        <w:spacing w:after="160" w:line="264" w:lineRule="auto"/>
        <w:jc w:val="both"/>
      </w:pPr>
      <w:r>
        <w:t xml:space="preserve">England illustrates what these rates look like inside one workforce over time. Around 10% of teachers left the state-funded sector in most years through to the mid-2010s, a stability that sits oddly against survey headlines about intended departures (Worth, Bamford and Durbin, 2015). In 2023/24, 40 800 full-time-equivalent teachers left, 9.0% of the qualified workforce, while 41 700 entered in 2024/25, of whom 17 000 (41%) were newly qualified; the Department for Education notes that returners rose while every other entrant category fell (Department for Education, 2025a). Exit and re-entry are thus not exceptional events in England but large, recurring flows through a workforce of roughly 450 000 full-time equivalents. The United States supplies the second well-documented case. National turnover between 2020/21 and 2021/22 reached 15.1% of public school teachers, split between 8.0% who moved schools and 7.1% who left teaching, and roughly three in four departures were voluntary and not retirements (Tan et al., 2026). The leaving is heavily concentrated rather than general. Uncertified teachers turned over at 20.1% against 14.7% for the certified, and rates ran 35-37% higher where low-income students and students of colour are most concentrated (Tan et al., 2026). Over the long run the American level is flat. Pooled labour-force data for 2015-2024 put annual occupational leaving at 7.6%; the pandemic lifted the rate from 6.5% in 2019 to 9.8% in 2020, but by 2023/24 it was back at 7.7%, within a series that has stayed broadly stable across four decades (Aldeman and Yi, 2025).</w:t>
      </w:r>
    </w:p>
    <w:p>
      <w:pPr>
        <w:spacing w:after="160" w:line="264" w:lineRule="auto"/>
        <w:jc w:val="both"/>
      </w:pPr>
      <w:r>
        <w:t xml:space="preserve">Set against comparable occupations, teaching does not haemorrhage staff. A decade of United States labour-force data showed 7.7% of teachers leaving their profession each year, compared with 6.1% of nurses, 8.0% of accountants and 14.9% of social workers, and the differences shrink further when the comparison is restricted to public school teachers; early-career teachers behaved much like early-career workers elsewhere (Harris and Adams, 2007). The same ordering holds in 2015-2024 data (Aldeman and Yi, 2025). What is genuinely distinctive about teaching is the timing of retirement. Teachers retire considerably earlier than other professionals (Harris and Adams, 2007), a pattern consistent with pension systems whose wealth accrual spikes in the mid-to-late fifties and then flattens or turns negative, pulling teachers out at ages that would be mid-career in most graduate occupations (Costrell and Podgursky, 2009). A material share of the "former teacher" population is therefore not disaffected but pension-timed, a distinction that Section 2.4 shows carries directly into what would bring each group back.</w:t>
      </w:r>
    </w:p>
    <w:p>
      <w:pPr>
        <w:pStyle w:val="Heading2"/>
      </w:pPr>
      <w:r>
        <w:t xml:space="preserve">2.2. Why they leave</w:t>
      </w:r>
    </w:p>
    <w:p>
      <w:pPr>
        <w:spacing w:after="160" w:line="264" w:lineRule="auto"/>
        <w:jc w:val="both"/>
      </w:pPr>
      <w:r>
        <w:t xml:space="preserve">Workload, working conditions and school leadership outweigh salary as exit motives in almost every system with direct evidence; the United States is the documented exception. Meta-analytic work sorts the correlates of turnover into three clusters, namely personal characteristics, school-level factors (above all leadership and working conditions) and external policy factors such as accountability regimes and pay structures (Nguyen et al., 2020). Within that frame, the Australian record is the most complete. Twenty-two waves of household panel data tie exits to high stress, heavy workloads and poor work-life balance rather than to pay (Cuervo and Vera-Toscano, 2025), and when 256 former Australian teachers who left between 2016 and 2022 were asked directly, school leadership issues came first (17.7%), followed by workload (16.6%), the workplace environment (9.7%) and student behaviour (7.4%), with reasons typically multiple and the decision protracted (Brandenburg et al., 2024).</w:t>
      </w:r>
    </w:p>
    <w:p>
      <w:pPr>
        <w:spacing w:after="160" w:line="264" w:lineRule="auto"/>
        <w:jc w:val="both"/>
      </w:pPr>
      <w:r>
        <w:t xml:space="preserve">The stress channel is visible OECD-wide. TALIS 2018 found 18% of lower secondary teachers experiencing a lot of stress in their work, and such teachers were about twice as likely to expect to stop teaching within five years (OECD, 2020). TALIS 2024 puts high stress at 19% of teachers and adds a refinement, in that stress from student discipline, intimidation and verbal abuse predicts the wish to leave more strongly than workload, accountability or reform pressures do; overall, 17% of non-retiring teachers intend to leave within five years (OECD, 2025b). Intentions overstate behaviour several-fold and should be read as a dissatisfaction gauge, not a forecast (Nguyen et al., 2025). The workload behind the survey answers is nonetheless concrete. English teachers and leaders averaged a 48.1-hour working week in 2024, down from 49.4 hours the year before, and 43% judged their workload unacceptable, an improvement on 57% in 2022 but still more than two in five (Department for Education, 2025b).</w:t>
      </w:r>
    </w:p>
    <w:p>
      <w:pPr>
        <w:spacing w:after="160" w:line="264" w:lineRule="auto"/>
        <w:jc w:val="both"/>
      </w:pPr>
      <w:r>
        <w:t xml:space="preserve">In the United States, by contrast, pay is a first-order correlate of leaving. An extra USD 1 000 of cost-of-living-adjusted salary goes with turnover 0.34 percentage points lower, and predicted turnover drops by roughly 40% between salaries of USD 50 000 and USD 70 000; gradients on perceived leadership effectiveness (turnover of 18.7% against 9.0% between the lowest and highest ratings) and job satisfaction (22.0% against 8.0%) are steeper still (Tan et al., 2026). The estimates rest on a linear probability model and carry no causal identification, but stated preferences point the same way, since a third of Michigan's certified non-teachers ranked better pay among their top three reasons for staying out of the classroom (Lindsay, Gnedko-Berry and Wan, 2021). The revealed preferences of European and Australian leavers run opposite. English leavers took wages roughly 10% below those of comparable stayers, gaining shorter hours and greater satisfaction (Worth, Bamford and Durbin, 2015), and Australian leavers earned 6.2% less per week one year after exit yet reported markedly higher job satisfaction (Cuervo and Vera-Toscano, 2025). The evidence is genuinely split, but the line runs between the United States and most other systems, not through every system.</w:t>
      </w:r>
    </w:p>
    <w:p>
      <w:pPr>
        <w:spacing w:after="160" w:line="264" w:lineRule="auto"/>
        <w:jc w:val="both"/>
      </w:pPr>
      <w:r>
        <w:t xml:space="preserve">Life events form the third stream of exits, and historically the largest for women. The classic hazard analysis of certified female teachers from the 1972 United States high-school cohort found the arrival of a newborn child to be the dominant exit factor, well ahead of pay or alternative jobs; as Chapter 1 noted, about 67% of the exiting women left the labour force altogether rather than changing occupation (Stinebrickner, 2002). Parental leave and female labour supply have changed profoundly since, so the share should be read as historical, but the mechanism has not disappeared. It survives in the career-break returners documented below, for whom the exit was never a verdict on teaching.</w:t>
      </w:r>
    </w:p>
    <w:p>
      <w:pPr>
        <w:pStyle w:val="Heading2"/>
      </w:pPr>
      <w:r>
        <w:t xml:space="preserve">2.3. Where they go, and who former teachers are</w:t>
      </w:r>
    </w:p>
    <w:p>
      <w:pPr>
        <w:spacing w:after="160" w:line="264" w:lineRule="auto"/>
        <w:jc w:val="both"/>
      </w:pPr>
      <w:r>
        <w:t xml:space="preserve">Contemporary leavers overwhelmingly remain employed, most of them close to education, and few improve their pay. In Australia, within a year of exit, 22.1% of former teachers hold non-teaching jobs inside school education and another 21.8% are found in the wider education, health care and social assistance category, while 28.0% are out of the labour force and 13.9% have retired; job satisfaction sits 0.13 standard deviations higher one year after leaving and 0.19 higher after three, alongside gains in leisure satisfaction, even though weekly wages are 6.2% lower at one year and 9.4% lower at three (Cuervo and Vera-Toscano, 2025). In England over half of leavers other than retirees stay within the education sector, at the roughly 10% wage discount already noted (Worth, Bamford and Durbin, 2015). United States tax records tell the same story, with more than half of leavers remaining in education broadly defined, about a fifth exiting the labour force, fewer than a quarter taking jobs outside education, and mean earnings still slightly below pre-exit levels eight years on (Brummet et al., 2024); Georgia administrative data had earlier shown that very few leavers move to jobs paying more than teaching did (Scafidi, Sjoquist and Stinebrickner, 2006). The old pattern in which most exiting women left employment entirely (Stinebrickner, 2002) has given way to one in which the typical former teacher is working, reachable and not priced out of return.</w:t>
      </w:r>
    </w:p>
    <w:p>
      <w:pPr>
        <w:spacing w:after="160" w:line="264" w:lineRule="auto"/>
        <w:jc w:val="both"/>
      </w:pPr>
      <w:r>
        <w:t xml:space="preserve">How many such people exist can be counted wherever qualification registers can be linked to employment records, and the counts are consistently large (Table 2.1). The Dutch registers identify just over 62 000 people who qualified as teachers after 2000 and are not working in education – employed in another sector, unemployed or on benefits, or in further study – whereas the combined shortage stood at 13 600 full-time-equivalent posts at the end of 2023, a ratio of roughly 4.5 to 1, and the count excludes anyone who qualified before 2000, so it understates the true pool (Somers, Groot and van Merode, 2024b). Chapter 1 reported the researchers' arithmetic on this reserve and the reasons to treat it as an upper bound; the stricter Dutch measure shows why. Counting only those at least two years out and excluding retirees, the education executive agency finds 34 000 former primary and 64 000 former secondary or vocational teachers, 22% and 43% of the respective qualified stocks, and both pools shrank by 17-18% between 2015 and 2024, the agency repeating the warning, quoted in Chapter 1, that the reserve does not solve the teacher shortage (DUO, 2026). England's qualification and pension databases recorded, in 2018, some 260 000 working-age holders of qualified teacher status who had previously served and another 106 000 who had never served (Worth, 2023). Australia's registration data show about 19% of 553 300 registered teachers outside schools in 2023 (AITSL, 2025). Michigan's certification registry, examined in Box 2.1, counts 43% of the certified stock outside the public school classroom. Where no register exists the pool is invisible, and the debate contracts to the only group anyone can see. Germany publishes no count of qualified non-teachers; what can be seen is 457 000 retired teachers as of 2021, of whom just over 5 000 were back teaching in 2022/23, below 1% of a workforce of some 800 000 (Deutsches Schulportal, 2023).</w:t>
      </w:r>
    </w:p>
    <w:p>
      <w:pPr>
        <w:keepNext/>
        <w:spacing w:after="120" w:before="200"/>
      </w:pPr>
      <w:r>
        <w:rPr>
          <w:b/>
          <w:bCs/>
          <w:color w:val="4E81BD"/>
          <w:sz w:val="23"/>
          <w:szCs w:val="23"/>
        </w:rPr>
        <w:t xml:space="preserve">Table 2.1. Former teachers counted, where they can be counted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21"/>
        <w:gridCol w:w="2219"/>
        <w:gridCol w:w="2971"/>
        <w:gridCol w:w="2461"/>
      </w:tblGrid>
      <w:tr>
        <w:trPr>
          <w:tblHeader/>
        </w:trPr>
        <w:tc>
          <w:tcPr>
            <w:tcW w:type="dxa" w:w="142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System</w:t>
            </w:r>
          </w:p>
        </w:tc>
        <w:tc>
          <w:tcPr>
            <w:tcW w:type="dxa" w:w="221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Measurement basis</w:t>
            </w:r>
          </w:p>
        </w:tc>
        <w:tc>
          <w:tcPr>
            <w:tcW w:type="dxa" w:w="297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Pool</w:t>
            </w:r>
          </w:p>
        </w:tc>
        <w:tc>
          <w:tcPr>
            <w:tcW w:type="dxa" w:w="246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Set against</w:t>
            </w:r>
          </w:p>
        </w:tc>
      </w:tr>
      <w:tr>
        <w:trPr>
          <w:tblHeader w:val="false"/>
        </w:trPr>
        <w:tc>
          <w:tcPr>
            <w:tcW w:type="dxa" w:w="14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Netherlands</w:t>
            </w:r>
          </w:p>
        </w:tc>
        <w:tc>
          <w:tcPr>
            <w:tcW w:type="dxa" w:w="22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Population registers, post-2000 qualifiers</w:t>
            </w:r>
          </w:p>
        </w:tc>
        <w:tc>
          <w:tcPr>
            <w:tcW w:type="dxa" w:w="29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Just over 62 000 qualified persons not working in education (2024): in another sector, unemployed or on benefits, or in further study</w:t>
            </w:r>
          </w:p>
        </w:tc>
        <w:tc>
          <w:tcPr>
            <w:tcW w:type="dxa" w:w="24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13 600 FTE combined shortage at end-2023, a ratio of ~4.5 to 1</w:t>
            </w:r>
          </w:p>
        </w:tc>
      </w:tr>
      <w:tr>
        <w:trPr>
          <w:tblHeader w:val="false"/>
        </w:trPr>
        <w:tc>
          <w:tcPr>
            <w:tcW w:type="dxa" w:w="14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Netherlands, stricter</w:t>
            </w:r>
          </w:p>
        </w:tc>
        <w:tc>
          <w:tcPr>
            <w:tcW w:type="dxa" w:w="22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DUO registers; at least two years out, retirees excluded</w:t>
            </w:r>
          </w:p>
        </w:tc>
        <w:tc>
          <w:tcPr>
            <w:tcW w:type="dxa" w:w="29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34 000 (primary) and 64 000 (secondary/vocational), 1 October 2024</w:t>
            </w:r>
          </w:p>
        </w:tc>
        <w:tc>
          <w:tcPr>
            <w:tcW w:type="dxa" w:w="24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22% and 43% of the qualified stocks; both down 17-18% since 2015</w:t>
            </w:r>
          </w:p>
        </w:tc>
      </w:tr>
      <w:tr>
        <w:trPr>
          <w:tblHeader w:val="false"/>
        </w:trPr>
        <w:tc>
          <w:tcPr>
            <w:tcW w:type="dxa" w:w="14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England (United Kingdom)</w:t>
            </w:r>
          </w:p>
        </w:tc>
        <w:tc>
          <w:tcPr>
            <w:tcW w:type="dxa" w:w="22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Qualification and pension databases</w:t>
            </w:r>
          </w:p>
        </w:tc>
        <w:tc>
          <w:tcPr>
            <w:tcW w:type="dxa" w:w="29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260 000 working-age qualified teachers out of service plus 106 000 never in service (2018)</w:t>
            </w:r>
          </w:p>
        </w:tc>
        <w:tc>
          <w:tcPr>
            <w:tcW w:type="dxa" w:w="24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Qualified state-school workforce of roughly 450 000 FTE</w:t>
            </w:r>
          </w:p>
        </w:tc>
      </w:tr>
      <w:tr>
        <w:trPr>
          <w:tblHeader w:val="false"/>
        </w:trPr>
        <w:tc>
          <w:tcPr>
            <w:tcW w:type="dxa" w:w="14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Michigan (United States)</w:t>
            </w:r>
          </w:p>
        </w:tc>
        <w:tc>
          <w:tcPr>
            <w:tcW w:type="dxa" w:w="22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Certification files linked to public school employment records</w:t>
            </w:r>
          </w:p>
        </w:tc>
        <w:tc>
          <w:tcPr>
            <w:tcW w:type="dxa" w:w="29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61 252 certified teachers not teaching in public schools (2017/18)</w:t>
            </w:r>
          </w:p>
        </w:tc>
        <w:tc>
          <w:tcPr>
            <w:tcW w:type="dxa" w:w="24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43% of the certified stock; 44-49% hold expired certificates</w:t>
            </w:r>
          </w:p>
        </w:tc>
      </w:tr>
      <w:tr>
        <w:trPr>
          <w:tblHeader w:val="false"/>
        </w:trPr>
        <w:tc>
          <w:tcPr>
            <w:tcW w:type="dxa" w:w="14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Australia</w:t>
            </w:r>
          </w:p>
        </w:tc>
        <w:tc>
          <w:tcPr>
            <w:tcW w:type="dxa" w:w="22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 registration data</w:t>
            </w:r>
          </w:p>
        </w:tc>
        <w:tc>
          <w:tcPr>
            <w:tcW w:type="dxa" w:w="29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~19% of 553 300 registered teachers not working in schools (2023)</w:t>
            </w:r>
          </w:p>
        </w:tc>
        <w:tc>
          <w:tcPr>
            <w:tcW w:type="dxa" w:w="24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Over half say they would consider returning</w:t>
            </w:r>
          </w:p>
        </w:tc>
      </w:tr>
      <w:tr>
        <w:trPr>
          <w:tblHeader w:val="false"/>
        </w:trPr>
        <w:tc>
          <w:tcPr>
            <w:tcW w:type="dxa" w:w="14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Germany</w:t>
            </w:r>
          </w:p>
        </w:tc>
        <w:tc>
          <w:tcPr>
            <w:tcW w:type="dxa" w:w="221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No register of qualified non-teachers</w:t>
            </w:r>
          </w:p>
        </w:tc>
        <w:tc>
          <w:tcPr>
            <w:tcW w:type="dxa" w:w="297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457 000 retired teachers (2021); just over 5 000 teaching (2022/23)</w:t>
            </w:r>
          </w:p>
        </w:tc>
        <w:tc>
          <w:tcPr>
            <w:tcW w:type="dxa" w:w="24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Under 1% of a workforce of roughly 800 000</w:t>
            </w:r>
          </w:p>
        </w:tc>
      </w:tr>
    </w:tbl>
    <w:p>
      <w:pPr>
        <w:spacing w:after="120"/>
      </w:pPr>
    </w:p>
    <w:p>
      <w:pPr>
        <w:spacing w:after="60"/>
        <w:jc w:val="left"/>
      </w:pPr>
      <w:r>
        <w:rPr>
          <w:sz w:val="18"/>
          <w:szCs w:val="18"/>
        </w:rPr>
        <w:t xml:space="preserve">Note: Definitions differ across rows and none measures available supply. The Dutch headline count omits pre-2000 qualifiers; the English stocks include people decades from a classroom; nearly half of Michigan's pool holds expired certificates; the German figure covers retirees only.</w:t>
      </w:r>
    </w:p>
    <w:p>
      <w:pPr>
        <w:spacing w:after="60"/>
        <w:jc w:val="left"/>
      </w:pPr>
      <w:r>
        <w:rPr>
          <w:sz w:val="18"/>
          <w:szCs w:val="18"/>
        </w:rPr>
        <w:t xml:space="preserve">Source: Somers, Groot and van Merode (2024b); DUO (2026); Worth (2023); Lindsay, Gnedko-Berry and Wan (2021); AITSL (2025); Deutsches Schulportal (2023).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2.1. What a certification registry reveals: Michigan (United States)</w:t>
            </w:r>
          </w:p>
          <w:p>
            <w:pPr>
              <w:spacing w:after="120" w:line="252" w:lineRule="auto"/>
              <w:jc w:val="both"/>
            </w:pPr>
            <w:r>
              <w:rPr>
                <w:sz w:val="22"/>
                <w:szCs w:val="22"/>
              </w:rPr>
              <w:t xml:space="preserve">Because Michigan can link every teaching certificate to public school employment records, it offers the most complete anatomy of a former-teacher population anywhere in the evidence base. Of 141 810 certified teachers, 61 252 held no teaching post in a Michigan public school in 2017/18. This is emphatically a working-age group, as 93% were younger than 60 and 76% were women; seven in ten had been out of public school classrooms for the full preceding five years, and 57% held elementary certificates.</w:t>
            </w:r>
          </w:p>
          <w:p>
            <w:pPr>
              <w:spacing w:after="120" w:line="252" w:lineRule="auto"/>
              <w:jc w:val="both"/>
            </w:pPr>
            <w:r>
              <w:rPr>
                <w:sz w:val="22"/>
                <w:szCs w:val="22"/>
              </w:rPr>
              <w:t xml:space="preserve">The registry also quantifies the discounts that separate a gross stock from a usable reserve. Some 44-49% of the non-teaching group carried expired certificates, compared with 6% of serving teachers, and about one in six may have lived more than 20 miles beyond the state line. The certified pool nonetheless exceeded the state's listed endorsement-area vacancies by a factor of more than 20. A survey layered on the registry, fielded over December 2019 and January 2020, drew responses from 17 551 of 59 433 people contacted, a 30% rate, and the report itself warns that respondents are not representative of the population; among them, 33% counted higher pay in their top three reasons for not teaching, 22% had become administrators or instructional leaders, and around one in ten had been unable to find a full-time post.</w:t>
            </w:r>
          </w:p>
          <w:p>
            <w:pPr>
              <w:spacing w:after="40"/>
            </w:pPr>
            <w:r>
              <w:rPr>
                <w:sz w:val="18"/>
                <w:szCs w:val="18"/>
              </w:rPr>
              <w:t xml:space="preserve">Source: Lindsay, Gnedko-Berry and Wan (2021), </w:t>
            </w:r>
            <w:r>
              <w:rPr>
                <w:i/>
                <w:iCs/>
                <w:sz w:val="18"/>
                <w:szCs w:val="18"/>
              </w:rPr>
              <w:t xml:space="preserve">Michigan Teachers Who Are Not Teaching: Who Are They, and What Would Motivate Them to Teach?</w:t>
            </w:r>
            <w:r>
              <w:rPr>
                <w:sz w:val="18"/>
                <w:szCs w:val="18"/>
              </w:rPr>
              <w:t xml:space="preserve"> (REL 2021-076).</w:t>
            </w:r>
          </w:p>
        </w:tc>
      </w:tr>
    </w:tbl>
    <w:p>
      <w:pPr>
        <w:spacing w:after="160"/>
      </w:pPr>
    </w:p>
    <w:p>
      <w:pPr>
        <w:spacing w:after="160" w:line="264" w:lineRule="auto"/>
        <w:jc w:val="both"/>
      </w:pPr>
      <w:r>
        <w:t xml:space="preserve">Two features of this population deserve emphasis, because they explain why this paper treats former teachers as worth attention in their own right. The first is composition. The measured reserves are mostly of working age, not retired, as Michigan's 93% under 60, England's 260 000 working-age leavers and the OECD-wide finding that half of departures are resignations all attest; retirees form a distinct, older segment that is large where the register countries cannot see past it, as in Germany and Austria. The second is what these people carry. Former teachers hold full qualifications, classroom craft and, in the case of mid- and late-career leavers, precisely the accumulated experience and subject knowledge that systems struggle to replace, together with whatever they have learned outside schools since. The OECD has recognised this for two decades; the returner inflow that </w:t>
      </w:r>
      <w:r>
        <w:rPr>
          <w:i/>
          <w:iCs/>
        </w:rPr>
        <w:t xml:space="preserve">Teachers Matter</w:t>
      </w:r>
      <w:r>
        <w:t xml:space="preserve"> documented for 2000/01, cited in Chapter 1, was a population in which women outnumbered men and 40% were over 45 (OECD, 2005). There is also an obvious complementarity with the mentoring gap documented in Chapter 1 (OECD, 2019); experienced returners and recent retirees are a natural source of that capacity, a role several of the programmes in Chapter 3 exploit.</w:t>
      </w:r>
    </w:p>
    <w:p>
      <w:pPr>
        <w:pStyle w:val="Heading2"/>
      </w:pPr>
      <w:r>
        <w:t xml:space="preserve">2.4. What former teachers say would bring them back</w:t>
      </w:r>
    </w:p>
    <w:p>
      <w:pPr>
        <w:spacing w:after="160" w:line="264" w:lineRule="auto"/>
        <w:jc w:val="both"/>
      </w:pPr>
      <w:r>
        <w:t xml:space="preserve">Asked directly, former teachers name a redesigned job, not a better-paid version of the old one, in every surveyed system except the United States. Inactive Dutch teachers score several aspects of their present jobs above what active teachers report for theirs, and the levers they say would draw them back are less work pressure, more say over working hours and more autonomy, with salary one consideration among several rather than the decisive one (Somers et al., 2024a). In Australia, over half of registered teachers not working in schools would consider a return "under the right circumstances" and 5% are actively seeking one; more than half of the non-teaching respondents not on leave had been gone three years or longer yet kept their registration current (AITSL, 2025). England's evidence identifies which leavers mean it. Among the returner types identified around the national pilot, "career breakers" came back at roughly double the rate of the other groups and were drawn above all to part-time posts, which schools seldom advertise; under a third of supported returners had any classroom experience in the previous decade, so a credible refresher route is a second binding requirement (Worth and Sharp, 2018; Buchanan et al., 2018). The Michigan survey is the American counterpoint, and it leads with money. Higher salary topped the list of return incentives, followed by letting retirees keep their retirement benefits, improved benefits and student-loan forgiveness (Lindsay, Gnedko-Berry and Wan, 2021). The 30% response rate cautions against precision, but the ordering matches the exit evidence in Section 2.2, in that people tend to name the lever whose absence pushed them out.</w:t>
      </w:r>
    </w:p>
    <w:p>
      <w:pPr>
        <w:spacing w:after="160" w:line="264" w:lineRule="auto"/>
        <w:jc w:val="both"/>
      </w:pPr>
      <w:r>
        <w:t xml:space="preserve">The weight of money in the return decision should therefore be read off the exit record, not assumed. Where leavers accepted a pay cut on the way out, as in England and Australia, and report higher satisfaction on lower earnings, an offer that merely restores or slightly betters teaching pay misreads the original decision, which was about hours, pressure and control over time. Where pay drove the exit, as the United States evidence suggests, financial offers are at least aimed at the right margin.</w:t>
      </w:r>
    </w:p>
    <w:p>
      <w:pPr>
        <w:spacing w:after="160" w:line="264" w:lineRule="auto"/>
        <w:jc w:val="both"/>
      </w:pPr>
      <w:r>
        <w:t xml:space="preserve">Motivation also differs systematically by why and when the person left. Career breakers, the descendants of Stinebrickner's life-event leavers, never rejected teaching; they need part-time and flexible posts, timing aligned with the school hiring cycle and a route to refresh confidence, and they return at the highest observed rates when those are present (Worth and Sharp, 2018; Buchanan et al., 2018). Dissatisfied leavers are the hardest segment, because exit made them measurably happier (Cuervo and Vera-Toscano, 2025); for them the stated price of return is the removal of the conditions that pushed them out, and nothing cheaper. Retirees respond to a third set of levers entirely, led by pension neutrality. North Carolina's 1999-2009 window let retirees combine a full salary with a full pension; by 2009 just over 35% of the teachers who had been retirement-eligible the previous year were returning to full-time work, disproportionately in high-need schools, and returns collapsed when the window closed that autumn (Jarrold-Grapes and Mahler, 2024; see Box 3.5 in Chapter 3). Michigan's respondents rank keeping retirement benefits among the top return incentives (Lindsay, Gnedko-Berry and Wan, 2021), and the finding that teachers value deferred pension wealth at roughly 20 cents per present-value dollar (Fitzpatrick, 2015) implies that simple, current, salient money beats actuarial adjustments for this group. Austrian interview evidence adds that retiree returns are biographically rooted decisions shaped by individual, family, school-related and system-level factors more than by pay, and that keeping professional contact with the former school is what converts availability into an actual return (Resch, 2025a).</w:t>
      </w:r>
    </w:p>
    <w:p>
      <w:pPr>
        <w:spacing w:after="160" w:line="264" w:lineRule="auto"/>
        <w:jc w:val="both"/>
      </w:pPr>
      <w:r>
        <w:t xml:space="preserve">What genuinely tips the decision is thus narrower than the willingness surveys imply, and different from what policymakers tend to assume. Stated willingness is broad, with roughly half of United States leavers historically saying they would consider returning (NCES data as reported in Lindsay, Gnedko-Berry and Wan, 2021) and over half of Australia's non-teaching registrants saying the same (AITSL, 2025), yet realised return runs far behind. Between a quarter and a half of earlier American leaver cohorts eventually came back, and only around one fifth of the 2000-2019 exit cohort has done so (Grissom and Reininger, 2012; Moyer, 2022). The causal literature, meanwhile, prices the wrong margin for present purposes. The most systematic synthesis of why people enter and exit teaching finds financial incentives consistently effective for retention in quasi-experimental studies, supportive school leadership the most important non-pay factor, and professional development tested as a lever in only one such study (Sims, Lowes-Belk and Routledge, 2026). The parallel systematic review of causal interventions in education and healthcare employment reaches the same shape of conclusion, with financial incentives dominating an evidence base drawn overwhelmingly from the United States (72 of roughly 86 studies), and with pension enhancements that reward later retirement reducing retirement rates by between 4 and 10 percentage points (Fleck et al., 2025). Neither synthesis contains a quasi-experimental estimate of a re-entry incentive for former teachers. That absence is itself a finding of this paper. Every elasticity policymakers currently borrow when designing return schemes was estimated on people who had not yet left, whereas the people the schemes target have already revealed, once, that the job on offer was not worth staying for. The programmes reviewed in Chapter 3 should be read with that asymmetry in view.</w:t>
      </w:r>
    </w:p>
    <w:p>
      <w:pPr>
        <w:pStyle w:val="Heading1"/>
        <w:pageBreakBefore/>
      </w:pPr>
      <w:r>
        <w:t xml:space="preserve">3. Re-entry policies in practice: international experience</w:t>
      </w:r>
    </w:p>
    <w:p>
      <w:pPr>
        <w:spacing w:after="160" w:line="264" w:lineRule="auto"/>
        <w:jc w:val="both"/>
      </w:pPr>
      <w:r>
        <w:t xml:space="preserve">No published funnel converts interest into teachers at the rate its designers assumed, though the leak sits at a different point in each. Where interest was gathered broadly and unconditionally, the fall-off runs to an order of magnitude or more: England's pilot turned 5 729 registrations into 354 supported returners and 27 permanent posts in its target subjects. Where the eligible pool was narrow and pre-qualified, nearly everyone who came forward was taken, 145 placements from over 260 expressions of interest in New South Wales and 63 acceptances from 79-80 applications in Portugal, but too few came forward to fill the places on offer, Portugal's 63 against a quota of 200. Awareness is nowhere the scarce resource; conversion is scarce at one end of that range and a willing pool at the other. The second finding is that the systems that know what their measures achieved are those that mandated follow-up, an audit, an evaluation or a recurring administrative count, when the policy was created. This chapter assembles, case by case, the record behind those two findings: what education systems have actually done to bring former teachers back, and what verifiably happened next. Re-entry initiatives are usually announced loudly and accounted for quietly, if at all; press releases record targets, while the eventual numbers, where they exist at all, sit in audit reports, parliamentary answers, pension-board presentations and programme evaluations that rarely travel across borders. The chapter therefore holds every case to the same discipline. Take-up and outcome figures are drawn from official or audited sources rather than launch announcements, each verdict is stated plainly, and where a programme published no results, the paper says so explicitly.</w:t>
      </w:r>
    </w:p>
    <w:p>
      <w:pPr>
        <w:spacing w:after="160" w:line="264" w:lineRule="auto"/>
        <w:jc w:val="both"/>
      </w:pPr>
      <w:r>
        <w:t xml:space="preserve">The cases were selected from a wider compilation of re-entry policies across some twenty education systems, filtered for verifiability. They fall into two categories that structure the chapter. Section 3.1 covers programmes, meaning deliberate initiatives with a budget, a target group and an offer, organised into four design families that recur across countries: outreach and return support aimed at working-age leavers; campaigns to bring retirees back into classroom teaching; schemes that deploy retired educators in tutoring and mentoring roles short of full re-employment; and standing reserve models. Section 3.2 covers regulation, the rules that determine whether return is legally and financially viable at all, chiefly the compatibility of pensions with re-employment, but also licensure and re-accreditation requirements and career-break re-entry rights. The distinction matters because the two levers behave differently. Programmes generate interest but convert little of it; regulation, and pension regulation above all, turns out to be the binding constraint, and the best-documented cases show take-up moving with how restrictive the rules are. Both points return in Chapter 4.</w:t>
      </w:r>
    </w:p>
    <w:p>
      <w:pPr>
        <w:pStyle w:val="Heading2"/>
      </w:pPr>
      <w:r>
        <w:t xml:space="preserve">3.1. Programmes</w:t>
      </w:r>
    </w:p>
    <w:p>
      <w:pPr>
        <w:spacing w:after="160" w:line="264" w:lineRule="auto"/>
        <w:jc w:val="both"/>
      </w:pPr>
      <w:r>
        <w:t xml:space="preserve">The programme evidence falls into the four design families identified above. Table 3.1 assembles the verified recruitment funnels for the cases with published figures; the gaps in that table are as informative as the numbers.</w:t>
      </w:r>
    </w:p>
    <w:p>
      <w:pPr>
        <w:keepNext/>
        <w:spacing w:after="120" w:before="200"/>
      </w:pPr>
      <w:r>
        <w:rPr>
          <w:b/>
          <w:bCs/>
          <w:color w:val="4E81BD"/>
          <w:sz w:val="23"/>
          <w:szCs w:val="23"/>
        </w:rPr>
        <w:t xml:space="preserve">Table 3.1. Verified recruitment funnels of re-entry programmes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796"/>
        <w:gridCol w:w="1260"/>
        <w:gridCol w:w="886"/>
        <w:gridCol w:w="1774"/>
        <w:gridCol w:w="1724"/>
      </w:tblGrid>
      <w:tr>
        <w:trPr>
          <w:tblHeader/>
        </w:trPr>
        <w:tc>
          <w:tcPr>
            <w:tcW w:type="dxa" w:w="163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Programme (system, period)</w:t>
            </w:r>
          </w:p>
        </w:tc>
        <w:tc>
          <w:tcPr>
            <w:tcW w:type="dxa" w:w="179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Offer to returners</w:t>
            </w:r>
          </w:p>
        </w:tc>
        <w:tc>
          <w:tcPr>
            <w:tcW w:type="dxa" w:w="126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Reached / registered</w:t>
            </w:r>
          </w:p>
        </w:tc>
        <w:tc>
          <w:tcPr>
            <w:tcW w:type="dxa" w:w="88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Applied or expressed interest</w:t>
            </w:r>
          </w:p>
        </w:tc>
        <w:tc>
          <w:tcPr>
            <w:tcW w:type="dxa" w:w="177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Verified returns</w:t>
            </w:r>
          </w:p>
        </w:tc>
        <w:tc>
          <w:tcPr>
            <w:tcW w:type="dxa" w:w="17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Source basis</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 to Teaching pilot (England, 2015-16)</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Free refresher training, subject knowledge, mentoring; no payments</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5 729 registrations</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426 recruited; 412 started training; 354 supported</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27 in permanent EBacc secondary posts by Nov. 2016 (62 in any state post)</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Independent evaluation (Buchanan et al., 2018)</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 to Teaching Adviser service (England, 2019/20-2020/21 costed phase)</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Free one-to-one adviser support</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over 600 given an adviser (three subjects)</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128 recorded subject returns over two years</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Parliamentary answer (UK Parliament, 2022)</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Re-Engage (Australia, NSW, from Nov. 2023)</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Direct outreach; streamlined accreditation and checks; casual and temporary roles</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over 1 500 contacted</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over 260 expressed interest</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145 placed, working across over 600 schools (about 60% from retirement)</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Ministerial release; Annual Report (NSW Government, 2024; NSW Department of Education, 2024)</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Herintreders subsidy (Netherlands, 2017-20)</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EUR 2 500 to the school board per returner for induction and support</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budget for 500 returners</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over 100 in 2018; nearly 200 cumulative by late 2019; final count never published</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Regulation; budget answers (Ministerie van OCW, 2017; Tweede Kamer, 2019)</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Regional retiree outreach (Austria, 2018/19-2023/24)</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Direct letters and principal outreach; pension kept, new contract</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Vienna wrote to 300 retirees; Salzburg contacted all retirees to age 67</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1 062 retirees resumed teaching over six school years (audited)</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Court of Audit (Rechnungshof, 2025)</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Silver Age plans (China, 2018-)</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CNY 20 000 per year plus housing and travel; full pension kept</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target corps of about 120 000 by around 2026</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over 20 000 retired school teachers recruited by mid-2023; 7 000 sought in the 2025 round</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Official notices and Q&amp;A (State Council, 2023; MOE, 2025)</w:t>
            </w:r>
          </w:p>
        </w:tc>
      </w:tr>
      <w:tr>
        <w:trPr>
          <w:tblHeader w:val="false"/>
        </w:trPr>
        <w:tc>
          <w:tcPr>
            <w:tcW w:type="dxa" w:w="163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 return, Art. 5 of Decree-Law 51/2024 (Portugal, 2024/25)</w:t>
            </w:r>
          </w:p>
        </w:tc>
        <w:tc>
          <w:tcPr>
            <w:tcW w:type="dxa" w:w="17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Fixed-term contract; full pension plus first-step-indexed pay pro-rated by hours</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quota of 200 places</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79-80 applied</w:t>
            </w:r>
          </w:p>
        </w:tc>
        <w:tc>
          <w:tcPr>
            <w:tcW w:type="dxa" w:w="177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63 accepted; 55 placed in the first wave, January 2025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Legal text; press verification (Diário de Notícias, 2024; Renascença, 2024)</w:t>
            </w:r>
          </w:p>
        </w:tc>
      </w:tr>
      <w:tr>
        <w:trPr>
          <w:tblHeader w:val="false"/>
        </w:trPr>
        <w:tc>
          <w:tcPr>
            <w:tcW w:type="dxa" w:w="163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Returning to teaching package (New Zealand, ongoing)</w:t>
            </w:r>
          </w:p>
        </w:tc>
        <w:tc>
          <w:tcPr>
            <w:tcW w:type="dxa" w:w="179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Re-certification waiver, fees paid, relief-teaching on-ramp</w:t>
            </w:r>
          </w:p>
        </w:tc>
        <w:tc>
          <w:tcPr>
            <w:tcW w:type="dxa" w:w="126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w:t>
            </w:r>
          </w:p>
        </w:tc>
        <w:tc>
          <w:tcPr>
            <w:tcW w:type="dxa" w:w="8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w:t>
            </w:r>
          </w:p>
        </w:tc>
        <w:tc>
          <w:tcPr>
            <w:tcW w:type="dxa" w:w="177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 uptake figures published</w:t>
            </w:r>
          </w:p>
        </w:tc>
        <w:tc>
          <w:tcPr>
            <w:tcW w:type="dxa" w:w="17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Ministry pages (New Zealand Ministry of Education, 2026)</w:t>
            </w:r>
          </w:p>
        </w:tc>
      </w:tr>
    </w:tbl>
    <w:p>
      <w:pPr>
        <w:spacing w:after="120"/>
      </w:pPr>
    </w:p>
    <w:p>
      <w:pPr>
        <w:spacing w:after="60"/>
        <w:jc w:val="left"/>
      </w:pPr>
      <w:r>
        <w:rPr>
          <w:sz w:val="18"/>
          <w:szCs w:val="18"/>
        </w:rPr>
        <w:t xml:space="preserve">Note: ".." denotes not published or not applicable. Funnel stages are not strictly comparable across programmes; each row uses the stages the responsible authority itself reported. The Portuguese Article 6 supplement, which paid teachers to postpone retirement rather than to return, drew roughly 2 200 users in 2025/26 and is discussed in the text as a contrast case.</w:t>
      </w:r>
    </w:p>
    <w:p>
      <w:pPr>
        <w:spacing w:after="60"/>
        <w:jc w:val="left"/>
      </w:pPr>
      <w:r>
        <w:rPr>
          <w:sz w:val="18"/>
          <w:szCs w:val="18"/>
        </w:rPr>
        <w:t xml:space="preserve">Source: Authors' compilation from the sources cited in the final column; full references at the end of the paper.</w:t>
      </w:r>
    </w:p>
    <w:p>
      <w:pPr>
        <w:pStyle w:val="Heading3"/>
      </w:pPr>
      <w:r>
        <w:t xml:space="preserve">Outreach and return support for working-age leavers</w:t>
      </w:r>
    </w:p>
    <w:p>
      <w:pPr>
        <w:spacing w:after="160" w:line="264" w:lineRule="auto"/>
        <w:jc w:val="both"/>
      </w:pPr>
      <w:r>
        <w:t xml:space="preserve">England has run the most instructive sequence of programmes for working-age leavers, because it is one of the very few systems that evaluated one independently and published the unflattering result. The Return to Teaching pilot of 2015-16 offered free refresher and subject-knowledge training, classroom experience and mentoring, with no payments to returners, through grant-funded school partnerships targeting shortage secondary subjects. Interest far outran expectations, with 5 729 registrations against a forecast of about 3 000, yet only 354 returners were ultimately supported and just 27 were in permanent posts in the targeted subjects by the November 2016 workforce census. The evaluation put the cost per additional returner at around GBP 37 400 once deadweight is netted out, similar to or higher than training a new teacher, and concluded the pilot was unlikely to represent good value for money (Buchanan et al., 2018). Box 3.1 dissects the funnel and the design faults behind it, which were largely faults of timing and of job supply rather than of demand.</w:t>
      </w:r>
    </w:p>
    <w:p>
      <w:pPr>
        <w:spacing w:after="160" w:line="264" w:lineRule="auto"/>
        <w:jc w:val="both"/>
      </w:pPr>
      <w:r>
        <w:t xml:space="preserve">What followed shows a system learning by iteration. The successor Returners Engagement Programme, announced within months of the pilot's end, required schools to tie every funded place to an actual vacancy, directly correcting the pilot's mismatch between support and hiring (NCTL, 2017). The Department for Education then settled on a permanent, low-cost instrument, the Return to Teaching Adviser service, which gives former teachers free one-to-one guidance from a named adviser on applications, re-familiarisation and vacancies. While restricted to mathematics, physics and languages, the service cost roughly GBP 361 000 in 2019/20 and GBP 326 000 in 2020/21 and recorded 128 subject returns over the two years, only 23 of them in physics, out of more than 600 former teachers given an adviser (UK Parliament, 2022; Walker, 2022). The implied cost per recorded returner, around GBP 5 400, is a fraction of the pilot's, though with no evaluation the share who would have returned anyway is unknown. From autumn 2022 the service's remit widened to every secondary subject, and by 2023 to primary as well, and it operates against a large spontaneous flow, since around 17 000 teachers return to English state schools each year, about one-third of all entrants (Department for Education, 2023). In July 2026 the government reported more returners than at any point in a decade, without attributing the rise to any returner-specific scheme (UK Parliament, 2026).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3.1. England's Return to Teaching pilot: the funnel that set the benchmark</w:t>
            </w:r>
          </w:p>
          <w:p>
            <w:pPr>
              <w:spacing w:after="120" w:line="252" w:lineRule="auto"/>
              <w:jc w:val="both"/>
            </w:pPr>
            <w:r>
              <w:rPr>
                <w:sz w:val="22"/>
                <w:szCs w:val="22"/>
              </w:rPr>
              <w:t xml:space="preserve">The 2015-16 pilot remains the only national re-entry programme anywhere with a full independent evaluation, including a cost per additional returner, and its funnel has become the reference point for the field. Registrations of interest reached 5 729, nearly double the target. Of these, 426 were recruited by the 60 school partnerships, 412 started training, 354 received support through 2016, and 27 held a permanent post in a targeted subject in a state secondary school by the November census, with a further 35 in other state-funded teaching posts. Around 4% of registrants who received no support also returned over the same period, a comparison the evaluators themselves caution overstates the programme's effect, since supported returners were more committed to begin with.</w:t>
            </w:r>
          </w:p>
          <w:p>
            <w:pPr>
              <w:spacing w:after="120" w:line="252" w:lineRule="auto"/>
              <w:jc w:val="both"/>
            </w:pPr>
            <w:r>
              <w:rPr>
                <w:sz w:val="22"/>
                <w:szCs w:val="22"/>
              </w:rPr>
              <w:t xml:space="preserve">The evaluation identified three design faults. Support was delivered out of phase with the school hiring cycle, so participants finished training when few posts were open. Partnerships were built around schools that had under-recruited rather than around confirmed vacancies. And the offer assumed full-time classroom return, whereas the segment most likely to come back, career breakers, returned at twice the rate of other groups and wanted part-time work that schools rarely advertised. Returners also retain worse than new entrants; 32% of England's 2011 returner cohort was out of service again four years later, and by the department's own analysis a returner's odds of leaving after the first year back run 60% above the average teacher's. At GBP 17 800 per supported returner employed, and roughly GBP 37 400 per additional returner in a targeted post once deadweight is assumed at one half, the pilot cost as much as, or more than, training a replacement. The verdict was negative, but the funnel it published, and the successor programme's rule that funded places be tied to actual vacancies, are the reason England's experience is more useful to other systems than most programmes that claimed success.</w:t>
            </w:r>
          </w:p>
          <w:p>
            <w:pPr>
              <w:spacing w:after="40"/>
            </w:pPr>
            <w:r>
              <w:rPr>
                <w:sz w:val="18"/>
                <w:szCs w:val="18"/>
              </w:rPr>
              <w:t xml:space="preserve">Source: Buchanan et al. (2018); Worth and Sharp (2018); NCTL (2017).</w:t>
            </w:r>
          </w:p>
        </w:tc>
      </w:tr>
    </w:tbl>
    <w:p>
      <w:pPr>
        <w:spacing w:after="160"/>
      </w:pPr>
    </w:p>
    <w:p>
      <w:pPr>
        <w:spacing w:after="160" w:line="264" w:lineRule="auto"/>
        <w:jc w:val="both"/>
      </w:pPr>
      <w:r>
        <w:t xml:space="preserve">New South Wales ran the outreach model in its purest form and, unusually, published its full funnel. From November 2023 the Department of Education used its own staffing records to contact directly more than 1 500 teachers who had resigned in the previous five years, coupling the approach with hands-on support to reactivate accreditation, approval to teach and background checks, and with placement into casual and temporary work. By May 2024, more than 260 had expressed interest and 145 had returned, working across more than 600 public schools, with about 60% coming back from retirement rather than from mid-career exits (NSW Government, 2024). The department's Annual Report confirmed the outcome in official reporting (NSW Department of Education, 2024). The pull factors were system-wide rather than programme-specific, above all the October 2023 pay settlement, and the campaign itself was cheap, essentially letters, phone calls and expedited paperwork. What happened after May 2024 is telling in a different way. The programme is absent from the following year's Annual Report and no figures have been published since May 2024; the standing returner web page channels former teachers into ordinary recruitment processes without mentioning the initiative by name (NSW Department of Education, 2025; NSW Department of Education, 2026). A verifiably productive campaign lapsed into business as usual without formal closure or evaluation.</w:t>
      </w:r>
    </w:p>
    <w:p>
      <w:pPr>
        <w:spacing w:after="160" w:line="264" w:lineRule="auto"/>
        <w:jc w:val="both"/>
      </w:pPr>
      <w:r>
        <w:t xml:space="preserve">New Zealand approached the same problem from the regulatory side, building a low-commitment on-ramp rather than a campaign. A registered teacher whose practising certificate has lapsed may teach up to 20 half-days of relief work per calendar year without renewing it, a standing statutory rule rather than a crisis measure (New Zealand Legislation, 2020). A returner with a relief-teaching offer is also exempted from the Teacher Education Refresh course normally required after five or more years out, completing instead a light-touch return-to-practice plan agreed with the principal; this waiver was repeatedly extended and has in effect been mainstreamed into the Teaching Council's registration policy, and practising-certificate fees are met by government until mid-2028 (New Zealand Ministry of Education, 2026; Teaching Council of Aotearoa New Zealand, 2026). Since October 2025 the Teacher Bonding Scheme has added a substantial financial incentive at the margin, up to NZD 40 000 over five years for teachers, including experienced returners, who take designated posts in hard-to-staff schools, capped at 185 places a year (New Zealand Government, 2025). The package is coherent as design, removing re-certification friction and reserving cash for the hardest-to-staff posts; but no uptake figures or evaluation of the return route have been published, so nothing can yet be said about whether it works.</w:t>
      </w:r>
    </w:p>
    <w:p>
      <w:pPr>
        <w:spacing w:after="160" w:line="264" w:lineRule="auto"/>
        <w:jc w:val="both"/>
      </w:pPr>
      <w:r>
        <w:t xml:space="preserve">The Netherlands is the sobering case for this family, because it measured its reserve more carefully than any other system and then attached only a small subsidy to the result. Box 3.2 presents the herintreders subsidy, a one-off EUR 2 500 payment to primary school boards for each returner they appointed, which was undersubscribed to the point that its budget ceilings were lowered mid-course, and its regional successors, which listed returner activation among fundable goals and largely failed to deliver it. Interest was abundant in all four systems; appointments depended on the hiring cycle, the availability of part-time and flexible posts, and the absorption capacity of schools, not on the size of the incentive.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3.2. The Netherlands: a EUR 2 500 subsidy beside a 31 000-strong reserve</w:t>
            </w:r>
          </w:p>
          <w:p>
            <w:pPr>
              <w:spacing w:after="120" w:line="252" w:lineRule="auto"/>
              <w:jc w:val="both"/>
            </w:pPr>
            <w:r>
              <w:rPr>
                <w:sz w:val="22"/>
                <w:szCs w:val="22"/>
              </w:rPr>
              <w:t xml:space="preserve">When the Ministry of Education, Culture and Science created the </w:t>
            </w:r>
            <w:r>
              <w:rPr>
                <w:i/>
                <w:iCs/>
                <w:sz w:val="22"/>
                <w:szCs w:val="22"/>
              </w:rPr>
              <w:t xml:space="preserve">Regeling tegemoetkoming herintreders primair onderwijs</w:t>
            </w:r>
            <w:r>
              <w:rPr>
                <w:sz w:val="22"/>
                <w:szCs w:val="22"/>
              </w:rPr>
              <w:t xml:space="preserve"> in 2017, its own explanatory note cited at least 31 000 qualified people outside primary teaching. The instrument attached to that estimate was modest by design. School boards, not teachers, received a one-off EUR 2 500 per returner appointed for at least six months after at least twelve months out of the classroom, to defray induction and guidance costs rather than to top up pay, and the total budget of EUR 1.25 million provided for 500 returners (Ministerie van OCW, 2017).</w:t>
            </w:r>
          </w:p>
          <w:p>
            <w:pPr>
              <w:spacing w:after="120" w:line="252" w:lineRule="auto"/>
              <w:jc w:val="both"/>
            </w:pPr>
            <w:r>
              <w:rPr>
                <w:sz w:val="22"/>
                <w:szCs w:val="22"/>
              </w:rPr>
              <w:t xml:space="preserve">Even that ambition went unmet. In 2018, the first full year, somewhat more than 100 grants were paid, and the cumulative count reported to parliament in late 2019 stood at close to 200 (Tweede Kamer, 2019). When the window was extended, the ministry cut the annual ceilings to a maximum of 120 grants for 2019 and 100 for 2020, on the stated ground that the money was not being used up (Ministerie van OCW, 2019a; Ministerie van OCW, 2019b). The regulation lapsed on 1 January 2022 with no published evaluation and no final count of grants, so the definitive uptake of the Netherlands' only dedicated returner subsidy is simply unknown. Returner activation then passed to the regional personnel-shortage schemes (RAP, around EUR 30 million across 71 regional partnerships in 2020-22), which required each region to run an information desk for prospective entrants and listed activating the silent reserve among fundable goals. The commissioned evaluation found that tailored support to returners was among the least-realised activities, and that several regions received more applications from side-entrants and returners than schools could place (De Jong et al., 2022). Demand-side interest, once again, was not the binding constraint; school-side absorption was.</w:t>
            </w:r>
          </w:p>
          <w:p>
            <w:pPr>
              <w:spacing w:after="40"/>
            </w:pPr>
            <w:r>
              <w:rPr>
                <w:sz w:val="18"/>
                <w:szCs w:val="18"/>
              </w:rPr>
              <w:t xml:space="preserve">Source: Ministerie van OCW (2017; 2019a; 2019b); Tweede Kamer (2019); De Jong et al. (2022).</w:t>
            </w:r>
          </w:p>
        </w:tc>
      </w:tr>
    </w:tbl>
    <w:p>
      <w:pPr>
        <w:spacing w:after="160"/>
      </w:pPr>
    </w:p>
    <w:p>
      <w:pPr>
        <w:pStyle w:val="Heading3"/>
      </w:pPr>
      <w:r>
        <w:t xml:space="preserve">Re-engaging retirees in classroom teaching</w:t>
      </w:r>
    </w:p>
    <w:p>
      <w:pPr>
        <w:spacing w:after="160" w:line="264" w:lineRule="auto"/>
        <w:jc w:val="both"/>
      </w:pPr>
      <w:r>
        <w:t xml:space="preserve">Where registers of working-age leavers do not exist, the visible reserve is the retired cohort, and a striking number of systems have converged on the same instrument, the direct letter from the education authority to its own recent retirees. Austria is the best-documented European example because its Court of Audit later counted the results. From late 2022 the regional education directorates courted retirees in earnest. Vienna wrote to 300 already-retired teachers and instructed principals to speak with staff approaching retirement; Salzburg contacted every retired teacher up to age 67 and offered transport passes and premium payments; Vorarlberg built a standing service point that sends re-entry information out together with retirement paperwork (APA/ORF, 2023). Box 3.3 sets out what this yielded and the pay rule that constrains it. The audited total counts every retiree who resumed teaching over the six school years to 2023/24, 1 062 in a workforce of roughly 123 000, and the series begins in 2018/19, four years before the letters went out; its peak years, 2021/22 and 2022/23, largely precede the outreach, and the decline thereafter led the auditors to stress the measure's temporary character. The figure therefore bounds the whole retiree channel in a mid-sized European system rather than measuring the yield of any campaign (Rechnungshof, 2025).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3.3. Austria: retiree outreach with an audited answer</w:t>
            </w:r>
          </w:p>
          <w:p>
            <w:pPr>
              <w:spacing w:after="120" w:line="252" w:lineRule="auto"/>
              <w:jc w:val="both"/>
            </w:pPr>
            <w:r>
              <w:rPr>
                <w:sz w:val="22"/>
                <w:szCs w:val="22"/>
              </w:rPr>
              <w:t xml:space="preserve">Austria's re-engagement of retired teachers was never a single programme. It was a set of ad hoc measures by the nine regional education directorates during the baby-boom retirement wave, and it would be as unverifiable as most such efforts had the Rechnungshof, the Court of Audit, not counted the outcome. Between school years 2018/19 and 2023/24, 1 062 retired teachers resumed teaching across Austria, 227 of them in Upper Austria and 49 in Tyrol, with the highest intakes in 2021/22 and 2022/23 and a decline thereafter that led the auditors to stress the measure's temporary character (Rechnungshof, 2025). Against roughly 123 000 serving teachers, six school years of retiree re-employment, only the last two of them accompanied by the active recruitment that began in December 2022, amounted to less than 1% of the workforce.</w:t>
            </w:r>
          </w:p>
          <w:p>
            <w:pPr>
              <w:spacing w:after="120" w:line="252" w:lineRule="auto"/>
              <w:jc w:val="both"/>
            </w:pPr>
            <w:r>
              <w:rPr>
                <w:sz w:val="22"/>
                <w:szCs w:val="22"/>
              </w:rPr>
              <w:t xml:space="preserve">The design carried a financial disincentive that the audit context makes visible. Returning retirees keep their full pension and take a new contract, but the law bars any period for which a pension is already drawn from counting as prior service. For teachers who retired as civil servants, the bulk of the retiring cohort, this puts the returning veteran on the entry step of the salary scale; those who retired from contract-scheme employment retain their service crediting and come back at roughly their old pay (BMBWF, 2023). Qualitative evidence points the same way as the aggregate numbers. Episodic interviews with nine retired Austrian teachers, of whom six had returned and three had not, portray the return decision as a biographical process, one in which individual circumstances, family, the relationship with the former school and system rules all weigh in, and in which an ongoing professional tie to the old school does more to ease return than pay does (Resch, 2025a; Resch, 2025b).</w:t>
            </w:r>
          </w:p>
          <w:p>
            <w:pPr>
              <w:spacing w:after="40"/>
            </w:pPr>
            <w:r>
              <w:rPr>
                <w:sz w:val="18"/>
                <w:szCs w:val="18"/>
              </w:rPr>
              <w:t xml:space="preserve">Source: Rechnungshof (2025); APA/ORF (2023); BMBWF (2023); Resch (2025a; 2025b).</w:t>
            </w:r>
          </w:p>
        </w:tc>
      </w:tr>
    </w:tbl>
    <w:p>
      <w:pPr>
        <w:spacing w:after="160"/>
      </w:pPr>
    </w:p>
    <w:p>
      <w:pPr>
        <w:spacing w:after="160" w:line="264" w:lineRule="auto"/>
        <w:jc w:val="both"/>
      </w:pPr>
      <w:r>
        <w:t xml:space="preserve">Germany replicated the Austrian pattern at Länder scale, with the same arithmetic. By 2023, 13 of the 16 Länder were actively recruiting pensioned teachers, typically by lifting or raising additional-earnings limits, offering salary supplements of around 10% where pension caps bind, and allowing flexible hours; in 2022/23 Hesse sent letters to roughly 7 000 of its retired teachers, and its staffing strategy bundles the re-hiring of pensioners with service extensions and part-time top-ups, a package the ministry credits with filling around 550 posts in total (Deutsches Schulportal, 2023; Hessisches Ministerium für Kultus, Bildung und Chancen, 2024). Reactivated retirees nonetheless numbered a few hundred per Land, over 5 000 nationwide, which is under 1% of a workforce of roughly 800 000 (Deutsches Schulportal, 2023). Outreach on this scale still moved well under 1% of the workforce.</w:t>
      </w:r>
    </w:p>
    <w:p>
      <w:pPr>
        <w:spacing w:after="160" w:line="264" w:lineRule="auto"/>
        <w:jc w:val="both"/>
      </w:pPr>
      <w:r>
        <w:t xml:space="preserve">Portugal turned the same instrument into a natural experiment, because Decree-Law 51/2024 of 28 August 2024 ran the return margin and the retention margin simultaneously and let them be compared. Article 5 invites teachers retired for five years or less back on fixed-term contracts in shortage subjects or understaffed schools; they keep their full pension and earn an additional payment pegged to the first step of the career salary scale, in proportion to the hours they teach (Decreto-Lei n.º 51/2024). Article 6 pays a monthly supplement of EUR 750 to teachers who have reached retirement conditions but stay on in the classroom until the end of the school year. Take-up diverged sharply. Against a government quota of 200 returners, 79-80 retirees applied and 63 were accepted, of whom 55, averaging about 68 years of age, took up classes from January 2025 in the first placement wave (Diário de Notícias, 2024; Renascença, 2024). The stay-on supplement, meanwhile, drew roughly 2 200 users in 2025/26, and in July 2026 the government confined it to shortage zones covering 235 school units after conceding that the blanket version was in many cases not justified (RTP, 2026). Union leaders read the returner figures bluntly, with Fenprof's secretary-general calling the expectation that pensioners would return "an illusion" and his FNE counterpart pointing to accumulated fatigue and an uninviting school environment (SÁBADO, 2024). The 63-versus-2 200 asymmetry is the cleanest revealed-preference contrast in this chapter. It suggests that at broadly comparable money it is easier to keep a teacher from leaving than to bring one back, with the caveat that the two articles pay in different forms and address different eligible groups: those retired for five years or less on the one hand, serving teachers who have reached retirement conditions on the other.</w:t>
      </w:r>
    </w:p>
    <w:p>
      <w:pPr>
        <w:spacing w:after="160" w:line="264" w:lineRule="auto"/>
        <w:jc w:val="both"/>
      </w:pPr>
      <w:r>
        <w:t xml:space="preserve">Japan shows what the retiree channel looks like when it is routine staffing rather than a branded programme, and also how it ages. When the education ministry ran its first national shortage survey, it counted 2 558 unfilled teaching posts at 5.8% of public schools at the start of the 2021 school year; the 2025 survey put the figure at 3 827, and attention fell on how heavily the system already leans on re-employed retirees (Nippon.com, 2022; Nippon.com, 2026). Boards of education conventionally re-hire teachers between mandatory retirement and pension age, and the part-time substitute pool is dominated by them; in one prefecture studied in depth, 52.7% of adjunct hires were in their sixties and a further 7.1% in their seventies, so that retirees made up roughly 60% of the whole. Yet only about 35% of age-based retirees at elementary level, and 55% at junior-high level, now seek full-time re-employment, and ageing adjuncts increasingly decline the most demanding replacement work (Sakuma and Shimazaki, 2024). A staffing buffer built out of retirees, in other words, runs down on a demographic timetable that no recruitment campaign controls.</w:t>
      </w:r>
    </w:p>
    <w:p>
      <w:pPr>
        <w:spacing w:after="160" w:line="264" w:lineRule="auto"/>
        <w:jc w:val="both"/>
      </w:pPr>
      <w:r>
        <w:t xml:space="preserve">China operates the largest scheme in this family by a wide margin, and Box 3.4 examines it. Its design is notable for paying a targeted allowance, CNY 20 000 a year, on top of a fully retained pension, and for conditioning that money on service in the counties where staffing friction is greatest. Its evidence base is notable for the opposite reason, since no independent evaluation exists and progress towards the headline target is not published. Taken together, the classroom-return family supports one generalisation with unusual confidence. Wherever verified counts exist, Austria's 1 062, Germany's five thousand-odd, Portugal's 63, retiree re-employment contributes real but small numbers relative to any national shortage, and it does so on terms, part-time, short-term, close to the former school, that systems accept rather than choose.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3.4. China's Silver Age plans: retiree redeployment at scale, with targeting but without evaluation</w:t>
            </w:r>
          </w:p>
          <w:p>
            <w:pPr>
              <w:spacing w:after="120" w:line="252" w:lineRule="auto"/>
              <w:jc w:val="both"/>
            </w:pPr>
            <w:r>
              <w:rPr>
                <w:sz w:val="22"/>
                <w:szCs w:val="22"/>
              </w:rPr>
              <w:t xml:space="preserve">Ten government bodies jointly issued China's National Silver Age Teachers Action Plan in 2023. Its target is a corps of some 120 000 retired educators within roughly three years, spread across five strands of the education system from rural schools to universities and counting full-time, part-time and volunteer service alike (MOE et al., 2023). Its school-level core descends from the 2018 Silver Age Lecturing Plan, under which retired principals, teaching researchers and senior teachers, generally aged 65 or under for the basic-education strand, teach in rural compulsory-education schools. Participants keep their full pension and receive working funds of CNY 20 000 per person per year, financed centrally in western provinces, half-and-half in central provinces and provincially in the east, plus housing, travel once per semester and insurance (MOE and MOF, 2018; MOE et al., 2023). Placement is confined to counties recently lifted out of poverty, ethnic-minority and border counties, precisely where recruiting serving teachers is hardest, and the roles blend teaching with demonstration lessons and the mentoring of young local teachers (State Council, 2023).</w:t>
            </w:r>
          </w:p>
          <w:p>
            <w:pPr>
              <w:spacing w:after="120" w:line="252" w:lineRule="auto"/>
              <w:jc w:val="both"/>
            </w:pPr>
            <w:r>
              <w:rPr>
                <w:sz w:val="22"/>
                <w:szCs w:val="22"/>
              </w:rPr>
              <w:t xml:space="preserve">By mid-2023 the predecessor schemes had recruited over 20 000 retired primary and secondary teachers, and a further round in 2025 sought 7 000 more (State Council, 2023; MOE, 2025). Against the 120 000 target no official progress tally has been published, and no independent evaluation of effects on teaching quality or local staffing exists. Chinese commentary has also warned of localities leaning on silver-age recruits as a way of postponing the hiring of new full-time teachers (R.I.S.E. Magazine, 2025), the same crowding-out concern that surfaces, with harder evidence, in Ontario (Section 3.2). The plan is the world's largest test of paying retirees to serve where friction is highest, but the results that would show whether it works have not been published.</w:t>
            </w:r>
          </w:p>
          <w:p>
            <w:pPr>
              <w:spacing w:after="40"/>
            </w:pPr>
            <w:r>
              <w:rPr>
                <w:sz w:val="18"/>
                <w:szCs w:val="18"/>
              </w:rPr>
              <w:t xml:space="preserve">Source: MOE and MOF (2018); MOE et al. (2023); State Council (2023); MOE (2025); R.I.S.E. Magazine (2025).</w:t>
            </w:r>
          </w:p>
        </w:tc>
      </w:tr>
    </w:tbl>
    <w:p>
      <w:pPr>
        <w:spacing w:after="160"/>
      </w:pPr>
    </w:p>
    <w:p>
      <w:pPr>
        <w:pStyle w:val="Heading3"/>
      </w:pPr>
      <w:r>
        <w:t xml:space="preserve">Retirees in mentoring and tutoring roles</w:t>
      </w:r>
    </w:p>
    <w:p>
      <w:pPr>
        <w:spacing w:after="160" w:line="264" w:lineRule="auto"/>
        <w:jc w:val="both"/>
      </w:pPr>
      <w:r>
        <w:t xml:space="preserve">The third family asks less of former teachers, hours rather than posts, and it is where the causal evidence is strongest, because its programmes have been tested with randomised designs. The results divide cleanly by role. As tutors of struggling pupils, retired educators have rigorous evidence of effectiveness; as mentors of new teachers, the one high-quality trial found nothing.</w:t>
      </w:r>
    </w:p>
    <w:p>
      <w:pPr>
        <w:spacing w:after="160" w:line="264" w:lineRule="auto"/>
        <w:jc w:val="both"/>
      </w:pPr>
      <w:r>
        <w:t xml:space="preserve">The mentoring trial deserves to be reported exactly because its internal validity is high. Aurora Public Schools in Colorado designed its Retired Mentors for New Teachers programme around master educators recently retired from the district, paying them USD 41 an hour for weekly one-to-one mentoring of probationary teachers in high-poverty elementary schools over two years, layered on top of the district's ordinary buddy-mentor arrangements. A randomised trial covering 77 teachers in 11 schools found a small positive effect on pupils' mathematics scores in year one that did not survive the study's own multiple-comparison correction, and no significant effects on reading, on teacher evaluation ratings or on retention (DeCesare, McClelland and Randel, 2017). The What Works Clearinghouse review rated the study as meeting its standards without reservations and characterised the findings across all three reviewed domains, reading, mathematics and retention, as indeterminate, with no statistically significant effects (What Works Clearinghouse, 2019). The programme cost about USD 171 per pupil per year, and an exploratory, non-causal analysis hinted that more mentoring hours were associated with better retention, but the honest summary is that the best test yet of retirees as new-teacher mentors returned a null.</w:t>
      </w:r>
    </w:p>
    <w:p>
      <w:pPr>
        <w:spacing w:after="160" w:line="264" w:lineRule="auto"/>
        <w:jc w:val="both"/>
      </w:pPr>
      <w:r>
        <w:t xml:space="preserve">The tutoring evidence points the other way. The Number Rockets replication trial addressed the workforce question directly. An earlier efficacy study had shown that scripted small-group mathematics tutoring helps at-risk first graders when delivered by the researchers' graduate students (Fuchs et al., 2005), and the replication tested whether a realistic workforce could reproduce it. Eighty-six tutors recruited from local pools of retired and substitute teachers, given one day of initial training and two short follow-ups, delivered the programme to 994 at-risk pupils in 76 schools in four urban districts, each in a different state of the REL Southwest region. Tutored pupils significantly outperformed controls on general mathematics proficiency, with an effect size of 0.34 (Gersten et al., 2015; Rolfhus et al., 2012). The effect is somewhat smaller than in the original trial but large by the standards of educational interventions, and it was produced by exactly the population this paper is about.</w:t>
      </w:r>
    </w:p>
    <w:p>
      <w:pPr>
        <w:spacing w:after="160" w:line="264" w:lineRule="auto"/>
        <w:jc w:val="both"/>
      </w:pPr>
      <w:r>
        <w:t xml:space="preserve">AARP Foundation Experience Corps widens the lens from former teachers to older adults generally, retired educators among them, and is the only programme in this chapter with rigorous evidence of benefits on both sides of the exchange. Volunteers aged 50 and over tutor struggling readers in the early grades. A randomised trial enrolling 883 pupils in grades 1-3 across 23 schools in three cities, with an analytic sample of 881 (430 treatment, 451 control) served by 174 volunteers, found significant gains in passage comprehension (effect size 0.13) and teacher-rated reading skills (0.16), and no significant effects on receptive vocabulary or phonemic awareness (Morrow-Howell et al., 2009); the What Works Clearinghouse judged the trial well implemented and consistent with its evidence standards (What Works Clearinghouse, 2010). Separate randomised trials in Baltimore documented gains for the volunteers themselves, increased physical activity and, in a neuroimaging subsample, growth in cortical and hippocampal volumes among older men against age-typical decline (Fried et al., 2004; Varma et al., 2016; Carlson et al., 2015). The programme is no pilot; it marked its thirtieth anniversary in 2025, and in 2023/24 1 284 volunteers tutored 3 659 pupils across 18 United States communities (AARP, 2025). For re-entry policy the health findings matter because they supply a second public rationale, healthy ageing, for engaging retired educators even where the staffing arithmetic is marginal. Europe offers little comparable; Spain's "10 mirrors" project, in which ten retired teachers gave orientation sessions to 57 trainee teachers at the University of Zaragoza, was a one-off micro-pilot evaluated only with satisfaction questionnaires (Lizalde Gil and Cortés Pascual, 2019).</w:t>
      </w:r>
    </w:p>
    <w:p>
      <w:pPr>
        <w:pStyle w:val="Heading3"/>
      </w:pPr>
      <w:r>
        <w:t xml:space="preserve">Reserve models</w:t>
      </w:r>
    </w:p>
    <w:p>
      <w:pPr>
        <w:spacing w:after="160" w:line="264" w:lineRule="auto"/>
        <w:jc w:val="both"/>
      </w:pPr>
      <w:r>
        <w:t xml:space="preserve">The fourth family treats former teachers as a standing capability rather than a campaign target. The Bahamas announced the clearest version in July 2026, a Teacher Reservist Programme building a registered reserve of retired educators, trained teachers who built careers in other professions, and recent graduates, run on the platform of the existing supply-teacher system and supported by a multi-agency task force to fast-track vetting and credentials, against a national shortfall of some 300 teachers across 162 public schools on 24 islands (Cooper, 2026; ZNS Bahamas, 2026). The design is worth watching precisely because it institutionalises what most systems improvise, but as of mid-2026 it is weeks old, with no enrolment breakdown, no results and no cost data, and it can carry no evidential weight yet.</w:t>
      </w:r>
    </w:p>
    <w:p>
      <w:pPr>
        <w:pStyle w:val="Heading2"/>
      </w:pPr>
      <w:r>
        <w:t xml:space="preserve">3.2. Regulation: pension rules, licensure and re-entry rights</w:t>
      </w:r>
    </w:p>
    <w:p>
      <w:pPr>
        <w:spacing w:after="160" w:line="264" w:lineRule="auto"/>
        <w:jc w:val="both"/>
      </w:pPr>
      <w:r>
        <w:t xml:space="preserve">Whether a former teacher can return at all is decided less by programme design than by rules. For the largest identifiable group of potential returners, retirees, the decisive rule is almost always whether a pension can be drawn alongside a teaching salary, on what timetable, and at what cost in benefits. Six United States states are presented below because their statutes and, in some cases, their audits are unusually well documented; they are illustrative of a much wider set of state laws, not the universe of them. The cases deliberately span permissive and restrictive designs. Take-up has been published for only a minority of them: across the three United States states where it has (North Carolina, Georgia, New Mexico), returns are larger where the screens are fewer, while Ontario shows that a loosened cap can still draw almost no one. For Louisiana, Michigan, Virginia and France only the design can be compared, and Table 3.2, which summarises the designs and what is verifiably known about their use, marks which is which.</w:t>
      </w:r>
    </w:p>
    <w:p>
      <w:pPr>
        <w:spacing w:after="160" w:line="264" w:lineRule="auto"/>
        <w:jc w:val="both"/>
      </w:pPr>
      <w:r>
        <w:t xml:space="preserve">North Carolina supplies the benchmark, the one large-scale, peer-reviewed test of what happens when the pension penalty is removed outright, and Box 3.5 presents it. Roughly 3 500 retirees returned to full-time teaching during the decade the window was open, over a third of the retirement-eligible were returning by its final year, and more than half went back to the very school they had retired from. When the window closed in 2009 and the old earnings cap returned, full-time returns collapsed.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3.5. North Carolina's 1999-2009 return-to-work window: what full pension-salary compatibility buys</w:t>
            </w:r>
          </w:p>
          <w:p>
            <w:pPr>
              <w:spacing w:after="120" w:line="252" w:lineRule="auto"/>
              <w:jc w:val="both"/>
            </w:pPr>
            <w:r>
              <w:rPr>
                <w:sz w:val="22"/>
                <w:szCs w:val="22"/>
              </w:rPr>
              <w:t xml:space="preserve">From 1999 until autumn 2009, North Carolina let retired teachers hold a full-time classroom post and draw their full salary and full pension at the same time, setting aside the usual rule under which earnings above half of previous salary triggered benefit suspension. The first year restricted returns to low-performing schools in the retiree's certification area; from June 2000 the window was general. Analysis of administrative data covering about 169 000 teachers finds that roughly 3 500 retirees, 2.1% of the sample, returned under the policy, that over half of the state's schools hired at least one, and that by 2009 just over 35% of teachers who had been retirement-eligible the previous year were returning to full-time work (Jarrold-Grapes and Mahler, 2024).</w:t>
            </w:r>
          </w:p>
          <w:p>
            <w:pPr>
              <w:spacing w:after="120" w:line="252" w:lineRule="auto"/>
              <w:jc w:val="both"/>
            </w:pPr>
            <w:r>
              <w:rPr>
                <w:sz w:val="22"/>
                <w:szCs w:val="22"/>
              </w:rPr>
              <w:t xml:space="preserve">Three features distinguish the episode. First, targeting happened without a mandate, as returning retirees were disproportionately Black, more likely to teach mathematics, and concentrated in rural, middle and high schools with more economically disadvantaged pupils, the schools that struggle most to hire. Second, 54% returned to the school they had taught in before retirement, evidence that the relevant recruitment network is the retiree's own former workplace, a finding that outreach designs from Vienna to Sydney implicitly exploit. Third, the authors argue the pension annuity is not a policy cost, since it is paid whether or not the retiree works; the marginal cost of a returning veteran is the salary difference against the alternative hire. What the study cannot show is an effect on student outcomes or on vacancies, since no counterfactual was available, and the policy was allowed to expire in 2009, after which the old earnings cap returned. As a revealed-preference result it stands alone in this literature. When the financial penalty on returning disappeared, a large minority of eligible retirees came back, and they went where the need was.</w:t>
            </w:r>
          </w:p>
          <w:p>
            <w:pPr>
              <w:spacing w:after="40"/>
            </w:pPr>
            <w:r>
              <w:rPr>
                <w:sz w:val="18"/>
                <w:szCs w:val="18"/>
              </w:rPr>
              <w:t xml:space="preserve">Source: Jarrold-Grapes and Mahler (2024).</w:t>
            </w:r>
          </w:p>
        </w:tc>
      </w:tr>
    </w:tbl>
    <w:p>
      <w:pPr>
        <w:spacing w:after="160"/>
      </w:pPr>
    </w:p>
    <w:p>
      <w:pPr>
        <w:spacing w:after="160" w:line="264" w:lineRule="auto"/>
        <w:jc w:val="both"/>
      </w:pPr>
      <w:r>
        <w:t xml:space="preserve">Georgia demonstrates the opposite pole, restrictive design audited honestly. House Bill 385 of 2022 lets retirees teach full time with full pension, but only after 30 years of creditable service and a one-year break, and only in the highest-need subject areas of each region as determined annually by the state. The mandated performance audit found 635 retirees returned full-time between fiscal years 2023 and 2025, about 350 in any given year, under 1% of a roughly 125 000-strong workforce facing some 6 000 vacant or under-certified posts; 45% of surveyed districts said the statutory screens had blocked a hire they wanted to make (Georgia Department of Audits and Accounts, 2025). The legislature's response in 2026 was to extend the programme to 2030 and let districts determine their own high-need areas, while keeping the 30-year rule (Teachers Retirement System of Georgia, 2026). Georgia is the clearest official evidence in this paper that stacking eligibility screens strangles take-up, and its audit exists only because the statute required one.</w:t>
      </w:r>
    </w:p>
    <w:p>
      <w:pPr>
        <w:spacing w:after="160" w:line="264" w:lineRule="auto"/>
        <w:jc w:val="both"/>
      </w:pPr>
      <w:r>
        <w:t xml:space="preserve">New Mexico and the remaining states fill in the spectrum. New Mexico's House Bill 73 of 2022 allows retirees back with no limits on salary or hours for 36 months, extended to 60 months in 2025, subject to a 90-day layout, no pre-arranged return and pension-board approval; 154 retirees used the new route in its first year, within a wider population of 2 792 working retirees across the system's several return tiers (New Mexico Legislature, 2022; New Mexico Educational Retirement Board, 2023; New Mexico Educational Retirement Board, 2025). Louisiana progressively widened a critical-shortage route, extending pension-safe return to all retirees after a 12-month wait in 2024 and consolidating its rules in 2026 with a no-impact route for the over-65s, but has published no uptake counts, and its only mandated review, an actuarial report, is due before 2034 (Teachers' Retirement System of Louisiana, 2024; Teachers' Retirement System of Louisiana, 2026). Michigan replaced a patchwork with a simple bona fide termination test and a waiting period, nine months under Public Act 184 of 2022, cut to six months with limited working rights during the wait by Public Act 147 of 2023, the loosening itself carrying a sunset in October 2028; here too, no uptake figures exist (Michigan Office of Retirement Services, 2022; Michigan Office of Retirement Services, 2023). Virginia's contribution is discussed under licensure below, but its pension leg follows the same template, full pension plus salary in designated critical-shortage positions after a six-month break, under provisions that sunset in July 2028 (Commonwealth of Virginia, 2023; Virginia Retirement System, n.d.). Across the six states only three have published any take-up, and on bases that do not align, a ten-year total in North Carolina, a three-year audit in Georgia, a first-year count of a single route in New Mexico, so no dose-response curve can be drawn from them. What the record does establish is directional, and it rests on the two documented cases: Georgia's screens blocked a hire that 45% of surveyed districts wanted to make, while North Carolina, which after its first year applied no eligibility screen at all, saw just over a third of the retirement-eligible returning to full-time work in the window's final year. Where nobody counts, nobody knows.</w:t>
      </w:r>
    </w:p>
    <w:p>
      <w:pPr>
        <w:spacing w:after="160" w:line="264" w:lineRule="auto"/>
        <w:jc w:val="both"/>
      </w:pPr>
      <w:r>
        <w:t xml:space="preserve">Ontario shows that the same rule can be run in both directions, and why unions watch it. Retired members of the Ontario Teachers' Pension Plan may work 50 days per school year without pension suspension. The ceiling was raised in 1990, amid a severe shortage, from 20 to 95 days for a retiree's first three post-retirement working years (20 thereafter), cut to a flat 50 from September 2012 after reporting showed the ten largest boards spending CAD 108.3 million a year on retired supply teachers, at nearly twice the daily rate of new graduates, while thousands of newly certified teachers went short of work, restored to 95 during the pandemic years 2020/21 to 2022/23, and returned to 50 from July 2023 (Hammer and Alphonso, 2010; Ontario Ministry of Education, 2022; OTF, 2023; Ontario Teachers' Pension Plan, 2026). Interest among retirees was modest even at the height of the pandemic loosening, about 60 expressions of interest among 142 000 retired members, whose average age was 72 (Global News, 2022). In March 2024 the Ontario Teachers' Federation refused a further extension, stating that the pension plan "is not a tool for addressing labour market challenges" (Alphonso, 2024; OCEOTA, 2024). Ontario's cap is the rare re-entry dial that has been turned down as well as up, and turned down for equity reasons, to protect new-graduate hiring.</w:t>
      </w:r>
    </w:p>
    <w:p>
      <w:pPr>
        <w:spacing w:after="160" w:line="264" w:lineRule="auto"/>
        <w:jc w:val="both"/>
      </w:pPr>
      <w:r>
        <w:t xml:space="preserve">France and England round out the pension picture with softer variants. France's cumul emploi-retraite framework permits combining pension and earnings, but a returning teacher is returning to the last employer, which triggers a six-month waiting period from the pension's effective date; the 2023 pension reform added new pension accrual on work resumed in retirement, and parliamentary questions have pressed the barrier point, one flagship question on mobilising retired teachers for substitution lapsing unanswered, a 2026 exchange contesting the income caps faced by pre-2015 leavers (Assemblée nationale, 2023; Assemblée nationale, 2024; Assemblée nationale, 2026). No aggregate figures on returning retired teachers have ever been published. England's Teachers' Pension Scheme abates only final-salary age or premature retirement benefits, suspending the pension once annual earnings exceed an indexed salary of reference minus the pension; benefits drawn early with actuarial reduction are not abated, and no abatement applies to career-average pensions, the scheme covering all service since 2015, which confines the rule to a legacy cohort that shrinks every year (Teachers' Pensions, n.d.).</w:t>
      </w:r>
    </w:p>
    <w:p>
      <w:pPr>
        <w:keepNext/>
        <w:spacing w:after="120" w:before="200"/>
      </w:pPr>
      <w:r>
        <w:rPr>
          <w:b/>
          <w:bCs/>
          <w:color w:val="4E81BD"/>
          <w:sz w:val="23"/>
          <w:szCs w:val="23"/>
        </w:rPr>
        <w:t xml:space="preserve">Table 3.2. Pension compatibility rules for returning retired teachers in selected jurisdictions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53"/>
        <w:gridCol w:w="1545"/>
        <w:gridCol w:w="1039"/>
        <w:gridCol w:w="2061"/>
        <w:gridCol w:w="1944"/>
        <w:gridCol w:w="1530"/>
      </w:tblGrid>
      <w:tr>
        <w:trPr>
          <w:tblHeader/>
        </w:trPr>
        <w:tc>
          <w:tcPr>
            <w:tcW w:type="dxa" w:w="95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Jurisdiction</w:t>
            </w:r>
          </w:p>
        </w:tc>
        <w:tc>
          <w:tcPr>
            <w:tcW w:type="dxa" w:w="154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Instrument (year)</w:t>
            </w:r>
          </w:p>
        </w:tc>
        <w:tc>
          <w:tcPr>
            <w:tcW w:type="dxa" w:w="103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Waiting period</w:t>
            </w:r>
          </w:p>
        </w:tc>
        <w:tc>
          <w:tcPr>
            <w:tcW w:type="dxa" w:w="206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Main eligibility screens</w:t>
            </w:r>
          </w:p>
        </w:tc>
        <w:tc>
          <w:tcPr>
            <w:tcW w:type="dxa" w:w="194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Pension treatment on return</w:t>
            </w:r>
          </w:p>
        </w:tc>
        <w:tc>
          <w:tcPr>
            <w:tcW w:type="dxa" w:w="153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Verified take-up</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North Carolina (US)</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window (1999-2009, expired)</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none stated beyond retirement</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1999 only: low-performing schools; general from 2000</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 pension plus full salary, full-time</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~3 500 returners over the decade; 54% to their former school</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Georgia (US)</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HB 385 (2022), extended to 2030 by SB 150 (2026)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 year</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30 years' service; certification; regionally defined high-need subjects</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 pension plus salary; employer and employee contributions due</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635 full-time returners FY2023-FY2025 (~350 per year), audited</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New Mexico (US)</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HB 73 (2022), extended by SB 133 (2025)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90-day layout</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 pre-arranged return; board approval; non-refundable contributions</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 pension; no salary or hours limits, up to 60 months</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154 in FY2023 under the new route; 2 792 working retirees across all tiers</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Louisiana (US)</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Acts 394 (2024) and 344 (2026)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12 months</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critical-shortage certification (fewer than three certified applicants); 65+ no-impact route from 2026</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 pension in shortage posts; 50% of final average compensation cap otherwise</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published; actuarial review due before 2034</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Michigan (US)</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PA 184 (2022); PA 147 (2023, sunset Oct. 2028)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9 months, cut to 6; limited earnings allowed during wait</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bona fide termination; no pre-arranged return</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 pension; no earnings limit thereafter</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published</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Virginia (US)</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Statute since 2001; 2023 Acts (sunset July 2028); ED-3 (2022)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 consecutive months</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licensed; designated critical-shortage position; no early-retirement-incentive retirees</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 pension plus salary</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published</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Ontario (Canada)</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OTPP re-employment limit (Teachers' Pension Act, 1990)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none</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day cap per school year</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pension kept up to 50 days' work per year (95 days under the 1990-2012 first-three-years rule and again in 2020/21-2022/23); suspended beyond the cap</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~60 expressions of interest among 142 000 retirees during the pandemic loosening</w:t>
            </w:r>
          </w:p>
        </w:tc>
      </w:tr>
      <w:tr>
        <w:trPr>
          <w:tblHeader w:val="false"/>
        </w:trPr>
        <w:tc>
          <w:tcPr>
            <w:tcW w:type="dxa" w:w="95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France</w:t>
            </w:r>
          </w:p>
        </w:tc>
        <w:tc>
          <w:tcPr>
            <w:tcW w:type="dxa" w:w="15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Cumul emploi-retraite (2003 framework; 2023 reform)</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 months for return to last employer</w:t>
            </w:r>
          </w:p>
        </w:tc>
        <w:tc>
          <w:tcPr>
            <w:tcW w:type="dxa" w:w="20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full-cumul conditions (all pensions liquidated, full rate) for uncapped combination</w:t>
            </w:r>
          </w:p>
        </w:tc>
        <w:tc>
          <w:tcPr>
            <w:tcW w:type="dxa" w:w="194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pension plus earnings, capped unless full-cumul; new accrual since 2023</w:t>
            </w:r>
          </w:p>
        </w:tc>
        <w:tc>
          <w:tcPr>
            <w:tcW w:type="dxa" w:w="15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published</w:t>
            </w:r>
          </w:p>
        </w:tc>
      </w:tr>
      <w:tr>
        <w:trPr>
          <w:tblHeader w:val="false"/>
        </w:trPr>
        <w:tc>
          <w:tcPr>
            <w:tcW w:type="dxa" w:w="95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England (UK)</w:t>
            </w:r>
          </w:p>
        </w:tc>
        <w:tc>
          <w:tcPr>
            <w:tcW w:type="dxa" w:w="154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Teachers' Pension Scheme abatement</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none</w:t>
            </w:r>
          </w:p>
        </w:tc>
        <w:tc>
          <w:tcPr>
            <w:tcW w:type="dxa" w:w="20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applies only to final-salary age or premature benefits</w:t>
            </w:r>
          </w:p>
        </w:tc>
        <w:tc>
          <w:tcPr>
            <w:tcW w:type="dxa" w:w="194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pension suspended above salary-of-reference threshold; career-average and actuarially reduced benefits never abated</w:t>
            </w:r>
          </w:p>
        </w:tc>
        <w:tc>
          <w:tcPr>
            <w:tcW w:type="dxa" w:w="153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not applicable (rule, not programme)</w:t>
            </w:r>
          </w:p>
        </w:tc>
      </w:tr>
    </w:tbl>
    <w:p>
      <w:pPr>
        <w:spacing w:after="120"/>
      </w:pPr>
    </w:p>
    <w:p>
      <w:pPr>
        <w:spacing w:after="60"/>
        <w:jc w:val="left"/>
      </w:pPr>
      <w:r>
        <w:rPr>
          <w:sz w:val="18"/>
          <w:szCs w:val="18"/>
        </w:rPr>
        <w:t xml:space="preserve">Note: The six United States entries are illustrative of a broader population of state return-to-work statutes, chosen for documentation quality, and are not a census. "Not published" records the absence of any official uptake count as of mid-2026.</w:t>
      </w:r>
    </w:p>
    <w:p>
      <w:pPr>
        <w:spacing w:after="60"/>
        <w:jc w:val="left"/>
      </w:pPr>
      <w:r>
        <w:rPr>
          <w:sz w:val="18"/>
          <w:szCs w:val="18"/>
        </w:rPr>
        <w:t xml:space="preserve">Source: Jarrold-Grapes and Mahler (2024); Georgia Department of Audits and Accounts (2025); Teachers Retirement System of Georgia (2026); New Mexico Legislature (2022); New Mexico Educational Retirement Board (2023; 2025); Teachers' Retirement System of Louisiana (2024; 2026); Michigan Office of Retirement Services (2022; 2023); Commonwealth of Virginia (2023); Virginia Retirement System (n.d.); Will (2022); Hammer and Alphonso (2010); Ontario Ministry of Education (2022); OTF (2023); Ontario Teachers' Pension Plan (2026); Global News (2022); Assemblée nationale (2023; 2026); Teachers' Pensions (n.d.).</w:t>
      </w:r>
    </w:p>
    <w:p>
      <w:pPr>
        <w:spacing w:after="160" w:line="264" w:lineRule="auto"/>
        <w:jc w:val="both"/>
      </w:pPr>
      <w:r>
        <w:t xml:space="preserve">Licensure is the second regulatory gate, and the better-documented systems have moved to keep it from becoming a second waiting room. Under Virginia's Executive Directive Three of September 2022, the Superintendent of Public Instruction was told to fast-track licence renewals for retirees and out-of-state teachers with lapsed credentials, and to work with the retirement system so every vacant teaching post was classified in a way that let retirees fill it; the directive accelerated administration around the 2001 statute rather than creating any new entitlement (Will, 2022; Commonwealth of Virginia, 2023). New South Wales folded re-accreditation support directly into its outreach, with the department walking each returning teacher through reactivating accreditation, approval to teach and the background check as a single supported process rather than a sequence of separate procedures left to the returner (NSW Government, 2024; NSW Department of Education, 2026). New Zealand went furthest by converting relief work into a statutory on-ramp. The 20-half-day rule lets a lapsed-certificate teacher re-enter classrooms immediately and legally, and the re-certification refresh requirement has been effectively waived for returners holding a relief offer, with certification fees paid by government into 2028 (New Zealand Legislation, 2020; Teaching Council of Aotearoa New Zealand, 2026; New Zealand Ministry of Education, 2026). The design principle these share is that re-licensure friction should be removed by standing rule rather than by crisis waiver, since returners cannot plan around an exemption that expires annually. None of the three, it must be said, has published uptake attributable to the licensure change itself.</w:t>
      </w:r>
    </w:p>
    <w:p>
      <w:pPr>
        <w:spacing w:after="160" w:line="264" w:lineRule="auto"/>
        <w:jc w:val="both"/>
      </w:pPr>
      <w:r>
        <w:t xml:space="preserve">The third gate operates before anyone becomes a former teacher at all. Ireland's career break scheme gives registered teachers up to five years of unpaid leave at a time, ten over a career, with a guaranteed right to return to teaching, and every year since at least 2021/22 the department has lifted the scheme's restrictions on substitute work, allowing teachers on career break to substitute without limit, keeping them connected to classrooms, on the payroll periphery and accumulating incremental credit while formally out (Department of Education, 2019; Department of Education and Youth, 2025). No uptake figures or evaluation of the substitution flexibility have been published. As policy architecture, though, re-entry rights of this kind are the cheapest re-entry programme a system can run, because they prevent the administrative severance that every other case in this chapter is trying to reverse.</w:t>
      </w:r>
    </w:p>
    <w:p>
      <w:pPr>
        <w:spacing w:after="160" w:line="264" w:lineRule="auto"/>
        <w:jc w:val="both"/>
      </w:pPr>
      <w:r>
        <w:t xml:space="preserve">Read together, Sections 3.1 and 3.2 support a division of labour. Regulation determines the size of the pipe: pension rules decide whether return is financially viable at all, and the counted cases run from North Carolina, where over a third of the retirement-eligible were returning in the window's final year, to Georgia, where stacked screens hold rehires to a few hundred a year. Programmes determine how much flows through it, and where a full funnel was published the conversion from first contact to a classroom post is small: England's pilot turned 5 729 registrations into 27 permanent posts in its target subjects, 0.5%, or 62 state-funded teaching posts of any kind, about 1%, and New South Wales turned over 1 500 direct contacts into 145 placements, about one in ten. What neither lever has yet produced, anywhere, is evidence on what returning teachers do for pupils once back. Chapter 4 draws the design lessons that follow from this record, on sequencing retention before re-entry, funding conversion rather than awareness, removing penalties before adding bonuses, and building the accounting in from the start.</w:t>
      </w:r>
    </w:p>
    <w:p>
      <w:pPr>
        <w:pStyle w:val="Heading1"/>
        <w:pageBreakBefore/>
      </w:pPr>
      <w:r>
        <w:t xml:space="preserve">4. Lessons and recommendations for policymakers</w:t>
      </w:r>
    </w:p>
    <w:p>
      <w:pPr>
        <w:spacing w:after="160" w:line="264" w:lineRule="auto"/>
        <w:jc w:val="both"/>
      </w:pPr>
      <w:r>
        <w:t xml:space="preserve">The compilation in Chapter 3 sustains two conclusions. The first is that former teachers reward policy attention in their own right. The people documented across these programmes arrive already able to teach, know the curriculum from the inside, and can support colleagues in ways no initial teacher education programme can supply, and where their skills have been tested in randomised trials, in structured tutoring roles, they have delivered learning gains at scale (Gersten et al., 2015). The OECD reached this position two decades ago in </w:t>
      </w:r>
      <w:r>
        <w:rPr>
          <w:i/>
          <w:iCs/>
        </w:rPr>
        <w:t xml:space="preserve">Teachers Matter</w:t>
      </w:r>
      <w:r>
        <w:t xml:space="preserve"> and has restated it recently in the </w:t>
      </w:r>
      <w:r>
        <w:rPr>
          <w:i/>
          <w:iCs/>
        </w:rPr>
        <w:t xml:space="preserve">Education Policy Outlook</w:t>
      </w:r>
      <w:r>
        <w:t xml:space="preserve"> (OECD, 2005; OECD, 2024; see Chapter 1). What had been missing between those two statements was a record of what governments actually did and what happened next. That record, assembled and verified here, is thin, recent and, with one exception, unevaluated, but it is now sufficient to support positions.</w:t>
      </w:r>
    </w:p>
    <w:p>
      <w:pPr>
        <w:spacing w:after="160" w:line="264" w:lineRule="auto"/>
        <w:jc w:val="both"/>
      </w:pPr>
      <w:r>
        <w:t xml:space="preserve">The second is that the supply margin former teachers offer is real but modest. Nothing in the compiled record suggests that re-entry can close a shortage. The verified counts run from dozens to a few thousand against workforces and vacancy figures an order of magnitude larger: Austria's audited 1 062 over six school years in a workforce of roughly 123 000, Germany's five thousand-odd in a workforce of some 800 000, Portugal's 63. A policy strand can be worth designing well without being decisive, and this one is. Each recommendation below states the evidence it rests on; where a recommendation holds only under stated conditions, the conditions are named.</w:t>
      </w:r>
    </w:p>
    <w:p>
      <w:pPr>
        <w:pStyle w:val="Heading2"/>
      </w:pPr>
      <w:r>
        <w:t xml:space="preserve">4.1. Recommendations</w:t>
      </w:r>
    </w:p>
    <w:p>
      <w:pPr>
        <w:spacing w:after="160" w:line="264" w:lineRule="auto"/>
        <w:jc w:val="both"/>
      </w:pPr>
      <w:r>
        <w:rPr>
          <w:b/>
          <w:bCs/>
        </w:rPr>
        <w:t xml:space="preserve">1. Returner data infrastructure comes before legislation.</w:t>
      </w:r>
      <w:r>
        <w:t xml:space="preserve"> Systems that maintain teacher registers can see their inactive pool and size it against the shortage; the Netherlands counts some 62 000 former teachers against a combined shortage of 13 600 full-time equivalents (Somers, Groot and van Merode, 2024b; DUO, 2026), England counted 260 000 qualified teachers out of service in 2018 (Worth, 2023), Michigan 61 252 certificate holders not teaching (Lindsay, Gnedko-Berry and Wan, 2021) and Australia around 19% of 553 300 registrants outside schools (AITSL, 2025; see Table 2.1). Systems without such registers, among them Germany, Austria and France, conduct their entire re-entry debate around the one pool they can see, retirees. The OECD has already identified missing returner data as a strategic constraint (OECD, 2024).</w:t>
      </w:r>
    </w:p>
    <w:p>
      <w:pPr>
        <w:spacing w:after="160" w:line="264" w:lineRule="auto"/>
        <w:jc w:val="both"/>
      </w:pPr>
      <w:r>
        <w:rPr>
          <w:b/>
          <w:bCs/>
        </w:rPr>
        <w:t xml:space="preserve">2. Re-entry policy inherits the cause of the exit, so the exit margin has to be diagnosed first.</w:t>
      </w:r>
      <w:r>
        <w:t xml:space="preserve"> As Section 2.1 documented, an average of 51% of the OECD's leavers resign rather than retire, with resignations above 80% of departures in Denmark, England and Estonia but retirements the majority in France, the French Community of Belgium, Greece, Ireland and Israel (OECD, 2025a). A resignation-heavy system is recruiting back working-age professionals who walked away from the job's conditions, in England accepting roughly 10% lower pay to do so (Worth, Bamford and Durbin, 2015) and in Australia reporting higher job satisfaction after leaving despite a wage penalty (Cuervo and Vera-Toscano, 2025); a retirement-heavy system faces pension arithmetic instead. Michigan's inactive certificate holders, by contrast, put salary first (Lindsay, Gnedko-Berry and Wan, 2021). The same incentive will not travel between these cases; the condition for transferring any design below is that the exit profile matches.</w:t>
      </w:r>
    </w:p>
    <w:p>
      <w:pPr>
        <w:spacing w:after="160" w:line="264" w:lineRule="auto"/>
        <w:jc w:val="both"/>
      </w:pPr>
      <w:r>
        <w:rPr>
          <w:b/>
          <w:bCs/>
        </w:rPr>
        <w:t xml:space="preserve">3. The employer's own records are the cheapest recruitment instrument, and the paperwork belongs in one contact.</w:t>
      </w:r>
      <w:r>
        <w:t xml:space="preserve"> Direct, personalised outreach to known former employees is the least resource-hungry instrument in the compilation, since it pays returners nothing and runs on records the employer already holds. New South Wales contacted more than 1 500 recent leavers from departmental records, packaged accreditation, approval to teach and background checks into a single process, and placed 145 returners doing casual and temporary work across more than 600 schools, around 60% of them from retirement, and it published that funnel in full, which few systems do (NSW Government, 2024; see Table 3.1). Vienna and Salzburg wrote directly to their retirees (APA/ORF, 2023; Box 3.3). New South Wales never published what the campaign cost, an omission recorded in Table 4.1, but this is </w:t>
      </w:r>
      <w:r>
        <w:rPr>
          <w:i/>
          <w:iCs/>
        </w:rPr>
        <w:t xml:space="preserve">Teachers Matter</w:t>
      </w:r>
      <w:r>
        <w:t xml:space="preserve">'s advice to maintain contact with former teachers (OECD, 2005) put into operation at near-zero marginal cost, and it should be the default first move everywhere.</w:t>
      </w:r>
    </w:p>
    <w:p>
      <w:pPr>
        <w:spacing w:after="160" w:line="264" w:lineRule="auto"/>
        <w:jc w:val="both"/>
      </w:pPr>
      <w:r>
        <w:rPr>
          <w:b/>
          <w:bCs/>
        </w:rPr>
        <w:t xml:space="preserve">4. Interest is cheap and conversion is the constraint: funding works when it sits inside the hiring calendar and is tied to real vacancies.</w:t>
      </w:r>
      <w:r>
        <w:t xml:space="preserve"> England's Return to Teaching pilot registered 5 729 expressions of interest, supported 354 people and placed 27 in permanent posts in its target subjects, at GBP 37 400 per additional returner (Buchanan et al., 2018; Box 3.1); the Netherlands budgeted subsidies for 500 returners and had paid out fewer than 200 by its last published count (Box 3.2). The corrective was identified by England's own successor scheme, which tied funded support to named vacancies in the live hiring round (NCTL, 2017). Standing adviser services are far cheaper per recorded returner, but their additionality has never been measured (UK Parliament, 2022), and support without a vacancy attached buys registrations, not teachers.</w:t>
      </w:r>
    </w:p>
    <w:p>
      <w:pPr>
        <w:spacing w:after="160" w:line="264" w:lineRule="auto"/>
        <w:jc w:val="both"/>
      </w:pPr>
      <w:r>
        <w:rPr>
          <w:b/>
          <w:bCs/>
        </w:rPr>
        <w:t xml:space="preserve">5. Pension penalties suppress return; targeting need controls cost better than stacking screens.</w:t>
      </w:r>
      <w:r>
        <w:t xml:space="preserve"> The revealed-preference evidence is consistent. North Carolina's 1999-2009 window, full salary on top of full pension, drew around 3 500 retirees back, disproportionately into high-need schools, and returns collapsed when it closed (Jarrold-Grapes and Mahler, 2024; Box 3.5); Georgia's stacked conditions of 30 years' service, a one-year wait and subject and region caps yield roughly 350 full-time rehires a year against some 6 000 unfilled or under-certified posts, by the state auditor's own count (Georgia Department of Audits and Accounts, 2025); New Mexico's no-caps regime drew 154 users in its first year (New Mexico Educational Retirement Board, 2023; see Table 3.2). Deadweight is better controlled by conditioning on need, as China does by tying its Silver Age allowance to poverty-lifted, ethnic-minority and border counties (MOE and MOF, 2018; MOE et al., 2023; Box 3.4), as Florida did by shortage subject (Feng and Sass, 2018) and as Portugal did in narrowing its supplement to shortage zones (RTP, 2026). Re-employment caps, where they exist, are two-way dials that need equity guardrails against crowding out new graduates, as Ontario's three decades of raising and cutting its re-employment day cap, currently 50 days, demonstrate (Hammer and Alphonso, 2010; Alphonso, 2024; see Table 3.2). One caution on the form of the money applies throughout, since teachers value current cash roughly five times as highly as deferred pension wealth (Fitzpatrick, 2015).</w:t>
      </w:r>
    </w:p>
    <w:p>
      <w:pPr>
        <w:spacing w:after="160" w:line="264" w:lineRule="auto"/>
        <w:jc w:val="both"/>
      </w:pPr>
      <w:r>
        <w:rPr>
          <w:b/>
          <w:bCs/>
        </w:rPr>
        <w:t xml:space="preserve">6. Streamlined re-accreditation works as a standing rule, not as a crisis waiver.</w:t>
      </w:r>
      <w:r>
        <w:t xml:space="preserve"> New Zealand shows the end state. A waiver of the Teacher Education Refresh requirement for returners holding a relief-teaching offer was extended repeatedly and then absorbed into the Teaching Council's ordinary registration policy, alongside a statutory allowance to relief teach 20 half-days a year without a practising certificate and government-paid certification fees (Teaching Council of Aotearoa New Zealand, 2026; New Zealand Ministry of Education, 2026). Ireland's substitution concession for career-break teachers, renewed one year at a time since 2021/22, is the pattern to avoid (Department of Education and Youth, 2025); a returner weighing a career decision cannot plan around a rule with an expiry date.</w:t>
      </w:r>
    </w:p>
    <w:p>
      <w:pPr>
        <w:spacing w:after="160" w:line="264" w:lineRule="auto"/>
        <w:jc w:val="both"/>
      </w:pPr>
      <w:r>
        <w:rPr>
          <w:b/>
          <w:bCs/>
        </w:rPr>
        <w:t xml:space="preserve">7. Part-time and flexible posts are the actual price of return; systems unwilling to pay it should not expect returners.</w:t>
      </w:r>
      <w:r>
        <w:t xml:space="preserve"> Career breakers, the most return-committed segment of England's leavers, came back at double the rate of other former teachers and wanted part-time work that schools rarely advertise (Buchanan et al., 2018; Worth and Sharp, 2018). Portugal's union leaders attributed weak returner uptake to accumulated fatigue and an uninviting working environment rather than to the pay terms (SÁBADO, 2024). </w:t>
      </w:r>
      <w:r>
        <w:rPr>
          <w:i/>
          <w:iCs/>
        </w:rPr>
        <w:t xml:space="preserve">Teachers Matter</w:t>
      </w:r>
      <w:r>
        <w:t xml:space="preserve"> made both halves of the point in 2005, that part-time opportunities raise return rates and that induction support belongs to returners as well as beginners (OECD, 2005). Advertising full classroom loads on unchanged conditions to people who left those conditions is not a re-entry policy.</w:t>
      </w:r>
    </w:p>
    <w:p>
      <w:pPr>
        <w:spacing w:after="160" w:line="264" w:lineRule="auto"/>
        <w:jc w:val="both"/>
      </w:pPr>
      <w:r>
        <w:rPr>
          <w:b/>
          <w:bCs/>
        </w:rPr>
        <w:t xml:space="preserve">8. Retirees' craft has trial support in tutoring roles and none yet in mentoring ones.</w:t>
      </w:r>
      <w:r>
        <w:t xml:space="preserve"> Retired and substitute teachers delivering structured small-group mathematics tutoring reproduced, across 994 first graders in 76 schools, an effect size of +0.34 first obtained with graduate students (Gersten et al., 2015; Rolfhus et al., 2012), and older volunteers tutoring reading produced gains of 0.13-0.16 for students together with randomised evidence of health benefits for the volunteers themselves (Morrow-Howell et al., 2009; What Works Clearinghouse, 2010; Fried et al., 2004; Carlson et al., 2015). The one randomised trial of retirees as new-teacher mentors, by contrast, found no significant effect on student achievement or teacher retention (DeCesare, McClelland and Randel, 2017; What Works Clearinghouse, 2019). Tutoring programmes can be funded on evidence; mentoring programmes are still a hypothesis.</w:t>
      </w:r>
    </w:p>
    <w:p>
      <w:pPr>
        <w:spacing w:after="160" w:line="264" w:lineRule="auto"/>
        <w:jc w:val="both"/>
      </w:pPr>
      <w:r>
        <w:rPr>
          <w:b/>
          <w:bCs/>
        </w:rPr>
        <w:t xml:space="preserve">9. The stay-on margin and the come-back margin are different, and the first dominates at equal money.</w:t>
      </w:r>
      <w:r>
        <w:t xml:space="preserve"> Portugal is the one system to have run both side by side, and the result was 63 accepted returnees against a target of 200 under its pension-plus-salary return route, while roughly 2 200 teachers took the EUR 750 monthly supplement to postpone retirement (Decreto-Lei n.º 51/2024; Diário de Notícias, 2024; RTP, 2026; see Section 3.1). The asymmetry is consistent with causal evidence that pension enhancements rewarding delayed retirement cut retirements by 4-10 percentage points (Fleck et al., 2025). Retention windows should be exhausted first; re-entry is the second channel, and budgets should be split accordingly.</w:t>
      </w:r>
    </w:p>
    <w:p>
      <w:pPr>
        <w:spacing w:after="160" w:line="264" w:lineRule="auto"/>
        <w:jc w:val="both"/>
      </w:pPr>
      <w:r>
        <w:rPr>
          <w:b/>
          <w:bCs/>
        </w:rPr>
        <w:t xml:space="preserve">10. Measures that legislated their own accounting are the only ones with known results.</w:t>
      </w:r>
      <w:r>
        <w:t xml:space="preserve"> Every new measure should carry a sunset date, a mandated uptake count and an arm's-length review. The systems that know what their re-entry measures achieved are the systems that legislated the accounting. Georgia wrote the audit requirement into the statute and received one (Georgia Department of Audits and Accounts, 2025); Austria's Court of Audit produced the only audited national take-up figure in Europe, 1 062 returners over 2018/19 to 2023/24 (Rechnungshof, 2025); New Mexico's retirement board reports participation annually (New Mexico Educational Retirement Board, 2023); Louisiana's Act 344 mandates an actuarial report before 2034 (Teachers' Retirement System of Louisiana, 2026). Where the accounting was left voluntary, it commonly stopped, either at the launch announcement or at a single early count (see Table 4.1).</w:t>
      </w:r>
    </w:p>
    <w:p>
      <w:pPr>
        <w:pStyle w:val="Heading2"/>
      </w:pPr>
      <w:r>
        <w:t xml:space="preserve">4.2. What the evidence does not show</w:t>
      </w:r>
    </w:p>
    <w:p>
      <w:pPr>
        <w:spacing w:after="160" w:line="264" w:lineRule="auto"/>
        <w:jc w:val="both"/>
      </w:pPr>
      <w:r>
        <w:t xml:space="preserve">No quasi-experimental study anywhere prices a re-entry incentive. The causal literature that exists concerns retention and initial entry (Fleck et al., 2025; Sims, Lowes-Belk and Routledge, 2026), and its elasticities cannot be borrowed unexamined for people who have already revealed a preference against prevailing conditions. The recommendations above therefore rest on administrative and audited take-up under different rule designs, on one independent programme evaluation, on randomised trials of retirees in instructional roles rather than of re-entry incentives, and on OECD comparative indicators. They identify which designs move take-up and which suppress it; none of them establishes the causal return on a euro of re-entry spending, because no government has yet generated the data that would allow it.</w:t>
      </w:r>
    </w:p>
    <w:p>
      <w:pPr>
        <w:spacing w:after="160" w:line="264" w:lineRule="auto"/>
        <w:jc w:val="both"/>
      </w:pPr>
      <w:r>
        <w:t xml:space="preserve">The reason is visible in Table 4.1. Of the initiatives compiled for this paper, nine measures verified as adopted and in force have no published take-up or outcome data. Six – Ireland, France, New Zealand, Louisiana, Michigan and Virginia – have never published a figure at all; three – New South Wales, China and England's adviser service – published an early count and nothing since. The table is not an exhaustive census. The OECD has named the underlying weakness, observing that "many education systems may lack accurate data on the number and characteristics of potential returnees and their motivations, which could limit their ability to capitalise on this opportunity strategically" (OECD, 2024). The pattern below indicates that the gap extends past potential returnees to actual ones. Several governments do not appear to know, or at least do not publish, how many teachers their own measures brought back.</w:t>
      </w:r>
    </w:p>
    <w:p>
      <w:pPr>
        <w:keepNext/>
        <w:spacing w:after="120" w:before="200"/>
      </w:pPr>
      <w:r>
        <w:rPr>
          <w:b/>
          <w:bCs/>
          <w:color w:val="4E81BD"/>
          <w:sz w:val="23"/>
          <w:szCs w:val="23"/>
        </w:rPr>
        <w:t xml:space="preserve">Table 4.1. Re-entry measures in force with no published uptake or outcome 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76"/>
        <w:gridCol w:w="3713"/>
        <w:gridCol w:w="3283"/>
      </w:tblGrid>
      <w:tr>
        <w:trPr>
          <w:tblHeader/>
        </w:trPr>
        <w:tc>
          <w:tcPr>
            <w:tcW w:type="dxa" w:w="207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Education system</w:t>
            </w:r>
          </w:p>
        </w:tc>
        <w:tc>
          <w:tcPr>
            <w:tcW w:type="dxa" w:w="371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Measure (year introduced)</w:t>
            </w:r>
          </w:p>
        </w:tc>
        <w:tc>
          <w:tcPr>
            <w:tcW w:type="dxa" w:w="328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20"/>
                <w:szCs w:val="20"/>
              </w:rPr>
              <w:t xml:space="preserve">Absent from the public record</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Australia (New South Wales)</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Teachers Re-Engage outreach (2023)</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Any results after May 2024; programme cost; no mention in the 2024-25 departmental annual report</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China</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National Silver Age Teachers Action Plan (2023)</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Progress towards the 120 000-participant target; any independent evaluation</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France</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Cumul emploi-retraite as applied to teachers (liberalised 2023)</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Any aggregate count of retired teachers re-employed</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Ireland</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Career-break substitution suspension (renewed annually since 2021/22)</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Uptake counts</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New Zealand</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Teacher Education Refresh waiver and relief-teaching route (mainstreamed by 2026)</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Participant counts; any evaluation</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United Kingdom (England)</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 to Teaching Adviser service, all-subjects phase (2022)</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Uptake and cost after the 2022 expansion</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United States (Louisiana)</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Return-to-work Acts 394 (2024) and 344 (2026)</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Uptake counts (an actuarial report is mandated before 2034)</w:t>
            </w:r>
          </w:p>
        </w:tc>
      </w:tr>
      <w:tr>
        <w:trPr>
          <w:tblHeader w:val="false"/>
        </w:trPr>
        <w:tc>
          <w:tcPr>
            <w:tcW w:type="dxa" w:w="207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United States (Michigan)</w:t>
            </w:r>
          </w:p>
        </w:tc>
        <w:tc>
          <w:tcPr>
            <w:tcW w:type="dxa" w:w="371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Public Acts 184 (2022) and 147 (2023)</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20"/>
                <w:szCs w:val="20"/>
              </w:rPr>
              <w:t xml:space="preserve">Uptake counts</w:t>
            </w:r>
          </w:p>
        </w:tc>
      </w:tr>
      <w:tr>
        <w:trPr>
          <w:tblHeader w:val="false"/>
        </w:trPr>
        <w:tc>
          <w:tcPr>
            <w:tcW w:type="dxa" w:w="207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United States (Virginia)</w:t>
            </w:r>
          </w:p>
        </w:tc>
        <w:tc>
          <w:tcPr>
            <w:tcW w:type="dxa" w:w="371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Critical-shortage rehire provisions (2001) and Executive Directive Three (2022)</w:t>
            </w:r>
          </w:p>
        </w:tc>
        <w:tc>
          <w:tcPr>
            <w:tcW w:type="dxa" w:w="32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20"/>
                <w:szCs w:val="20"/>
              </w:rPr>
              <w:t xml:space="preserve">Uptake counts</w:t>
            </w:r>
          </w:p>
        </w:tc>
      </w:tr>
    </w:tbl>
    <w:p>
      <w:pPr>
        <w:spacing w:after="120"/>
      </w:pPr>
    </w:p>
    <w:p>
      <w:pPr>
        <w:spacing w:after="60"/>
        <w:jc w:val="left"/>
      </w:pPr>
      <w:r>
        <w:rPr>
          <w:sz w:val="18"/>
          <w:szCs w:val="18"/>
        </w:rPr>
        <w:t xml:space="preserve">Note: The table lists measures verified as adopted and in force, for which searches of official reports, budget papers, pension-system publications and parliamentary records up to August 2026 located no published take-up or outcome figures. It is not an exhaustive census of unevaluated measures.</w:t>
      </w:r>
    </w:p>
    <w:p>
      <w:pPr>
        <w:spacing w:after="60"/>
        <w:jc w:val="left"/>
      </w:pPr>
      <w:r>
        <w:rPr>
          <w:sz w:val="18"/>
          <w:szCs w:val="18"/>
        </w:rPr>
        <w:t xml:space="preserve">Source: Compiled by the authors from the sources documented in Chapter 3, including NSW Department of Education (2025), MOE et al. (2023), Assemblée nationale (2026), Department of Education and Youth (2025), New Zealand Ministry of Education (2026), UK Parliament (2022), Teachers' Retirement System of Louisiana (2026), Michigan Office of Retirement Services (2023) and Virginia Retirement System (n.d.).</w:t>
      </w:r>
    </w:p>
    <w:p>
      <w:pPr>
        <w:pStyle w:val="Heading2"/>
      </w:pPr>
      <w:r>
        <w:t xml:space="preserve">4.3. What this paper establishes</w:t>
      </w:r>
    </w:p>
    <w:p>
      <w:pPr>
        <w:spacing w:after="160" w:line="264" w:lineRule="auto"/>
        <w:jc w:val="both"/>
      </w:pPr>
      <w:r>
        <w:t xml:space="preserve">The contribution of this paper is the record itself. Before this compilation, the international experience with teacher re-entry existed as scattered announcements, single-country evaluations and pension-board minutes; it can now be read as one body of evidence, verified to primary sources. Four programme funnels from outreach to confirmed returns are on the record together for the first time, from England, New South Wales, the Netherlands and Portugal. Read alongside the other measures compiled here, they support a narrower generalisation: wherever a target number of returners and a count of returners both exist, the count fell short. The Netherlands budgeted for 500 and had paid fewer than 200 by its last published count before the scheme lapsed with no final tally; Portugal offered 200 places and accepted 63. England's pilot exceeded its target for registrations of interest and still placed only 27 people in permanent posts in its target subjects, and China has published no progress at all against its 120 000, so whether that target was met is not on the record either way. One audited national count exists, Austria's 1 062 returners over six school years, and it exists because a court of audit went looking (Rechnungshof, 2025). The full design spectrum of pension re-employment rules, from North Carolina's neutrality to Georgia's stacked screens, is documented alongside the take-up each produced. The randomised record on retirees is now stated precisely, strong for structured tutoring, null so far for mentoring. And Table 4.1 records, system by system, which governments cannot say what their own measures achieved.</w:t>
      </w:r>
    </w:p>
    <w:p>
      <w:pPr>
        <w:spacing w:after="160" w:line="264" w:lineRule="auto"/>
        <w:jc w:val="both"/>
      </w:pPr>
      <w:r>
        <w:t xml:space="preserve">The paper also fixes the terms of the argument. Former teachers merit analysis as a population, for the experience they carry and can transmit, not merely as a residual on a vacancy spreadsheet; and re-entry is a modest margin of the response to shortages, worth engineering well precisely because none of its cost need be wasted on the illusion that it is the whole answer. The design lessons above are actionable now. What remains for governments is the cheapest recommendation on the list and the one with the highest return for the next paper on this subject, which is to count who comes back.</w:t>
      </w:r>
    </w:p>
    <w:p>
      <w:pPr>
        <w:pStyle w:val="Heading1"/>
        <w:pageBreakBefore/>
      </w:pPr>
      <w:r>
        <w:t xml:space="preserve">References</w:t>
      </w:r>
    </w:p>
    <w:p>
      <w:pPr>
        <w:spacing w:after="120"/>
        <w:ind w:left="567" w:hanging="567"/>
        <w:jc w:val="left"/>
      </w:pPr>
      <w:r>
        <w:rPr>
          <w:sz w:val="21"/>
          <w:szCs w:val="21"/>
        </w:rPr>
        <w:t xml:space="preserve">AARP (2025), "AARP Foundation Experience Corps Celebrates 30 Years", AARP, Washington, DC, https://www.aarp.org/advocacy/experience-corps-celebrates-30-years-2025/.</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Aldeman, C. and S. Yi (2025), "Are Teachers Abandoning Teaching? Data Show Teacher Turnover Remains Low", </w:t>
      </w:r>
      <w:r>
        <w:rPr>
          <w:i/>
          <w:iCs/>
          <w:sz w:val="21"/>
          <w:szCs w:val="21"/>
        </w:rPr>
        <w:t xml:space="preserve">Education Next</w:t>
      </w:r>
      <w:r>
        <w:rPr>
          <w:sz w:val="21"/>
          <w:szCs w:val="21"/>
        </w:rPr>
        <w:t xml:space="preserve">, published online 18 December 2025, https://www.educationnext.org/are-teachers-abandoning-teaching-data-show-teacher-turnover-remains-low/.</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APA/ORF (2023), "Lehrkräftemangel: Pensionisten umworben", oesterreich.ORF.at, 11 March 2023, https://oesterreich.orf.at/stories/3198263/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Brandenburg, R., E. Larsen, A. Simpson, R. Sallis and D. Trần (2024), "'I left the teaching profession … and this is what I am doing now': a national study of teacher attrition", </w:t>
      </w:r>
      <w:r>
        <w:rPr>
          <w:i/>
          <w:iCs/>
          <w:sz w:val="21"/>
          <w:szCs w:val="21"/>
        </w:rPr>
        <w:t xml:space="preserve">The Australian Educational Researcher</w:t>
      </w:r>
      <w:r>
        <w:rPr>
          <w:sz w:val="21"/>
          <w:szCs w:val="21"/>
        </w:rPr>
        <w:t xml:space="preserve">, Vol. 51/5, pp. 2381-2400, https://doi.org/10.1007/s13384-024-00697-1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Carlson, M. C. et al. (2015), "Impact of the Baltimore Experience Corps Trial on cortical and hippocampal volumes", </w:t>
      </w:r>
      <w:r>
        <w:rPr>
          <w:i/>
          <w:iCs/>
          <w:sz w:val="21"/>
          <w:szCs w:val="21"/>
        </w:rPr>
        <w:t xml:space="preserve">Alzheimer's &amp; Dementia</w:t>
      </w:r>
      <w:r>
        <w:rPr>
          <w:sz w:val="21"/>
          <w:szCs w:val="21"/>
        </w:rPr>
        <w:t xml:space="preserve">, Vol. 11/11, pp. 1340-1348, https://doi.org/10.1016/j.jalz.2014.12.005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Cooper, I. C. (2026), "Statement by the Minister of Education DPM Chester Cooper on the recruitment of up to 300 teachers", ministerial statement, Ministry of Education, Science and Technology, Nassau, 12 July 2026, reproduced by </w:t>
      </w:r>
      <w:r>
        <w:rPr>
          <w:i/>
          <w:iCs/>
          <w:sz w:val="21"/>
          <w:szCs w:val="21"/>
        </w:rPr>
        <w:t xml:space="preserve">Bahamas Press</w:t>
      </w:r>
      <w:r>
        <w:rPr>
          <w:sz w:val="21"/>
          <w:szCs w:val="21"/>
        </w:rPr>
        <w:t xml:space="preserve">, https://www.bahamaspress.com/statement-by-the-minister-of-education-dpm-chester-cooper-on-the-recruitment-of-upto-300-teachers/.</w:t>
      </w:r>
    </w:p>
    <w:p>
      <w:pPr>
        <w:spacing w:after="120"/>
        <w:ind w:left="567" w:hanging="567"/>
        <w:jc w:val="left"/>
      </w:pPr>
      <w:r>
        <w:rPr>
          <w:sz w:val="21"/>
          <w:szCs w:val="21"/>
        </w:rPr>
        <w:t xml:space="preserve">Costrell, R. M. and M. Podgursky (2009), "Peaks, Cliffs, and Valleys: The Peculiar Incentives in Teacher Retirement Systems and Their Consequences for School Staffing", </w:t>
      </w:r>
      <w:r>
        <w:rPr>
          <w:i/>
          <w:iCs/>
          <w:sz w:val="21"/>
          <w:szCs w:val="21"/>
        </w:rPr>
        <w:t xml:space="preserve">Education Finance and Policy</w:t>
      </w:r>
      <w:r>
        <w:rPr>
          <w:sz w:val="21"/>
          <w:szCs w:val="21"/>
        </w:rPr>
        <w:t xml:space="preserve">, Vol. 4/2, pp. 175-211, https://direct.mit.edu/edfp/article/4/2/175/10094/.</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for Education (2025a), </w:t>
      </w:r>
      <w:r>
        <w:rPr>
          <w:i/>
          <w:iCs/>
          <w:sz w:val="21"/>
          <w:szCs w:val="21"/>
        </w:rPr>
        <w:t xml:space="preserve">School Workforce in England: Reporting Year 2024</w:t>
      </w:r>
      <w:r>
        <w:rPr>
          <w:sz w:val="21"/>
          <w:szCs w:val="21"/>
        </w:rPr>
        <w:t xml:space="preserve">, Explore Education Statistics, London, https://explore-education-statistics.service.gov.uk/find-statistics/school-workforce-in-england/2024.</w:t>
      </w:r>
    </w:p>
    <w:p>
      <w:pPr>
        <w:spacing w:after="120"/>
        <w:ind w:left="567" w:hanging="567"/>
        <w:jc w:val="left"/>
      </w:pPr>
      <w:r>
        <w:rPr>
          <w:sz w:val="21"/>
          <w:szCs w:val="21"/>
        </w:rPr>
        <w:t xml:space="preserve">Department for Education (2025b), </w:t>
      </w:r>
      <w:r>
        <w:rPr>
          <w:i/>
          <w:iCs/>
          <w:sz w:val="21"/>
          <w:szCs w:val="21"/>
        </w:rPr>
        <w:t xml:space="preserve">Working Lives of Teachers and Leaders</w:t>
      </w:r>
      <w:r>
        <w:rPr>
          <w:sz w:val="21"/>
          <w:szCs w:val="21"/>
        </w:rPr>
        <w:t xml:space="preserve"> survey series (2022-2024 waves), Department for Education, London; figures cited as reported in SecEd (2025), "Teachers' working hours fall – to 48.1 a week", https://www.sec-ed.co.uk/content/news/teachers-weekly-working-hours-48-a-week.</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DUO (2026), "Stille reserve oud-leraren in het onderwijs afgelopen 10 jaar afgenomen", press release, 28 May 2026, Dienst Uitvoering Onderwijs, https://duo.nl/organisatie/pers/stille-reserve-oud-leraren-in-het-onderwijs-afgelopen-10-jaar-afgenomen.jsp (accessed on 4 August 2026).</w:t>
      </w:r>
    </w:p>
    <w:p>
      <w:pPr>
        <w:spacing w:after="120"/>
        <w:ind w:left="567" w:hanging="567"/>
        <w:jc w:val="left"/>
      </w:pPr>
      <w:r>
        <w:rPr>
          <w:sz w:val="21"/>
          <w:szCs w:val="21"/>
        </w:rPr>
        <w:t xml:space="preserve">Feng, L. and T. Sass (2018), "The impact of incentives to recruit and retain teachers in 'hard-to-staff' subjects", </w:t>
      </w:r>
      <w:r>
        <w:rPr>
          <w:i/>
          <w:iCs/>
          <w:sz w:val="21"/>
          <w:szCs w:val="21"/>
        </w:rPr>
        <w:t xml:space="preserve">Journal of Policy Analysis and Management</w:t>
      </w:r>
      <w:r>
        <w:rPr>
          <w:sz w:val="21"/>
          <w:szCs w:val="21"/>
        </w:rPr>
        <w:t xml:space="preserve">, Vol. 37/1, pp. 112-135, https://onlinelibrary.wiley.com/doi/10.1002/pam.22037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Fleck, L., M. Somers, T. Stolp, W. Groot, F. van Merode and R. de Vries (2025), "The Effectiveness of Interventions to Increase Employment in Education and Healthcare: A Systematic Literature Review", </w:t>
      </w:r>
      <w:r>
        <w:rPr>
          <w:i/>
          <w:iCs/>
          <w:sz w:val="21"/>
          <w:szCs w:val="21"/>
        </w:rPr>
        <w:t xml:space="preserve">De Economist</w:t>
      </w:r>
      <w:r>
        <w:rPr>
          <w:sz w:val="21"/>
          <w:szCs w:val="21"/>
        </w:rPr>
        <w:t xml:space="preserve">, Vol. 173, pp. 1-45, published online 16 December 2024, https://doi.org/10.1007/s10645-024-09440-8 (accessed on 5 August 2026).</w:t>
      </w:r>
    </w:p>
    <w:p>
      <w:pPr>
        <w:spacing w:after="120"/>
        <w:ind w:left="567" w:hanging="567"/>
        <w:jc w:val="left"/>
      </w:pPr>
      <w:r>
        <w:rPr>
          <w:sz w:val="21"/>
          <w:szCs w:val="21"/>
        </w:rPr>
        <w:t xml:space="preserve">Fried, L. P. et al. (2004), "A social model for health promotion for an aging population: Initial evidence on the Experience Corps model", </w:t>
      </w:r>
      <w:r>
        <w:rPr>
          <w:i/>
          <w:iCs/>
          <w:sz w:val="21"/>
          <w:szCs w:val="21"/>
        </w:rPr>
        <w:t xml:space="preserve">Journal of Urban Health</w:t>
      </w:r>
      <w:r>
        <w:rPr>
          <w:sz w:val="21"/>
          <w:szCs w:val="21"/>
        </w:rPr>
        <w:t xml:space="preserve">, Vol. 81/1, pp. 64-78, https://doi.org/10.1093/jurban/jth094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Grissom, J. A. and M. Reininger (2012), "Who Comes Back? A Longitudinal Analysis of the Reentry Behavior of Exiting Teachers", </w:t>
      </w:r>
      <w:r>
        <w:rPr>
          <w:i/>
          <w:iCs/>
          <w:sz w:val="21"/>
          <w:szCs w:val="21"/>
        </w:rPr>
        <w:t xml:space="preserve">Education Finance and Policy</w:t>
      </w:r>
      <w:r>
        <w:rPr>
          <w:sz w:val="21"/>
          <w:szCs w:val="21"/>
        </w:rPr>
        <w:t xml:space="preserve">, Vol. 7/4, pp. 425-454, https://direct.mit.edu/edfp/article-abstract/7/4/425/10162.</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Harris, D. N. and S. J. Adams (2007), "Understanding the level and causes of teacher turnover: A comparison with other professions", </w:t>
      </w:r>
      <w:r>
        <w:rPr>
          <w:i/>
          <w:iCs/>
          <w:sz w:val="21"/>
          <w:szCs w:val="21"/>
        </w:rPr>
        <w:t xml:space="preserve">Economics of Education Review</w:t>
      </w:r>
      <w:r>
        <w:rPr>
          <w:sz w:val="21"/>
          <w:szCs w:val="21"/>
        </w:rPr>
        <w:t xml:space="preserve">, Vol. 26/3, pp. 325-337, https://www.sciencedirect.com/science/article/abs/pii/S027277570600029X.</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Lizalde Gil, M. and M. P. A. Cortés Pascual (2019), "10 mirrors: El acompañamiento y la orientación formativa de los estudiantes de los grados en magisterio desde la experiencia profesional", in P. Allueva Torres (coord.), </w:t>
      </w:r>
      <w:r>
        <w:rPr>
          <w:i/>
          <w:iCs/>
          <w:sz w:val="21"/>
          <w:szCs w:val="21"/>
        </w:rPr>
        <w:t xml:space="preserve">Orientación y calidad educativa universitarias</w:t>
      </w:r>
      <w:r>
        <w:rPr>
          <w:sz w:val="21"/>
          <w:szCs w:val="21"/>
        </w:rPr>
        <w:t xml:space="preserve">, Servicio de Publicaciones, Universidad de Zaragoza, Zaragoza, pp. 373-384, https://dialnet.unirioja.es/servlet/articulo?codigo=8153125.</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Moyer, A. (2022), "Has 'Who Comes Back' Changed? Teacher Reentry 2000-2019", </w:t>
      </w:r>
      <w:r>
        <w:rPr>
          <w:i/>
          <w:iCs/>
          <w:sz w:val="21"/>
          <w:szCs w:val="21"/>
        </w:rPr>
        <w:t xml:space="preserve">Educational Researcher</w:t>
      </w:r>
      <w:r>
        <w:rPr>
          <w:sz w:val="21"/>
          <w:szCs w:val="21"/>
        </w:rPr>
        <w:t xml:space="preserve">, Vol. 51/8, pp. 544-546, https://doi.org/10.3102/0013189X221122746.</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Government (2025), "New Teacher Bonding Scheme supports schools and teachers", Beehive press release, Hon Erica Stanford, 19 September 2025, https://www.beehive.govt.nz/release/new-teacher-bonding-scheme-supports-schools-and-teachers.</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Nguyen, T. D., E. Bettini, C. Redding and A. F. Gilmour (2025), "Comparing Teacher Turnover Intentions to Actual Turnover: Cautions and Lessons for the Field", </w:t>
      </w:r>
      <w:r>
        <w:rPr>
          <w:i/>
          <w:iCs/>
          <w:sz w:val="21"/>
          <w:szCs w:val="21"/>
        </w:rPr>
        <w:t xml:space="preserve">Educational Evaluation and Policy Analysis</w:t>
      </w:r>
      <w:r>
        <w:rPr>
          <w:sz w:val="21"/>
          <w:szCs w:val="21"/>
        </w:rPr>
        <w:t xml:space="preserve">, https://journals.sagepub.com/doi/abs/10.3102/01623737241249459.</w:t>
      </w:r>
    </w:p>
    <w:p>
      <w:pPr>
        <w:spacing w:after="120"/>
        <w:ind w:left="567" w:hanging="567"/>
        <w:jc w:val="left"/>
      </w:pPr>
      <w:r>
        <w:rPr>
          <w:sz w:val="21"/>
          <w:szCs w:val="21"/>
        </w:rPr>
        <w:t xml:space="preserve">Nguyen, T. D., L. D. Pham, M. Crouch and M. G. Springer (2020), "The correlates of teacher turnover: An updated and expanded meta-analysis of the literature", </w:t>
      </w:r>
      <w:r>
        <w:rPr>
          <w:i/>
          <w:iCs/>
          <w:sz w:val="21"/>
          <w:szCs w:val="21"/>
        </w:rPr>
        <w:t xml:space="preserve">Educational Research Review</w:t>
      </w:r>
      <w:r>
        <w:rPr>
          <w:sz w:val="21"/>
          <w:szCs w:val="21"/>
        </w:rPr>
        <w:t xml:space="preserve">, Vol. 31, 100355, https://www.sciencedirect.com/science/article/abs/pii/S1747938X19305597.</w:t>
      </w:r>
    </w:p>
    <w:p>
      <w:pPr>
        <w:spacing w:after="120"/>
        <w:ind w:left="567" w:hanging="567"/>
        <w:jc w:val="left"/>
      </w:pPr>
      <w:r>
        <w:rPr>
          <w:sz w:val="21"/>
          <w:szCs w:val="21"/>
        </w:rPr>
        <w:t xml:space="preserve">Nippon.com (2022), "Survey Reveals Teacher Shortage in Japan", 15 March 2022, https://www.nippon.com/en/japan-data/h01264/ (accessed on 5 August 2026).</w:t>
      </w:r>
    </w:p>
    <w:p>
      <w:pPr>
        <w:spacing w:after="120"/>
        <w:ind w:left="567" w:hanging="567"/>
        <w:jc w:val="left"/>
      </w:pPr>
      <w:r>
        <w:rPr>
          <w:sz w:val="21"/>
          <w:szCs w:val="21"/>
        </w:rPr>
        <w:t xml:space="preserve">Nippon.com (2026), "3,827 Teacher Positions Unfilled across Japan: 2025 Survey", https://www.nippon.com/en/news/yjj2026030500966/ (accessed on 5 August 2026).</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(2019), </w:t>
      </w:r>
      <w:r>
        <w:rPr>
          <w:i/>
          <w:iCs/>
          <w:sz w:val="21"/>
          <w:szCs w:val="21"/>
        </w:rPr>
        <w:t xml:space="preserve">TALIS 2018 Results (Volume I): Teachers and School Leaders as Lifelong Learners</w:t>
      </w:r>
      <w:r>
        <w:rPr>
          <w:sz w:val="21"/>
          <w:szCs w:val="21"/>
        </w:rPr>
        <w:t xml:space="preserve">, TALIS, OECD Publishing, Paris, https://doi.org/10.1787/1d0bc92a-en (accessed on 5 August 2026).</w:t>
      </w:r>
    </w:p>
    <w:p>
      <w:pPr>
        <w:spacing w:after="120"/>
        <w:ind w:left="567" w:hanging="567"/>
        <w:jc w:val="left"/>
      </w:pPr>
      <w:r>
        <w:rPr>
          <w:sz w:val="21"/>
          <w:szCs w:val="21"/>
        </w:rPr>
        <w:t xml:space="preserve">OECD (2020), </w:t>
      </w:r>
      <w:r>
        <w:rPr>
          <w:i/>
          <w:iCs/>
          <w:sz w:val="21"/>
          <w:szCs w:val="21"/>
        </w:rPr>
        <w:t xml:space="preserve">TALIS 2018 Results (Volume II): Teachers and School Leaders as Valued Professionals</w:t>
      </w:r>
      <w:r>
        <w:rPr>
          <w:sz w:val="21"/>
          <w:szCs w:val="21"/>
        </w:rPr>
        <w:t xml:space="preserve">, TALIS, OECD Publishing, Paris, https://doi.org/10.1787/19cf08df-en (report page: https://www.oecd.org/en/publications/talis-2018-results-volume-ii_19cf08df-en.html).</w:t>
      </w:r>
    </w:p>
    <w:p>
      <w:pPr>
        <w:spacing w:after="120"/>
        <w:ind w:left="567" w:hanging="567"/>
        <w:jc w:val="left"/>
      </w:pPr>
      <w:r>
        <w:rPr>
          <w:sz w:val="21"/>
          <w:szCs w:val="21"/>
        </w:rPr>
        <w:t xml:space="preserve">OECD (2023), </w:t>
      </w:r>
      <w:r>
        <w:rPr>
          <w:i/>
          <w:iCs/>
          <w:sz w:val="21"/>
          <w:szCs w:val="21"/>
        </w:rPr>
        <w:t xml:space="preserve">PISA 2022 Results (Volume II): Learning During – and From – Disruption</w:t>
      </w:r>
      <w:r>
        <w:rPr>
          <w:sz w:val="21"/>
          <w:szCs w:val="21"/>
        </w:rPr>
        <w:t xml:space="preserve">, PISA, OECD Publishing, Paris, https://doi.org/10.1787/a97db61c-en (accessed on 5 August 2026).</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(2025a),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OECD (2025b), </w:t>
      </w:r>
      <w:r>
        <w:rPr>
          <w:i/>
          <w:iCs/>
          <w:sz w:val="21"/>
          <w:szCs w:val="21"/>
        </w:rPr>
        <w:t xml:space="preserve">Results from TALIS 2024: The State of Teaching</w:t>
      </w:r>
      <w:r>
        <w:rPr>
          <w:sz w:val="21"/>
          <w:szCs w:val="21"/>
        </w:rPr>
        <w:t xml:space="preserve">, TALIS, OECD Publishing, Paris, https://doi.org/10.1787/90df6235-en (accessed on 5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OTF (2023), "50-Day re-employment rule increased to 95 days for some OTPP retirees until June 30, 2023", Ontario Teachers' Federation, https://www.otffeo.on.ca/en/news/50-day-re-employment-rule-increased-to-95-days-for-some-otpp-retirees-until-june-30-2023/ (accessed on 4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Resch, K. (2025a), "Retired teachers return to school to tackle teacher shortages in Austrian schools. An untapped reserve or emergency response?", </w:t>
      </w:r>
      <w:r>
        <w:rPr>
          <w:i/>
          <w:iCs/>
          <w:sz w:val="21"/>
          <w:szCs w:val="21"/>
        </w:rPr>
        <w:t xml:space="preserve">European Journal of Teacher Education</w:t>
      </w:r>
      <w:r>
        <w:rPr>
          <w:sz w:val="21"/>
          <w:szCs w:val="21"/>
        </w:rPr>
        <w:t xml:space="preserve">, advance online publication, 10 July 2025, https://doi.org/10.1080/02619768.2025.2531930 (accessed on 5 August 2026).</w:t>
      </w:r>
    </w:p>
    <w:p>
      <w:pPr>
        <w:spacing w:after="120"/>
        <w:ind w:left="567" w:hanging="567"/>
        <w:jc w:val="left"/>
      </w:pPr>
      <w:r>
        <w:rPr>
          <w:sz w:val="21"/>
          <w:szCs w:val="21"/>
        </w:rPr>
        <w:t xml:space="preserve">Resch, K. (2025b), "Die Rückkehr von pensionierten Lehrpersonen in den Schuldienst als berufsbiographisches Ereignis", </w:t>
      </w:r>
      <w:r>
        <w:rPr>
          <w:i/>
          <w:iCs/>
          <w:sz w:val="21"/>
          <w:szCs w:val="21"/>
        </w:rPr>
        <w:t xml:space="preserve">Zeitschrift für Bildungsforschung</w:t>
      </w:r>
      <w:r>
        <w:rPr>
          <w:sz w:val="21"/>
          <w:szCs w:val="21"/>
        </w:rPr>
        <w:t xml:space="preserve">, published online 12 November 2025, https://doi.org/10.1007/s35834-025-00519-z (accessed on 5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Sims, S., H. Lowes-Belk and C. Routledge (2026), "Why do people choose to enter and exit the teaching profession? An interdisciplinary quantitative synthesis", </w:t>
      </w:r>
      <w:r>
        <w:rPr>
          <w:i/>
          <w:iCs/>
          <w:sz w:val="21"/>
          <w:szCs w:val="21"/>
        </w:rPr>
        <w:t xml:space="preserve">British Educational Research Journal</w:t>
      </w:r>
      <w:r>
        <w:rPr>
          <w:sz w:val="21"/>
          <w:szCs w:val="21"/>
        </w:rPr>
        <w:t xml:space="preserve">, Vol. 52/3, pp. 1652-1676, published online 24 October 2025, https://doi.org/10.1002/berj.70027 (accessed on 5 August 2026).</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Tan, T., W. Wei, D. Carver-Thomas and E. García (2026), </w:t>
      </w:r>
      <w:r>
        <w:rPr>
          <w:i/>
          <w:iCs/>
          <w:sz w:val="21"/>
          <w:szCs w:val="21"/>
        </w:rPr>
        <w:t xml:space="preserve">Teacher Turnover in the United States: Who Moves, Who Leaves, and Why</w:t>
      </w:r>
      <w:r>
        <w:rPr>
          <w:sz w:val="21"/>
          <w:szCs w:val="21"/>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1"/>
          <w:szCs w:val="21"/>
        </w:rPr>
        <w:t xml:space="preserve">UNESCO and International Task Force on Teachers for Education 2030 (2024), </w:t>
      </w:r>
      <w:r>
        <w:rPr>
          <w:i/>
          <w:iCs/>
          <w:sz w:val="21"/>
          <w:szCs w:val="21"/>
        </w:rPr>
        <w:t xml:space="preserve">Global Report on Teachers: Addressing Teacher Shortages and Transforming the Profession</w:t>
      </w:r>
      <w:r>
        <w:rPr>
          <w:sz w:val="21"/>
          <w:szCs w:val="21"/>
        </w:rPr>
        <w:t xml:space="preserve">, UNESCO, Paris, https://www.unesco.org/en/articles/global-report-teachers-addressing-teacher-shortages-and-transforming-profession.</w:t>
      </w:r>
    </w:p>
    <w:p>
      <w:pPr>
        <w:spacing w:after="120"/>
        <w:ind w:left="567" w:hanging="567"/>
        <w:jc w:val="left"/>
      </w:pPr>
      <w:r>
        <w:rPr>
          <w:sz w:val="21"/>
          <w:szCs w:val="21"/>
        </w:rPr>
        <w:t xml:space="preserve">Varma, V. R. et al. (2016), "Effect of community volunteering on physical activity: A randomized controlled trial", </w:t>
      </w:r>
      <w:r>
        <w:rPr>
          <w:i/>
          <w:iCs/>
          <w:sz w:val="21"/>
          <w:szCs w:val="21"/>
        </w:rPr>
        <w:t xml:space="preserve">American Journal of Preventive Medicine</w:t>
      </w:r>
      <w:r>
        <w:rPr>
          <w:sz w:val="21"/>
          <w:szCs w:val="21"/>
        </w:rPr>
        <w:t xml:space="preserve">, Vol. 50/1, pp. 106-110, https://pubmed.ncbi.nlm.nih.gov/26340864/.</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What Works Clearinghouse (2010), </w:t>
      </w:r>
      <w:r>
        <w:rPr>
          <w:i/>
          <w:iCs/>
          <w:sz w:val="21"/>
          <w:szCs w:val="21"/>
        </w:rPr>
        <w:t xml:space="preserve">WWC Quick Review of the Report "Evaluation of Experience Corps: Student Reading Outcomes"</w:t>
      </w:r>
      <w:r>
        <w:rPr>
          <w:sz w:val="21"/>
          <w:szCs w:val="21"/>
        </w:rPr>
        <w:t xml:space="preserve">, Institute of Education Sciences, U.S. Department of Education, Washington, DC, February 2010, https://ies.ed.gov/ncee/wwc/Docs/QuickReview/expcorps_020910.pdf (accessed on 5 August 2026).</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p>
      <w:pPr>
        <w:spacing w:after="120"/>
        <w:ind w:left="567" w:hanging="567"/>
        <w:jc w:val="left"/>
      </w:pPr>
      <w:r>
        <w:rPr>
          <w:sz w:val="21"/>
          <w:szCs w:val="21"/>
        </w:rPr>
        <w:t xml:space="preserve">ZNS Bahamas (2026), "The Ministry of Education Aiming to Attract More Bahamian Teachers", ZNS Bahamas (Broadcasting Corporation of The Bahamas), 17 July 2026, https://znsbahamas.com/the-ministry-of-education-aiming-to-attract-more-bahamian-teachers/.</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WORKING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2026-08-07T10:02:39.021Z</dcterms:created>
  <dcterms:modified xsi:type="dcterms:W3CDTF">2026-08-07T10:02:39.024Z</dcterms:modified>
</cp:coreProperties>
</file>

<file path=docProps/custom.xml><?xml version="1.0" encoding="utf-8"?>
<Properties xmlns="http://schemas.openxmlformats.org/officeDocument/2006/custom-properties" xmlns:vt="http://schemas.openxmlformats.org/officeDocument/2006/docPropsVTypes"/>
</file>