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7A7F9B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r w:rsidR="00D924EF">
        <w:rPr>
          <w:rFonts w:ascii="Times New Roman" w:hAnsi="Times New Roman" w:cs="Times New Roman"/>
          <w:sz w:val="28"/>
          <w:szCs w:val="28"/>
        </w:rPr>
        <w:t xml:space="preserve"> young</w:t>
      </w:r>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w:t>
      </w:r>
      <w:r w:rsidR="00FB0662">
        <w:rPr>
          <w:rFonts w:ascii="Times New Roman" w:hAnsi="Times New Roman" w:cs="Times New Roman"/>
          <w:sz w:val="28"/>
          <w:szCs w:val="28"/>
        </w:rPr>
        <w:t xml:space="preserve">under </w:t>
      </w:r>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r w:rsidR="001054E3">
        <w:rPr>
          <w:rFonts w:ascii="Times New Roman" w:hAnsi="Times New Roman" w:cs="Times New Roman"/>
          <w:sz w:val="28"/>
          <w:szCs w:val="28"/>
        </w:rPr>
        <w:t>altered water availability</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945155B"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070ADD">
        <w:rPr>
          <w:rFonts w:ascii="Times New Roman" w:hAnsi="Times New Roman" w:cs="Times New Roman"/>
          <w:sz w:val="24"/>
          <w:szCs w:val="24"/>
        </w:rPr>
        <w:t>6999</w:t>
      </w:r>
    </w:p>
    <w:p w14:paraId="196A086D" w14:textId="3A51087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366503">
        <w:rPr>
          <w:rFonts w:ascii="Times New Roman" w:hAnsi="Times New Roman" w:cs="Times New Roman"/>
          <w:sz w:val="24"/>
          <w:szCs w:val="24"/>
        </w:rPr>
        <w:t>199</w:t>
      </w:r>
    </w:p>
    <w:p w14:paraId="3BDCCDA3" w14:textId="166EE71B"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sidR="00070ADD">
        <w:rPr>
          <w:rFonts w:ascii="Times New Roman" w:hAnsi="Times New Roman" w:cs="Times New Roman"/>
          <w:sz w:val="24"/>
          <w:szCs w:val="24"/>
        </w:rPr>
        <w:t>1349</w:t>
      </w:r>
    </w:p>
    <w:p w14:paraId="25949B47" w14:textId="427ECBB1"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070ADD">
        <w:rPr>
          <w:rFonts w:ascii="Times New Roman" w:hAnsi="Times New Roman" w:cs="Times New Roman"/>
          <w:sz w:val="24"/>
          <w:szCs w:val="24"/>
        </w:rPr>
        <w:t>2534</w:t>
      </w:r>
    </w:p>
    <w:p w14:paraId="1F828C49" w14:textId="15592789"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r w:rsidR="00070ADD">
        <w:rPr>
          <w:rFonts w:ascii="Times New Roman" w:hAnsi="Times New Roman" w:cs="Times New Roman"/>
          <w:sz w:val="24"/>
          <w:szCs w:val="24"/>
        </w:rPr>
        <w:t>7</w:t>
      </w:r>
    </w:p>
    <w:p w14:paraId="6046FD2E" w14:textId="1375E7E6"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r w:rsidR="00070ADD">
        <w:rPr>
          <w:rFonts w:ascii="Times New Roman" w:hAnsi="Times New Roman" w:cs="Times New Roman"/>
          <w:sz w:val="24"/>
          <w:szCs w:val="24"/>
        </w:rPr>
        <w:t>1670</w:t>
      </w:r>
    </w:p>
    <w:p w14:paraId="02E14035" w14:textId="2D4E0E0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070ADD">
        <w:rPr>
          <w:rFonts w:ascii="Times New Roman" w:hAnsi="Times New Roman" w:cs="Times New Roman"/>
          <w:sz w:val="24"/>
          <w:szCs w:val="24"/>
        </w:rPr>
        <w:t>119</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47B77EBF"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r w:rsidR="00D50D49">
        <w:rPr>
          <w:rFonts w:ascii="Times New Roman" w:hAnsi="Times New Roman" w:cs="Times New Roman"/>
          <w:sz w:val="24"/>
          <w:szCs w:val="24"/>
        </w:rPr>
        <w:t>carbon (</w:t>
      </w:r>
      <w:r>
        <w:rPr>
          <w:rFonts w:ascii="Times New Roman" w:hAnsi="Times New Roman" w:cs="Times New Roman"/>
          <w:sz w:val="24"/>
          <w:szCs w:val="24"/>
        </w:rPr>
        <w:t>C</w:t>
      </w:r>
      <w:r w:rsidR="00D50D49">
        <w:rPr>
          <w:rFonts w:ascii="Times New Roman" w:hAnsi="Times New Roman" w:cs="Times New Roman"/>
          <w:sz w:val="24"/>
          <w:szCs w:val="24"/>
        </w:rPr>
        <w:t>)</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r w:rsidR="001054E3">
        <w:rPr>
          <w:rFonts w:ascii="Times New Roman" w:hAnsi="Times New Roman" w:cs="Times New Roman"/>
          <w:sz w:val="24"/>
          <w:szCs w:val="24"/>
        </w:rPr>
        <w:t>,</w:t>
      </w:r>
      <w:r w:rsidR="008B7782" w:rsidRPr="008B7782">
        <w:rPr>
          <w:rFonts w:ascii="Times New Roman" w:hAnsi="Times New Roman" w:cs="Times New Roman"/>
          <w:sz w:val="24"/>
          <w:szCs w:val="24"/>
        </w:rPr>
        <w:t xml:space="preserve"> and </w:t>
      </w:r>
      <w:r w:rsidR="00FB0662">
        <w:rPr>
          <w:rFonts w:ascii="Times New Roman" w:hAnsi="Times New Roman" w:cs="Times New Roman"/>
          <w:sz w:val="24"/>
          <w:szCs w:val="24"/>
        </w:rPr>
        <w:t>its sensitivity to</w:t>
      </w:r>
      <w:r w:rsidR="008B7782" w:rsidRPr="008B7782">
        <w:rPr>
          <w:rFonts w:ascii="Times New Roman" w:hAnsi="Times New Roman" w:cs="Times New Roman"/>
          <w:sz w:val="24"/>
          <w:szCs w:val="24"/>
        </w:rPr>
        <w:t xml:space="preserve"> environmental changes such as warming and </w:t>
      </w:r>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7A09282C"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r w:rsidR="00D924EF">
        <w:rPr>
          <w:rFonts w:ascii="Times New Roman" w:hAnsi="Times New Roman" w:cs="Times New Roman"/>
          <w:sz w:val="24"/>
          <w:szCs w:val="24"/>
        </w:rPr>
        <w:t xml:space="preserve"> </w:t>
      </w:r>
      <w:r w:rsidR="00BB3BE8">
        <w:rPr>
          <w:rFonts w:ascii="Times New Roman" w:hAnsi="Times New Roman" w:cs="Times New Roman"/>
          <w:sz w:val="24"/>
          <w:szCs w:val="24"/>
        </w:rPr>
        <w:t>young</w:t>
      </w:r>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w:t>
      </w:r>
      <w:bookmarkStart w:id="1" w:name="_GoBack"/>
      <w:bookmarkEnd w:id="1"/>
      <w:r w:rsidRPr="00555290">
        <w:rPr>
          <w:rFonts w:ascii="Times New Roman" w:hAnsi="Times New Roman" w:cs="Times New Roman"/>
          <w:sz w:val="24"/>
          <w:szCs w:val="24"/>
        </w:rPr>
        <w:t xml:space="preserve">+3°C warming and </w:t>
      </w:r>
      <w:r w:rsidR="001054E3">
        <w:rPr>
          <w:rFonts w:ascii="Times New Roman" w:hAnsi="Times New Roman" w:cs="Times New Roman"/>
          <w:sz w:val="24"/>
          <w:szCs w:val="24"/>
        </w:rPr>
        <w:t>elimination of summer precipitation</w:t>
      </w:r>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69242259" w:rsidR="00AC014C" w:rsidRDefault="00D924EF"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Trees grew from small saplings to nearly 9-m-height during this 15 month experiment. </w:t>
      </w:r>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r w:rsidR="001054E3">
        <w:rPr>
          <w:rFonts w:ascii="Times New Roman" w:hAnsi="Times New Roman" w:cs="Times New Roman"/>
          <w:sz w:val="24"/>
          <w:szCs w:val="24"/>
        </w:rPr>
        <w:t>Eliminating summer precipitation</w:t>
      </w:r>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r w:rsidR="00DE74F4" w:rsidRPr="00555290">
        <w:rPr>
          <w:rFonts w:ascii="Times New Roman" w:hAnsi="Times New Roman" w:cs="Times New Roman"/>
          <w:b/>
          <w:sz w:val="24"/>
          <w:szCs w:val="24"/>
        </w:rPr>
        <w:t xml:space="preserve"> </w:t>
      </w:r>
    </w:p>
    <w:p w14:paraId="08DA6E6A" w14:textId="12E703E9"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r w:rsidR="00D50D49">
        <w:rPr>
          <w:rFonts w:ascii="Times New Roman" w:hAnsi="Times New Roman" w:cs="Times New Roman"/>
        </w:rPr>
        <w:t>carbon (</w:t>
      </w:r>
      <w:r w:rsidRPr="009B00B8">
        <w:rPr>
          <w:rFonts w:ascii="Times New Roman" w:hAnsi="Times New Roman" w:cs="Times New Roman"/>
        </w:rPr>
        <w:t>C</w:t>
      </w:r>
      <w:r w:rsidR="00D50D49">
        <w:rPr>
          <w:rFonts w:ascii="Times New Roman" w:hAnsi="Times New Roman" w:cs="Times New Roman"/>
        </w:rPr>
        <w:t>)</w:t>
      </w:r>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08045F">
        <w:rPr>
          <w:rFonts w:ascii="Times New Roman" w:hAnsi="Times New Roman" w:cs="Times New Roman"/>
        </w:rPr>
        <w:t xml:space="preserve">and tree survival </w:t>
      </w:r>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2A46ADD7"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r w:rsidR="0008045F">
        <w:rPr>
          <w:rFonts w:ascii="Times New Roman" w:hAnsi="Times New Roman" w:cs="Times New Roman"/>
        </w:rPr>
        <w:t>, including photosynthesis, respiration, and growth</w:t>
      </w:r>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r w:rsidR="0008045F">
        <w:rPr>
          <w:rFonts w:ascii="Times New Roman" w:hAnsi="Times New Roman" w:cs="Times New Roman"/>
        </w:rPr>
        <w:t>find</w:t>
      </w:r>
      <w:r w:rsidR="0008045F" w:rsidRPr="009B00B8">
        <w:rPr>
          <w:rFonts w:ascii="Times New Roman" w:hAnsi="Times New Roman" w:cs="Times New Roman"/>
        </w:rPr>
        <w:t xml:space="preserve"> </w:t>
      </w:r>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59A96F0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r w:rsidR="001C5A69">
        <w:rPr>
          <w:rFonts w:ascii="Times New Roman" w:hAnsi="Times New Roman" w:cs="Times New Roman"/>
        </w:rPr>
        <w:t xml:space="preserve">young </w:t>
      </w:r>
      <w:r w:rsidR="00B27532">
        <w:rPr>
          <w:rFonts w:ascii="Times New Roman" w:hAnsi="Times New Roman" w:cs="Times New Roman"/>
        </w:rPr>
        <w:t>e</w:t>
      </w:r>
      <w:r w:rsidR="006E561C">
        <w:rPr>
          <w:rFonts w:ascii="Times New Roman" w:hAnsi="Times New Roman" w:cs="Times New Roman"/>
        </w:rPr>
        <w:t xml:space="preserve">ucalypt trees </w:t>
      </w:r>
      <w:r w:rsidR="001C5A69">
        <w:rPr>
          <w:rFonts w:ascii="Times New Roman" w:hAnsi="Times New Roman" w:cs="Times New Roman"/>
        </w:rPr>
        <w:t xml:space="preserve">as they grew from roughly 1 to 9 meters in height </w:t>
      </w:r>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r w:rsidR="001054E3">
        <w:rPr>
          <w:rFonts w:ascii="Times New Roman" w:hAnsi="Times New Roman" w:cs="Times New Roman"/>
        </w:rPr>
        <w:t>water availability</w:t>
      </w:r>
      <w:r w:rsidR="006E561C">
        <w:rPr>
          <w:rFonts w:ascii="Times New Roman" w:hAnsi="Times New Roman" w:cs="Times New Roman"/>
        </w:rPr>
        <w:t xml:space="preserve">. </w:t>
      </w:r>
      <w:r w:rsidR="0048365C">
        <w:rPr>
          <w:rFonts w:ascii="Times New Roman" w:hAnsi="Times New Roman" w:cs="Times New Roman"/>
        </w:rPr>
        <w:t xml:space="preserve">While these trees were small compared to mature trees in a forest, they were large relative to trees used in the majority of studies with manipulated environmental conditions, particularly for temperature </w:t>
      </w:r>
      <w:r w:rsidR="0048365C">
        <w:rPr>
          <w:rFonts w:ascii="Times New Roman" w:hAnsi="Times New Roman" w:cs="Times New Roman"/>
        </w:rPr>
        <w:fldChar w:fldCharType="begin"/>
      </w:r>
      <w:r w:rsidR="0048365C">
        <w:rPr>
          <w:rFonts w:ascii="Times New Roman" w:hAnsi="Times New Roman" w:cs="Times New Roman"/>
        </w:rPr>
        <w:instrText xml:space="preserve"> ADDIN ZOTERO_ITEM CSL_CITATION {"citationID":"anr1bhm2e","properties":{"formattedCitation":"{\\rtf (Volder {\\i{}et al.}, 2013; Reich {\\i{}et al.}, 2016)}","plainCitation":"(Volder et al., 2013; Reich et al., 2016)"},"citationItems":[{"id":500,"uris":["http://zotero.org/users/4234815/items/PA7QY9NH"],"uri":["http://zotero.org/users/4234815/items/PA7QY9NH"],"itemData":{"id":500,"type":"article-journal","title":"Climate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48365C">
        <w:rPr>
          <w:rFonts w:ascii="Times New Roman" w:hAnsi="Times New Roman" w:cs="Times New Roman"/>
        </w:rPr>
        <w:fldChar w:fldCharType="separate"/>
      </w:r>
      <w:r w:rsidR="0048365C" w:rsidRPr="0048365C">
        <w:rPr>
          <w:rFonts w:ascii="Times New Roman" w:hAnsi="Times New Roman" w:cs="Times New Roman"/>
          <w:szCs w:val="24"/>
        </w:rPr>
        <w:t>(</w:t>
      </w:r>
      <w:r w:rsidR="0048365C">
        <w:rPr>
          <w:rFonts w:ascii="Times New Roman" w:hAnsi="Times New Roman" w:cs="Times New Roman"/>
          <w:szCs w:val="24"/>
        </w:rPr>
        <w:t xml:space="preserve">e,g,, </w:t>
      </w:r>
      <w:r w:rsidR="0048365C" w:rsidRPr="0048365C">
        <w:rPr>
          <w:rFonts w:ascii="Times New Roman" w:hAnsi="Times New Roman" w:cs="Times New Roman"/>
          <w:szCs w:val="24"/>
        </w:rPr>
        <w:t xml:space="preserve">Volker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xml:space="preserve">, 2013; Reich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2016)</w:t>
      </w:r>
      <w:r w:rsidR="0048365C">
        <w:rPr>
          <w:rFonts w:ascii="Times New Roman" w:hAnsi="Times New Roman" w:cs="Times New Roman"/>
        </w:rPr>
        <w:fldChar w:fldCharType="end"/>
      </w:r>
      <w:r w:rsidR="0048365C">
        <w:rPr>
          <w:rFonts w:ascii="Times New Roman" w:hAnsi="Times New Roman" w:cs="Times New Roman"/>
        </w:rPr>
        <w:t xml:space="preserve">.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5383B20D"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r w:rsidR="007D59F8">
        <w:rPr>
          <w:rFonts w:ascii="Times New Roman" w:hAnsi="Times New Roman" w:cs="Times New Roman"/>
        </w:rPr>
        <w:t>Thus</w:t>
      </w:r>
      <w:r w:rsidR="007E4367">
        <w:rPr>
          <w:rFonts w:ascii="Times New Roman" w:hAnsi="Times New Roman" w:cs="Times New Roman"/>
        </w:rPr>
        <w:t>,</w:t>
      </w:r>
      <w:r w:rsidR="007D59F8">
        <w:rPr>
          <w:rFonts w:ascii="Times New Roman" w:hAnsi="Times New Roman" w:cs="Times New Roman"/>
        </w:rPr>
        <w:t xml:space="preserve"> the experiment began with small seedlings, but subsequent growth over the 15-month study period was rapid and trees quickly grew into larger size classes.</w:t>
      </w:r>
    </w:p>
    <w:p w14:paraId="240A48A7" w14:textId="53B7E044"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w:t>
      </w:r>
      <w:r w:rsidR="007E4367">
        <w:rPr>
          <w:rFonts w:ascii="Times New Roman" w:hAnsi="Times New Roman" w:cs="Times New Roman"/>
        </w:rPr>
        <w:t xml:space="preserve"> </w:t>
      </w:r>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r w:rsidR="00766FF2">
        <w:rPr>
          <w:rFonts w:ascii="Times New Roman" w:hAnsi="Times New Roman" w:cs="Times New Roman"/>
        </w:rPr>
        <w:t>, which we consider the control treatment</w:t>
      </w:r>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r w:rsidR="00766FF2">
        <w:rPr>
          <w:rFonts w:ascii="Times New Roman" w:hAnsi="Times New Roman" w:cs="Times New Roman"/>
        </w:rPr>
        <w:t>Con</w:t>
      </w:r>
      <w:r w:rsidR="00C54AAF">
        <w:rPr>
          <w:rFonts w:ascii="Times New Roman" w:hAnsi="Times New Roman" w:cs="Times New Roman"/>
        </w:rPr>
        <w:t>, A-Dry, W-</w:t>
      </w:r>
      <w:r w:rsidR="00766FF2">
        <w:rPr>
          <w:rFonts w:ascii="Times New Roman" w:hAnsi="Times New Roman" w:cs="Times New Roman"/>
        </w:rPr>
        <w:t>Con</w:t>
      </w:r>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r w:rsidR="008A7C9A">
        <w:rPr>
          <w:rFonts w:ascii="Times New Roman" w:hAnsi="Times New Roman" w:cs="Times New Roman"/>
        </w:rPr>
        <w:t>a</w:t>
      </w:r>
      <w:r w:rsidRPr="009B00B8">
        <w:rPr>
          <w:rFonts w:ascii="Times New Roman" w:hAnsi="Times New Roman" w:cs="Times New Roman"/>
        </w:rPr>
        <w:t xml:space="preserve"> summer drought of nearly three months. </w:t>
      </w:r>
      <w:r w:rsidR="008A7C9A">
        <w:rPr>
          <w:rFonts w:ascii="Times New Roman" w:hAnsi="Times New Roman" w:cs="Times New Roman"/>
        </w:rPr>
        <w:t>A rainfall record from 1881-2014 from this area (Australian Bureau of Meteorology station 67021, station is &lt;2 km from site) indicates that only three years (~2% of the record) had &lt;20 mm precipitation during the months of the drought treatment, and 80% of the years had &gt;100 mm precipitation. This suggests that our drought was relatively strong in terms of the surface water addition during these months.</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5A50D6C4"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30DBCF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1614E7">
        <w:rPr>
          <w:rFonts w:ascii="Times New Roman" w:hAnsi="Times New Roman" w:cs="Times New Roman"/>
        </w:rPr>
        <w:t>.</w:t>
      </w:r>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BAEC77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r w:rsidR="007D59F8">
        <w:rPr>
          <w:rFonts w:ascii="Times New Roman" w:hAnsi="Times New Roman" w:cs="Times New Roman"/>
        </w:rPr>
        <w:t>, 15 months after seedlings were planted</w:t>
      </w:r>
      <w:r w:rsidRPr="009B00B8">
        <w:rPr>
          <w:rFonts w:ascii="Times New Roman" w:hAnsi="Times New Roman" w:cs="Times New Roman"/>
        </w:rPr>
        <w:t>.</w:t>
      </w:r>
      <w:r w:rsidR="007D59F8">
        <w:rPr>
          <w:rFonts w:ascii="Times New Roman" w:hAnsi="Times New Roman" w:cs="Times New Roman"/>
        </w:rPr>
        <w:t xml:space="preserve"> At this time, </w:t>
      </w:r>
      <w:r w:rsidR="00766FF2">
        <w:rPr>
          <w:rFonts w:ascii="Times New Roman" w:hAnsi="Times New Roman" w:cs="Times New Roman"/>
        </w:rPr>
        <w:t xml:space="preserve">the trees </w:t>
      </w:r>
      <w:r w:rsidR="003F0B33">
        <w:rPr>
          <w:rFonts w:ascii="Times New Roman" w:hAnsi="Times New Roman" w:cs="Times New Roman"/>
        </w:rPr>
        <w:t>had</w:t>
      </w:r>
      <w:r w:rsidR="007D59F8">
        <w:rPr>
          <w:rFonts w:ascii="Times New Roman" w:hAnsi="Times New Roman" w:cs="Times New Roman"/>
        </w:rPr>
        <w:t xml:space="preserve"> heights of 8.8 ± 0.14 meters and diameters of 6.6 ± 0.2 cm.</w:t>
      </w:r>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0B7DEAEA"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r w:rsidR="00914911">
        <w:rPr>
          <w:rFonts w:ascii="Times New Roman" w:hAnsi="Times New Roman" w:cs="Times New Roman"/>
        </w:rPr>
        <w:t xml:space="preserve">a single </w:t>
      </w:r>
      <w:r w:rsidRPr="009B00B8">
        <w:rPr>
          <w:rFonts w:ascii="Times New Roman" w:hAnsi="Times New Roman" w:cs="Times New Roman"/>
        </w:rPr>
        <w:t xml:space="preserve">1-cm-thick </w:t>
      </w:r>
      <w:r w:rsidR="00E67F44">
        <w:rPr>
          <w:rFonts w:ascii="Times New Roman" w:hAnsi="Times New Roman" w:cs="Times New Roman"/>
        </w:rPr>
        <w:t>cross-section (</w:t>
      </w:r>
      <w:r w:rsidRPr="009B00B8">
        <w:rPr>
          <w:rFonts w:ascii="Times New Roman" w:hAnsi="Times New Roman" w:cs="Times New Roman"/>
        </w:rPr>
        <w:t>cookie</w:t>
      </w:r>
      <w:r w:rsidR="00E67F44">
        <w:rPr>
          <w:rFonts w:ascii="Times New Roman" w:hAnsi="Times New Roman" w:cs="Times New Roman"/>
        </w:rPr>
        <w:t>)</w:t>
      </w:r>
      <w:r w:rsidRPr="009B00B8">
        <w:rPr>
          <w:rFonts w:ascii="Times New Roman" w:hAnsi="Times New Roman" w:cs="Times New Roman"/>
        </w:rPr>
        <w:t xml:space="preserve"> </w:t>
      </w:r>
      <w:r w:rsidR="00914911">
        <w:rPr>
          <w:rFonts w:ascii="Times New Roman" w:hAnsi="Times New Roman" w:cs="Times New Roman"/>
        </w:rPr>
        <w:t>was</w:t>
      </w:r>
      <w:r w:rsidR="00914911" w:rsidRPr="009B00B8">
        <w:rPr>
          <w:rFonts w:ascii="Times New Roman" w:hAnsi="Times New Roman" w:cs="Times New Roman"/>
        </w:rPr>
        <w:t xml:space="preserve"> </w:t>
      </w:r>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r w:rsidR="00914911">
        <w:rPr>
          <w:rFonts w:ascii="Times New Roman" w:hAnsi="Times New Roman" w:cs="Times New Roman"/>
        </w:rPr>
        <w:t xml:space="preserve">The reduction in density with increasing stem diameter reflected increasing densities in the upper layers of the tree crowns. </w:t>
      </w:r>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r w:rsidR="00914911">
        <w:rPr>
          <w:rFonts w:ascii="Times New Roman" w:hAnsi="Times New Roman" w:cs="Times New Roman"/>
        </w:rPr>
        <w:t xml:space="preserve">in the soil </w:t>
      </w:r>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During the excavation, several small roots (~1 cm</w:t>
      </w:r>
      <w:r w:rsidR="001C5A69">
        <w:rPr>
          <w:rFonts w:ascii="Times New Roman" w:hAnsi="Times New Roman" w:cs="Times New Roman"/>
        </w:rPr>
        <w:t xml:space="preserve"> diameter</w:t>
      </w:r>
      <w:r w:rsidR="001614E7">
        <w:rPr>
          <w:rFonts w:ascii="Times New Roman" w:hAnsi="Times New Roman" w:cs="Times New Roman"/>
        </w:rPr>
        <w:t xml:space="preserve">) were observed to have penetrated through the hard layer and into deeper soil (Drake, </w:t>
      </w:r>
      <w:r w:rsidR="001614E7">
        <w:rPr>
          <w:rFonts w:ascii="Times New Roman" w:hAnsi="Times New Roman" w:cs="Times New Roman"/>
          <w:i/>
        </w:rPr>
        <w:t>personal observation</w:t>
      </w:r>
      <w:r w:rsidR="001614E7">
        <w:rPr>
          <w:rFonts w:ascii="Times New Roman" w:hAnsi="Times New Roman" w:cs="Times New Roman"/>
        </w:rPr>
        <w:t>).</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22FCC28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r w:rsidR="00914911">
        <w:rPr>
          <w:rFonts w:ascii="Times New Roman" w:hAnsi="Times New Roman" w:cs="Times New Roman"/>
        </w:rPr>
        <w:t>. The paragraphs below describe the methodologies for each component in detail. A</w:t>
      </w:r>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r w:rsidR="00463EFA">
        <w:rPr>
          <w:rFonts w:ascii="Times New Roman" w:hAnsi="Times New Roman" w:cs="Times New Roman"/>
        </w:rPr>
        <w:t xml:space="preserve"> Allocation to reproduction was not </w:t>
      </w:r>
      <w:r w:rsidR="001C5A69">
        <w:rPr>
          <w:rFonts w:ascii="Times New Roman" w:hAnsi="Times New Roman" w:cs="Times New Roman"/>
        </w:rPr>
        <w:t xml:space="preserve">explicitly measured, but can be considered zero </w:t>
      </w:r>
      <w:r w:rsidR="00463EFA">
        <w:rPr>
          <w:rFonts w:ascii="Times New Roman" w:hAnsi="Times New Roman" w:cs="Times New Roman"/>
        </w:rPr>
        <w:t>as these trees did not produce any reproductive structures.</w:t>
      </w:r>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r w:rsidR="00D7068F">
        <w:rPr>
          <w:rFonts w:ascii="Times New Roman" w:hAnsi="Times New Roman" w:cs="Times New Roman"/>
        </w:rPr>
        <w:t xml:space="preserve"> This approach assumes that the wood and bark density did not change through time in this experiment.</w:t>
      </w:r>
    </w:p>
    <w:p w14:paraId="0642056E" w14:textId="5BE0563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r w:rsidR="00C50D60">
        <w:rPr>
          <w:rFonts w:ascii="Times New Roman" w:hAnsi="Times New Roman" w:cs="Times New Roman"/>
        </w:rPr>
        <w:t xml:space="preserve">. </w:t>
      </w:r>
      <w:r w:rsidR="00467515">
        <w:rPr>
          <w:rFonts w:ascii="Times New Roman" w:hAnsi="Times New Roman" w:cs="Times New Roman"/>
        </w:rPr>
        <w:t>Four</w:t>
      </w:r>
      <w:r w:rsidR="00C50D60">
        <w:rPr>
          <w:rFonts w:ascii="Times New Roman" w:hAnsi="Times New Roman" w:cs="Times New Roman"/>
        </w:rPr>
        <w:t xml:space="preserve"> branches from each experimental tree were </w:t>
      </w:r>
      <w:r w:rsidRPr="009B00B8">
        <w:rPr>
          <w:rFonts w:ascii="Times New Roman" w:hAnsi="Times New Roman" w:cs="Times New Roman"/>
        </w:rPr>
        <w:t xml:space="preserve">destructively sampled </w:t>
      </w:r>
      <w:r w:rsidR="00C50D60">
        <w:rPr>
          <w:rFonts w:ascii="Times New Roman" w:hAnsi="Times New Roman" w:cs="Times New Roman"/>
        </w:rPr>
        <w:t>near the end of the study (</w:t>
      </w:r>
      <w:r w:rsidRPr="009B00B8">
        <w:rPr>
          <w:rFonts w:ascii="Times New Roman" w:hAnsi="Times New Roman" w:cs="Times New Roman"/>
        </w:rPr>
        <w:t>13 May 2014 and 22 May 2014</w:t>
      </w:r>
      <w:r w:rsidR="00C50D60">
        <w:rPr>
          <w:rFonts w:ascii="Times New Roman" w:hAnsi="Times New Roman" w:cs="Times New Roman"/>
        </w:rPr>
        <w:t>); branch mass was strongly correlated with branch diameter</w:t>
      </w:r>
      <w:r w:rsidRPr="009B00B8">
        <w:rPr>
          <w:rFonts w:ascii="Times New Roman" w:hAnsi="Times New Roman" w:cs="Times New Roman"/>
        </w:rPr>
        <w:t xml:space="preserve">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59F7E08B"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52704A"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xml:space="preserv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5221F0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r w:rsidR="00794231">
        <w:rPr>
          <w:rFonts w:ascii="Times New Roman" w:hAnsi="Times New Roman" w:cs="Times New Roman"/>
        </w:rPr>
        <w:t xml:space="preserve">significantly </w:t>
      </w:r>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r w:rsidR="00766FF2">
        <w:rPr>
          <w:rFonts w:ascii="Times New Roman" w:hAnsi="Times New Roman" w:cs="Times New Roman"/>
        </w:rPr>
        <w:t>Con</w:t>
      </w:r>
      <w:r w:rsidRPr="009B00B8">
        <w:rPr>
          <w:rFonts w:ascii="Times New Roman" w:hAnsi="Times New Roman" w:cs="Times New Roman"/>
        </w:rPr>
        <w:t xml:space="preserve"> trees, while the W-Dry trees had slightly lower fine root biomass than the W-</w:t>
      </w:r>
      <w:r w:rsidR="00766FF2">
        <w:rPr>
          <w:rFonts w:ascii="Times New Roman" w:hAnsi="Times New Roman" w:cs="Times New Roman"/>
        </w:rPr>
        <w:t>Con</w:t>
      </w:r>
      <w:r w:rsidR="00766FF2" w:rsidRPr="009B00B8">
        <w:rPr>
          <w:rFonts w:ascii="Times New Roman" w:hAnsi="Times New Roman" w:cs="Times New Roman"/>
        </w:rPr>
        <w:t xml:space="preserve"> </w:t>
      </w:r>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690CB13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r w:rsidR="00766FF2">
        <w:rPr>
          <w:rFonts w:ascii="Times New Roman" w:hAnsi="Times New Roman" w:cs="Times New Roman"/>
        </w:rPr>
        <w:t>control</w:t>
      </w:r>
      <w:r w:rsidR="00766FF2" w:rsidRPr="009B00B8">
        <w:rPr>
          <w:rFonts w:ascii="Times New Roman" w:hAnsi="Times New Roman" w:cs="Times New Roman"/>
        </w:rPr>
        <w:t xml:space="preserve"> </w:t>
      </w:r>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2AD006C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r w:rsidR="00D1687C">
        <w:rPr>
          <w:rFonts w:ascii="Times New Roman" w:hAnsi="Times New Roman" w:cs="Times New Roman"/>
        </w:rPr>
        <w:t xml:space="preserve"> This was the first study to directly measure allocation changes of relatively large</w:t>
      </w:r>
      <w:r w:rsidR="00032572">
        <w:rPr>
          <w:rFonts w:ascii="Times New Roman" w:hAnsi="Times New Roman" w:cs="Times New Roman"/>
        </w:rPr>
        <w:t xml:space="preserve"> </w:t>
      </w:r>
      <w:r w:rsidR="00D26E26">
        <w:rPr>
          <w:rFonts w:ascii="Times New Roman" w:hAnsi="Times New Roman" w:cs="Times New Roman"/>
        </w:rPr>
        <w:t>trees</w:t>
      </w:r>
      <w:r w:rsidR="00032572">
        <w:rPr>
          <w:rFonts w:ascii="Times New Roman" w:hAnsi="Times New Roman" w:cs="Times New Roman"/>
        </w:rPr>
        <w:t xml:space="preserve"> </w:t>
      </w:r>
      <w:r w:rsidR="00D1687C">
        <w:rPr>
          <w:rFonts w:ascii="Times New Roman" w:hAnsi="Times New Roman" w:cs="Times New Roman"/>
        </w:rPr>
        <w:t>(</w:t>
      </w:r>
      <w:r w:rsidR="00032572">
        <w:rPr>
          <w:rFonts w:ascii="Times New Roman" w:hAnsi="Times New Roman" w:cs="Times New Roman"/>
        </w:rPr>
        <w:t>as large as 9</w:t>
      </w:r>
      <w:r w:rsidR="00D1687C">
        <w:rPr>
          <w:rFonts w:ascii="Times New Roman" w:hAnsi="Times New Roman" w:cs="Times New Roman"/>
        </w:rPr>
        <w:t xml:space="preserve"> meters tall) in an ecologically-relevant field setting with detailed and continuous measurements.</w:t>
      </w:r>
      <w:r w:rsidRPr="009B00B8">
        <w:rPr>
          <w:rFonts w:ascii="Times New Roman" w:hAnsi="Times New Roman" w:cs="Times New Roman"/>
        </w:rPr>
        <w:t xml:space="preserve"> </w:t>
      </w:r>
      <w:r w:rsidR="00032572">
        <w:rPr>
          <w:rFonts w:ascii="Times New Roman" w:hAnsi="Times New Roman" w:cs="Times New Roman"/>
        </w:rPr>
        <w:t>Althoug</w:t>
      </w:r>
      <w:r w:rsidR="004E24DF">
        <w:rPr>
          <w:rFonts w:ascii="Times New Roman" w:hAnsi="Times New Roman" w:cs="Times New Roman"/>
        </w:rPr>
        <w:t>h</w:t>
      </w:r>
      <w:r w:rsidR="00032572">
        <w:rPr>
          <w:rFonts w:ascii="Times New Roman" w:hAnsi="Times New Roman" w:cs="Times New Roman"/>
        </w:rPr>
        <w:t xml:space="preserve"> much smaller than mature trees, the individuals in our experiment were larger than those used in the vast majority of </w:t>
      </w:r>
      <w:r w:rsidR="004E24DF">
        <w:rPr>
          <w:rFonts w:ascii="Times New Roman" w:hAnsi="Times New Roman" w:cs="Times New Roman"/>
        </w:rPr>
        <w:t xml:space="preserve">manipulative field experiments involving climate warming.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9A1BB12"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D26E26">
        <w:rPr>
          <w:rFonts w:ascii="Times New Roman" w:hAnsi="Times New Roman" w:cs="Times New Roman"/>
        </w:rPr>
        <w:t xml:space="preserve">mitigate </w:t>
      </w:r>
      <w:r w:rsidR="00B256B7">
        <w:rPr>
          <w:rFonts w:ascii="Times New Roman" w:hAnsi="Times New Roman" w:cs="Times New Roman"/>
        </w:rPr>
        <w:t xml:space="preserve">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1C9257CA"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r w:rsidR="00D1687C">
        <w:rPr>
          <w:rFonts w:ascii="Times New Roman" w:hAnsi="Times New Roman" w:cs="Times New Roman"/>
        </w:rPr>
        <w:t>a novel combination of</w:t>
      </w:r>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r w:rsidR="003F59E0">
        <w:rPr>
          <w:rFonts w:ascii="Times New Roman" w:hAnsi="Times New Roman" w:cs="Times New Roman"/>
        </w:rPr>
        <w:t xml:space="preserve"> young</w:t>
      </w:r>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sidR="00D1687C">
        <w:rPr>
          <w:rFonts w:ascii="Times New Roman" w:hAnsi="Times New Roman" w:cs="Times New Roman"/>
        </w:rPr>
        <w:t xml:space="preserve">These trees did not substantially alter C allocation in response to the drought treatment, as reduced growth, reduced transpiration, and the facultative use of deep soil water allowed the trees to avoid physiological drought stress.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r w:rsidR="00D1687C">
        <w:rPr>
          <w:rFonts w:ascii="Times New Roman" w:hAnsi="Times New Roman" w:cs="Times New Roman"/>
        </w:rPr>
        <w:t xml:space="preserve"> </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76421FC" w:rsidR="00563E99" w:rsidRPr="009B00B8" w:rsidRDefault="0048365C">
      <w:pPr>
        <w:spacing w:line="360" w:lineRule="auto"/>
        <w:jc w:val="center"/>
        <w:rPr>
          <w:rFonts w:ascii="Times New Roman" w:hAnsi="Times New Roman" w:cs="Times New Roman"/>
        </w:rPr>
      </w:pPr>
      <w:r>
        <w:rPr>
          <w:noProof/>
          <w:lang w:val="en-US"/>
        </w:rPr>
        <w:drawing>
          <wp:inline distT="0" distB="0" distL="0" distR="0" wp14:anchorId="27788568" wp14:editId="65DC9F3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43600"/>
                    </a:xfrm>
                    <a:prstGeom prst="rect">
                      <a:avLst/>
                    </a:prstGeom>
                  </pic:spPr>
                </pic:pic>
              </a:graphicData>
            </a:graphic>
          </wp:inline>
        </w:drawing>
      </w:r>
    </w:p>
    <w:p w14:paraId="6BE328EC" w14:textId="353EA757"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r w:rsidR="00766FF2">
        <w:rPr>
          <w:rFonts w:ascii="Times New Roman" w:hAnsi="Times New Roman" w:cs="Times New Roman"/>
        </w:rPr>
        <w:t xml:space="preserve">a </w:t>
      </w:r>
      <w:r w:rsidRPr="009B00B8">
        <w:rPr>
          <w:rFonts w:ascii="Times New Roman" w:hAnsi="Times New Roman" w:cs="Times New Roman"/>
        </w:rPr>
        <w:t>well-watered</w:t>
      </w:r>
      <w:r w:rsidR="00766FF2">
        <w:rPr>
          <w:rFonts w:ascii="Times New Roman" w:hAnsi="Times New Roman" w:cs="Times New Roman"/>
        </w:rPr>
        <w:t xml:space="preserve"> control</w:t>
      </w:r>
      <w:r w:rsidRPr="009B00B8">
        <w:rPr>
          <w:rFonts w:ascii="Times New Roman" w:hAnsi="Times New Roman" w:cs="Times New Roman"/>
        </w:rPr>
        <w:t xml:space="preserve"> (“</w:t>
      </w:r>
      <w:r w:rsidR="00766FF2">
        <w:rPr>
          <w:rFonts w:ascii="Times New Roman" w:hAnsi="Times New Roman" w:cs="Times New Roman"/>
        </w:rPr>
        <w:t>Con</w:t>
      </w:r>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6245"/>
                    </a:xfrm>
                    <a:prstGeom prst="rect">
                      <a:avLst/>
                    </a:prstGeom>
                  </pic:spPr>
                </pic:pic>
              </a:graphicData>
            </a:graphic>
          </wp:inline>
        </w:drawing>
      </w:r>
    </w:p>
    <w:p w14:paraId="494929A1" w14:textId="3FA68EF8"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6326DD">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950D6C7" w:rsidR="00563E99" w:rsidRPr="009B00B8" w:rsidRDefault="001C7EED">
      <w:pPr>
        <w:spacing w:line="360" w:lineRule="auto"/>
        <w:rPr>
          <w:rFonts w:ascii="Times New Roman" w:hAnsi="Times New Roman" w:cs="Times New Roman"/>
        </w:rPr>
      </w:pPr>
      <w:r>
        <w:rPr>
          <w:noProof/>
          <w:lang w:val="en-US"/>
        </w:rPr>
        <w:lastRenderedPageBreak/>
        <w:drawing>
          <wp:inline distT="0" distB="0" distL="0" distR="0" wp14:anchorId="2D4C8A5A" wp14:editId="0520B355">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14:paraId="1885B4C3" w14:textId="73C79C2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r w:rsidR="00766FF2">
        <w:rPr>
          <w:rFonts w:ascii="Times New Roman" w:hAnsi="Times New Roman" w:cs="Times New Roman"/>
        </w:rPr>
        <w:t xml:space="preserve">control </w:t>
      </w:r>
      <w:r w:rsidRPr="009B00B8">
        <w:rPr>
          <w:rFonts w:ascii="Times New Roman" w:hAnsi="Times New Roman" w:cs="Times New Roman"/>
        </w:rPr>
        <w:t>well-watered conditions (</w:t>
      </w:r>
      <w:r w:rsidR="00766FF2">
        <w:rPr>
          <w:rFonts w:ascii="Times New Roman" w:hAnsi="Times New Roman" w:cs="Times New Roman"/>
        </w:rPr>
        <w:t>Con</w:t>
      </w:r>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766" cy="4974757"/>
                    </a:xfrm>
                    <a:prstGeom prst="rect">
                      <a:avLst/>
                    </a:prstGeom>
                  </pic:spPr>
                </pic:pic>
              </a:graphicData>
            </a:graphic>
          </wp:inline>
        </w:drawing>
      </w:r>
    </w:p>
    <w:p w14:paraId="186B0EC5" w14:textId="4BBF739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BB05C1">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r w:rsidR="00DB608F">
        <w:rPr>
          <w:rFonts w:ascii="Times New Roman" w:hAnsi="Times New Roman" w:cs="Times New Roman"/>
        </w:rPr>
        <w:t xml:space="preserve">The horizontal dashed line reflects the volumetric water content at which soil matric potential drops to -1.5 MPa. </w:t>
      </w:r>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309" cy="4723309"/>
                    </a:xfrm>
                    <a:prstGeom prst="rect">
                      <a:avLst/>
                    </a:prstGeom>
                  </pic:spPr>
                </pic:pic>
              </a:graphicData>
            </a:graphic>
          </wp:inline>
        </w:drawing>
      </w:r>
    </w:p>
    <w:p w14:paraId="1A6EFCE2" w14:textId="0AC3454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FC1100">
        <w:rPr>
          <w:rFonts w:ascii="Times New Roman" w:hAnsi="Times New Roman" w:cs="Times New Roman"/>
        </w:rPr>
        <w:t>ed</w:t>
      </w:r>
      <w:r w:rsidRPr="009B00B8">
        <w:rPr>
          <w:rFonts w:ascii="Times New Roman" w:hAnsi="Times New Roman" w:cs="Times New Roman"/>
        </w:rPr>
        <w:t xml:space="preserve"> conditions until mid-Feb (</w:t>
      </w:r>
      <w:r w:rsidR="00766FF2">
        <w:rPr>
          <w:rFonts w:ascii="Times New Roman" w:hAnsi="Times New Roman" w:cs="Times New Roman"/>
        </w:rPr>
        <w:t>Con</w:t>
      </w:r>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6245"/>
                    </a:xfrm>
                    <a:prstGeom prst="rect">
                      <a:avLst/>
                    </a:prstGeom>
                  </pic:spPr>
                </pic:pic>
              </a:graphicData>
            </a:graphic>
          </wp:inline>
        </w:drawing>
      </w:r>
    </w:p>
    <w:p w14:paraId="5170B29C" w14:textId="00445B5B"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177973">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282" cy="5131282"/>
                    </a:xfrm>
                    <a:prstGeom prst="rect">
                      <a:avLst/>
                    </a:prstGeom>
                  </pic:spPr>
                </pic:pic>
              </a:graphicData>
            </a:graphic>
          </wp:inline>
        </w:drawing>
      </w:r>
    </w:p>
    <w:p w14:paraId="13B5C36E" w14:textId="3C10D8BD"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27C4954" w14:textId="77777777" w:rsidR="0048365C" w:rsidRDefault="00893DCF" w:rsidP="0048365C">
      <w:pPr>
        <w:pStyle w:val="Bibliography"/>
      </w:pPr>
      <w:r>
        <w:fldChar w:fldCharType="begin"/>
      </w:r>
      <w:r w:rsidR="0008045F">
        <w:instrText xml:space="preserve"> ADDIN ZOTERO_BIBL {"custom":[]} CSL_BIBLIOGRAPHY </w:instrText>
      </w:r>
      <w:r>
        <w:fldChar w:fldCharType="separate"/>
      </w:r>
      <w:r w:rsidR="0048365C">
        <w:rPr>
          <w:b/>
          <w:bCs/>
        </w:rPr>
        <w:t>Adu</w:t>
      </w:r>
      <w:r w:rsidR="0048365C">
        <w:rPr>
          <w:rFonts w:ascii="Cambria Math" w:hAnsi="Cambria Math" w:cs="Cambria Math"/>
          <w:b/>
          <w:bCs/>
        </w:rPr>
        <w:t>‐</w:t>
      </w:r>
      <w:r w:rsidR="0048365C">
        <w:rPr>
          <w:b/>
          <w:bCs/>
        </w:rPr>
        <w:t>Bredu S, Hagihara A</w:t>
      </w:r>
      <w:r w:rsidR="0048365C">
        <w:t xml:space="preserve">. </w:t>
      </w:r>
      <w:r w:rsidR="0048365C">
        <w:rPr>
          <w:b/>
          <w:bCs/>
        </w:rPr>
        <w:t>2003</w:t>
      </w:r>
      <w:r w:rsidR="0048365C">
        <w:t>. Long</w:t>
      </w:r>
      <w:r w:rsidR="0048365C">
        <w:rPr>
          <w:rFonts w:ascii="Cambria Math" w:hAnsi="Cambria Math" w:cs="Cambria Math"/>
        </w:rPr>
        <w:t>‐</w:t>
      </w:r>
      <w:r w:rsidR="0048365C">
        <w:t>term carbon budget of the above</w:t>
      </w:r>
      <w:r w:rsidR="0048365C">
        <w:rPr>
          <w:rFonts w:ascii="Cambria Math" w:hAnsi="Cambria Math" w:cs="Cambria Math"/>
        </w:rPr>
        <w:t>‐</w:t>
      </w:r>
      <w:r w:rsidR="0048365C">
        <w:t xml:space="preserve">ground parts of a young hinoki cypress (Chamaecyparis obtusa) stand. </w:t>
      </w:r>
      <w:r w:rsidR="0048365C">
        <w:rPr>
          <w:i/>
          <w:iCs/>
        </w:rPr>
        <w:t>Ecological Research</w:t>
      </w:r>
      <w:r w:rsidR="0048365C">
        <w:t xml:space="preserve"> </w:t>
      </w:r>
      <w:r w:rsidR="0048365C">
        <w:rPr>
          <w:b/>
          <w:bCs/>
        </w:rPr>
        <w:t>18</w:t>
      </w:r>
      <w:r w:rsidR="0048365C">
        <w:t>: 165–175.</w:t>
      </w:r>
    </w:p>
    <w:p w14:paraId="1515D1FE" w14:textId="77777777" w:rsidR="0048365C" w:rsidRDefault="0048365C" w:rsidP="0048365C">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0125B2C7" w14:textId="77777777" w:rsidR="0048365C" w:rsidRDefault="0048365C" w:rsidP="0048365C">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1E4823EF" w14:textId="77777777" w:rsidR="0048365C" w:rsidRDefault="0048365C" w:rsidP="0048365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50973EAC" w14:textId="77777777" w:rsidR="0048365C" w:rsidRDefault="0048365C" w:rsidP="0048365C">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554C3053" w14:textId="77777777" w:rsidR="0048365C" w:rsidRDefault="0048365C" w:rsidP="0048365C">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66E6CE98" w14:textId="77777777" w:rsidR="0048365C" w:rsidRDefault="0048365C" w:rsidP="0048365C">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3F909362" w14:textId="77777777" w:rsidR="0048365C" w:rsidRDefault="0048365C" w:rsidP="0048365C">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2872DB3D" w14:textId="77777777" w:rsidR="0048365C" w:rsidRDefault="0048365C" w:rsidP="0048365C">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59517552" w14:textId="77777777" w:rsidR="0048365C" w:rsidRDefault="0048365C" w:rsidP="0048365C">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50EB38A" w14:textId="77777777" w:rsidR="0048365C" w:rsidRDefault="0048365C" w:rsidP="0048365C">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400A8C6D" w14:textId="77777777" w:rsidR="0048365C" w:rsidRDefault="0048365C" w:rsidP="0048365C">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FB9FC86" w14:textId="77777777" w:rsidR="0048365C" w:rsidRDefault="0048365C" w:rsidP="0048365C">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4D199318" w14:textId="77777777" w:rsidR="0048365C" w:rsidRDefault="0048365C" w:rsidP="0048365C">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692CE7A4" w14:textId="77777777" w:rsidR="0048365C" w:rsidRDefault="0048365C" w:rsidP="0048365C">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7ABF7C4E" w14:textId="77777777" w:rsidR="0048365C" w:rsidRDefault="0048365C" w:rsidP="0048365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1F10B499" w14:textId="77777777" w:rsidR="0048365C" w:rsidRDefault="0048365C" w:rsidP="0048365C">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5EED1996" w14:textId="77777777" w:rsidR="0048365C" w:rsidRDefault="0048365C" w:rsidP="0048365C">
      <w:pPr>
        <w:pStyle w:val="Bibliography"/>
      </w:pPr>
      <w:r>
        <w:rPr>
          <w:b/>
          <w:bCs/>
        </w:rPr>
        <w:t>Drake J, Tjoelker M, Aspinwall MJ</w:t>
      </w:r>
      <w:r>
        <w:t xml:space="preserve">. </w:t>
      </w:r>
      <w:r>
        <w:rPr>
          <w:b/>
          <w:bCs/>
        </w:rPr>
        <w:t>2016a</w:t>
      </w:r>
      <w:r>
        <w:t>. Drake_NewPhyt_2016_WTC3_RtoGPP_forfigshare.zip.</w:t>
      </w:r>
    </w:p>
    <w:p w14:paraId="48FB7EB0" w14:textId="77777777" w:rsidR="0048365C" w:rsidRDefault="0048365C" w:rsidP="0048365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337EEB1" w14:textId="77777777" w:rsidR="0048365C" w:rsidRDefault="0048365C" w:rsidP="0048365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43CCE474" w14:textId="77777777" w:rsidR="0048365C" w:rsidRDefault="0048365C" w:rsidP="0048365C">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2664FC33" w14:textId="77777777" w:rsidR="0048365C" w:rsidRDefault="0048365C" w:rsidP="0048365C">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0B2C0400" w14:textId="77777777" w:rsidR="0048365C" w:rsidRDefault="0048365C" w:rsidP="0048365C">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32A234D0" w14:textId="77777777" w:rsidR="0048365C" w:rsidRDefault="0048365C" w:rsidP="0048365C">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13D0EDFA" w14:textId="77777777" w:rsidR="0048365C" w:rsidRDefault="0048365C" w:rsidP="0048365C">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51463E33" w14:textId="77777777" w:rsidR="0048365C" w:rsidRDefault="0048365C" w:rsidP="0048365C">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0ECD1514" w14:textId="77777777" w:rsidR="0048365C" w:rsidRDefault="0048365C" w:rsidP="0048365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6CAE5EFA" w14:textId="77777777" w:rsidR="0048365C" w:rsidRDefault="0048365C" w:rsidP="0048365C">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787E9E4B" w14:textId="77777777" w:rsidR="0048365C" w:rsidRDefault="0048365C" w:rsidP="0048365C">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2C8B9EA8" w14:textId="77777777" w:rsidR="0048365C" w:rsidRDefault="0048365C" w:rsidP="0048365C">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03524CCE" w14:textId="77777777" w:rsidR="0048365C" w:rsidRDefault="0048365C" w:rsidP="0048365C">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759300A" w14:textId="77777777" w:rsidR="0048365C" w:rsidRDefault="0048365C" w:rsidP="0048365C">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394A1C4" w14:textId="77777777" w:rsidR="0048365C" w:rsidRDefault="0048365C" w:rsidP="0048365C">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780E9429" w14:textId="77777777" w:rsidR="0048365C" w:rsidRDefault="0048365C" w:rsidP="0048365C">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6256F423" w14:textId="77777777" w:rsidR="0048365C" w:rsidRDefault="0048365C" w:rsidP="0048365C">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CE0D6C7" w14:textId="77777777" w:rsidR="0048365C" w:rsidRDefault="0048365C" w:rsidP="0048365C">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189C77FF" w14:textId="77777777" w:rsidR="0048365C" w:rsidRDefault="0048365C" w:rsidP="0048365C">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45B43419" w14:textId="77777777" w:rsidR="0048365C" w:rsidRDefault="0048365C" w:rsidP="0048365C">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2D3F8158" w14:textId="77777777" w:rsidR="0048365C" w:rsidRDefault="0048365C" w:rsidP="0048365C">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7851D3C6" w14:textId="77777777" w:rsidR="0048365C" w:rsidRDefault="0048365C" w:rsidP="0048365C">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763645B8" w14:textId="77777777" w:rsidR="0048365C" w:rsidRDefault="0048365C" w:rsidP="0048365C">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B1D882D" w14:textId="77777777" w:rsidR="0048365C" w:rsidRDefault="0048365C" w:rsidP="0048365C">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56FDE237" w14:textId="77777777" w:rsidR="0048365C" w:rsidRDefault="0048365C" w:rsidP="0048365C">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64DC36D6" w14:textId="77777777" w:rsidR="0048365C" w:rsidRDefault="0048365C" w:rsidP="0048365C">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F30AE4B" w14:textId="77777777" w:rsidR="0048365C" w:rsidRDefault="0048365C" w:rsidP="0048365C">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399B6B6F" w14:textId="77777777" w:rsidR="0048365C" w:rsidRDefault="0048365C" w:rsidP="0048365C">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1A75424A" w14:textId="77777777" w:rsidR="0048365C" w:rsidRDefault="0048365C" w:rsidP="0048365C">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F7CD6DE" w14:textId="77777777" w:rsidR="0048365C" w:rsidRDefault="0048365C" w:rsidP="0048365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34BCF27" w14:textId="77777777" w:rsidR="0048365C" w:rsidRDefault="0048365C" w:rsidP="0048365C">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E56D01A" w14:textId="77777777" w:rsidR="0048365C" w:rsidRDefault="0048365C" w:rsidP="0048365C">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437A537B" w14:textId="77777777" w:rsidR="0048365C" w:rsidRDefault="0048365C" w:rsidP="0048365C">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6E16DF3" w14:textId="77777777" w:rsidR="0048365C" w:rsidRDefault="0048365C" w:rsidP="0048365C">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5143DC11" w14:textId="77777777" w:rsidR="0048365C" w:rsidRDefault="0048365C" w:rsidP="0048365C">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5E5B62" w14:textId="77777777" w:rsidR="0048365C" w:rsidRDefault="0048365C" w:rsidP="0048365C">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45E484F6" w14:textId="77777777" w:rsidR="0048365C" w:rsidRDefault="0048365C" w:rsidP="0048365C">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6ACD9A58" w14:textId="77777777" w:rsidR="0048365C" w:rsidRDefault="0048365C" w:rsidP="0048365C">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6CA71F06" w14:textId="77777777" w:rsidR="0048365C" w:rsidRDefault="0048365C" w:rsidP="0048365C">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625E0929" w14:textId="77777777" w:rsidR="0048365C" w:rsidRDefault="0048365C" w:rsidP="0048365C">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4C925DF5" w14:textId="77777777" w:rsidR="0048365C" w:rsidRDefault="0048365C" w:rsidP="0048365C">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262B67B5" w14:textId="77777777" w:rsidR="0048365C" w:rsidRDefault="0048365C" w:rsidP="0048365C">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6A364D37" w14:textId="77777777" w:rsidR="0048365C" w:rsidRDefault="0048365C" w:rsidP="0048365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03D153E" w14:textId="77777777" w:rsidR="0048365C" w:rsidRDefault="0048365C" w:rsidP="0048365C">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0264B256" w14:textId="77777777" w:rsidR="0048365C" w:rsidRDefault="0048365C" w:rsidP="0048365C">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6C1A334E" w14:textId="77777777" w:rsidR="0048365C" w:rsidRDefault="0048365C" w:rsidP="0048365C">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442F1BAB" w14:textId="77777777" w:rsidR="0048365C" w:rsidRDefault="0048365C" w:rsidP="0048365C">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E4541EA" w14:textId="77777777" w:rsidR="0048365C" w:rsidRDefault="0048365C" w:rsidP="0048365C">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21FEA333" w14:textId="77777777" w:rsidR="0048365C" w:rsidRDefault="0048365C" w:rsidP="0048365C">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40C7924D" w14:textId="77777777" w:rsidR="0048365C" w:rsidRDefault="0048365C" w:rsidP="0048365C">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43446558" w14:textId="77777777" w:rsidR="0048365C" w:rsidRDefault="0048365C" w:rsidP="0048365C">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31F0C4D9" w14:textId="77777777" w:rsidR="0048365C" w:rsidRDefault="0048365C" w:rsidP="0048365C">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7CBC978A" w14:textId="77777777" w:rsidR="0048365C" w:rsidRDefault="0048365C" w:rsidP="0048365C">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A0E79BF" w14:textId="77777777" w:rsidR="0048365C" w:rsidRDefault="0048365C" w:rsidP="0048365C">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486194E3" w14:textId="77777777" w:rsidR="0048365C" w:rsidRDefault="0048365C" w:rsidP="0048365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6299B602" w14:textId="77777777" w:rsidR="0048365C" w:rsidRDefault="0048365C" w:rsidP="0048365C">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3DE859FF" w14:textId="77777777" w:rsidR="0048365C" w:rsidRDefault="0048365C" w:rsidP="0048365C">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15D15B5D" w14:textId="77777777" w:rsidR="0048365C" w:rsidRDefault="0048365C" w:rsidP="0048365C">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1BAABC74" w14:textId="77777777" w:rsidR="0048365C" w:rsidRDefault="0048365C" w:rsidP="0048365C">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000C746D" w14:textId="77777777" w:rsidR="0048365C" w:rsidRDefault="0048365C" w:rsidP="0048365C">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78DB3B9B" w14:textId="77777777" w:rsidR="0048365C" w:rsidRDefault="0048365C" w:rsidP="0048365C">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0D8AAA7D" w14:textId="77777777" w:rsidR="0048365C" w:rsidRDefault="0048365C" w:rsidP="0048365C">
      <w:pPr>
        <w:pStyle w:val="Bibliography"/>
      </w:pPr>
      <w:r>
        <w:rPr>
          <w:b/>
          <w:bCs/>
        </w:rPr>
        <w:lastRenderedPageBreak/>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1BBB445F" w14:textId="77777777" w:rsidR="0048365C" w:rsidRDefault="0048365C" w:rsidP="0048365C">
      <w:pPr>
        <w:pStyle w:val="Bibliography"/>
      </w:pPr>
      <w:r>
        <w:rPr>
          <w:b/>
          <w:bCs/>
        </w:rPr>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7A3AA482" w14:textId="77777777" w:rsidR="0048365C" w:rsidRDefault="0048365C" w:rsidP="0048365C">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36C611AD" w14:textId="77777777" w:rsidR="0048365C" w:rsidRDefault="0048365C" w:rsidP="0048365C">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67A0FCD3" w14:textId="77777777" w:rsidR="0048365C" w:rsidRDefault="0048365C" w:rsidP="0048365C">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261028D5" w14:textId="77777777" w:rsidR="0048365C" w:rsidRDefault="0048365C" w:rsidP="0048365C">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4FB48B9" w14:textId="77777777" w:rsidR="0048365C" w:rsidRDefault="0048365C" w:rsidP="0048365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4721B6C6" w14:textId="77777777" w:rsidR="0048365C" w:rsidRDefault="0048365C" w:rsidP="0048365C">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736DB466" w14:textId="77777777" w:rsidR="0048365C" w:rsidRDefault="0048365C" w:rsidP="0048365C">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2AEB187"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573C5"/>
    <w:rsid w:val="00070ADD"/>
    <w:rsid w:val="00075A04"/>
    <w:rsid w:val="0008045F"/>
    <w:rsid w:val="00085268"/>
    <w:rsid w:val="000A7F8C"/>
    <w:rsid w:val="000C4DA0"/>
    <w:rsid w:val="000E10B6"/>
    <w:rsid w:val="000E780A"/>
    <w:rsid w:val="000F67B0"/>
    <w:rsid w:val="001052BC"/>
    <w:rsid w:val="001054E3"/>
    <w:rsid w:val="00126292"/>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14D5D"/>
    <w:rsid w:val="0021795F"/>
    <w:rsid w:val="00223EDF"/>
    <w:rsid w:val="00232497"/>
    <w:rsid w:val="002401A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579D5"/>
    <w:rsid w:val="00360BAF"/>
    <w:rsid w:val="00362E3D"/>
    <w:rsid w:val="0036405B"/>
    <w:rsid w:val="00366503"/>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25B1E"/>
    <w:rsid w:val="0052704A"/>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3AA6"/>
    <w:rsid w:val="00750826"/>
    <w:rsid w:val="00751EF2"/>
    <w:rsid w:val="0075660C"/>
    <w:rsid w:val="0076210D"/>
    <w:rsid w:val="00766FF2"/>
    <w:rsid w:val="00767D4F"/>
    <w:rsid w:val="0077033D"/>
    <w:rsid w:val="00774F3E"/>
    <w:rsid w:val="00794231"/>
    <w:rsid w:val="00797273"/>
    <w:rsid w:val="007A4147"/>
    <w:rsid w:val="007C0520"/>
    <w:rsid w:val="007C3A90"/>
    <w:rsid w:val="007C78F7"/>
    <w:rsid w:val="007D59F8"/>
    <w:rsid w:val="007E244A"/>
    <w:rsid w:val="007E4367"/>
    <w:rsid w:val="007E6DFC"/>
    <w:rsid w:val="007F046D"/>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10F3F"/>
    <w:rsid w:val="00A20ABE"/>
    <w:rsid w:val="00A2115E"/>
    <w:rsid w:val="00A21760"/>
    <w:rsid w:val="00A3659E"/>
    <w:rsid w:val="00A663C4"/>
    <w:rsid w:val="00A92EFD"/>
    <w:rsid w:val="00AA3255"/>
    <w:rsid w:val="00AC014C"/>
    <w:rsid w:val="00AC19A3"/>
    <w:rsid w:val="00AC6162"/>
    <w:rsid w:val="00AD1877"/>
    <w:rsid w:val="00AE3F53"/>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F9C"/>
    <w:rsid w:val="00BA2D82"/>
    <w:rsid w:val="00BB05C1"/>
    <w:rsid w:val="00BB3BE8"/>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6E26"/>
    <w:rsid w:val="00D270DA"/>
    <w:rsid w:val="00D30653"/>
    <w:rsid w:val="00D342D3"/>
    <w:rsid w:val="00D34FF2"/>
    <w:rsid w:val="00D366EA"/>
    <w:rsid w:val="00D3799D"/>
    <w:rsid w:val="00D41597"/>
    <w:rsid w:val="00D50D49"/>
    <w:rsid w:val="00D52565"/>
    <w:rsid w:val="00D7068F"/>
    <w:rsid w:val="00D83868"/>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54300"/>
    <w:rsid w:val="00E55308"/>
    <w:rsid w:val="00E57C4B"/>
    <w:rsid w:val="00E614FF"/>
    <w:rsid w:val="00E67F44"/>
    <w:rsid w:val="00E7094F"/>
    <w:rsid w:val="00E70CF7"/>
    <w:rsid w:val="00E80ECC"/>
    <w:rsid w:val="00E92963"/>
    <w:rsid w:val="00EA2D30"/>
    <w:rsid w:val="00EC30F0"/>
    <w:rsid w:val="00EC3235"/>
    <w:rsid w:val="00F03DDB"/>
    <w:rsid w:val="00F054B1"/>
    <w:rsid w:val="00F05B76"/>
    <w:rsid w:val="00F341AE"/>
    <w:rsid w:val="00F4095A"/>
    <w:rsid w:val="00F53286"/>
    <w:rsid w:val="00F55024"/>
    <w:rsid w:val="00F55712"/>
    <w:rsid w:val="00F661B4"/>
    <w:rsid w:val="00F674D1"/>
    <w:rsid w:val="00F70B31"/>
    <w:rsid w:val="00F74C7D"/>
    <w:rsid w:val="00F74D72"/>
    <w:rsid w:val="00F861ED"/>
    <w:rsid w:val="00F87F40"/>
    <w:rsid w:val="00F93EFB"/>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F68C8-B2CB-4CE8-9672-B3FBD693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57303</Words>
  <Characters>326633</Characters>
  <Application>Microsoft Office Word</Application>
  <DocSecurity>0</DocSecurity>
  <Lines>2721</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4</cp:revision>
  <cp:lastPrinted>2018-09-20T19:21:00Z</cp:lastPrinted>
  <dcterms:created xsi:type="dcterms:W3CDTF">2018-11-19T17:48:00Z</dcterms:created>
  <dcterms:modified xsi:type="dcterms:W3CDTF">2018-11-19T17:50:00Z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id="BzhKRjWh"/&gt;&lt;style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