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00"/>
      </w:pPr>
      <w:r>
        <w:rPr>
          <w:rFonts w:ascii="STHeiti" w:hAnsi="STHeiti" w:eastAsia="STHeiti" w:cs="STHeiti"/>
          <w:b/>
          <w:i w:val="0"/>
          <w:color w:val="0A91B8"/>
          <w:sz w:val="20"/>
        </w:rPr>
        <w:t>TECHNICAL IMPLEMENTATION PLAN</w:t>
      </w:r>
    </w:p>
    <w:p>
      <w:pPr>
        <w:spacing w:before="0" w:after="160"/>
      </w:pPr>
      <w:r>
        <w:rPr>
          <w:rFonts w:ascii="STHeiti" w:hAnsi="STHeiti" w:eastAsia="STHeiti" w:cs="STHeiti"/>
          <w:b/>
          <w:i w:val="0"/>
          <w:color w:val="123B6D"/>
          <w:sz w:val="56"/>
        </w:rPr>
        <w:t>app-data-mcp</w:t>
        <w:br/>
        <w:t>技术实现方案</w:t>
      </w:r>
    </w:p>
    <w:p>
      <w:pPr>
        <w:spacing w:after="440"/>
      </w:pPr>
      <w:r>
        <w:rPr>
          <w:rFonts w:ascii="STHeiti" w:hAnsi="STHeiti" w:eastAsia="STHeiti" w:cs="STHeiti"/>
          <w:b w:val="0"/>
          <w:i w:val="0"/>
          <w:color w:val="1D67B1"/>
          <w:sz w:val="28"/>
        </w:rPr>
        <w:t>面向 Q3 数据自助分析目标的架构、语义治理、安全与实施路线</w:t>
      </w:r>
    </w:p>
    <w:p>
      <w:pPr>
        <w:spacing w:after="60"/>
      </w:pPr>
      <w:r>
        <w:rPr>
          <w:rFonts w:ascii="STHeiti" w:hAnsi="STHeiti" w:eastAsia="STHeiti" w:cs="STHeiti"/>
          <w:b/>
          <w:i w:val="0"/>
          <w:color w:val="5F6B7A"/>
          <w:sz w:val="21"/>
        </w:rPr>
        <w:t>版本：</w:t>
      </w:r>
      <w:r>
        <w:rPr>
          <w:rFonts w:ascii="STHeiti" w:hAnsi="STHeiti" w:eastAsia="STHeiti" w:cs="STHeiti"/>
          <w:b w:val="0"/>
          <w:i w:val="0"/>
          <w:color w:val="172033"/>
          <w:sz w:val="21"/>
        </w:rPr>
        <w:t>V1.0（讨论稿）</w:t>
      </w:r>
    </w:p>
    <w:p>
      <w:pPr>
        <w:spacing w:after="60"/>
      </w:pPr>
      <w:r>
        <w:rPr>
          <w:rFonts w:ascii="STHeiti" w:hAnsi="STHeiti" w:eastAsia="STHeiti" w:cs="STHeiti"/>
          <w:b/>
          <w:i w:val="0"/>
          <w:color w:val="5F6B7A"/>
          <w:sz w:val="21"/>
        </w:rPr>
        <w:t>日期：</w:t>
      </w:r>
      <w:r>
        <w:rPr>
          <w:rFonts w:ascii="STHeiti" w:hAnsi="STHeiti" w:eastAsia="STHeiti" w:cs="STHeiti"/>
          <w:b w:val="0"/>
          <w:i w:val="0"/>
          <w:color w:val="172033"/>
          <w:sz w:val="21"/>
        </w:rPr>
        <w:t>2026-07-24</w:t>
      </w:r>
    </w:p>
    <w:p>
      <w:pPr>
        <w:spacing w:after="60"/>
      </w:pPr>
      <w:r>
        <w:rPr>
          <w:rFonts w:ascii="STHeiti" w:hAnsi="STHeiti" w:eastAsia="STHeiti" w:cs="STHeiti"/>
          <w:b/>
          <w:i w:val="0"/>
          <w:color w:val="5F6B7A"/>
          <w:sz w:val="21"/>
        </w:rPr>
        <w:t>范围：</w:t>
      </w:r>
      <w:r>
        <w:rPr>
          <w:rFonts w:ascii="STHeiti" w:hAnsi="STHeiti" w:eastAsia="STHeiti" w:cs="STHeiti"/>
          <w:b w:val="0"/>
          <w:i w:val="0"/>
          <w:color w:val="172033"/>
          <w:sz w:val="21"/>
        </w:rPr>
        <w:t>Metabase · PostHog · MCP · 个人权限 · 管理后台</w:t>
      </w:r>
    </w:p>
    <w:p>
      <w:pPr>
        <w:spacing w:after="60"/>
      </w:pPr>
      <w:r>
        <w:rPr>
          <w:rFonts w:ascii="STHeiti" w:hAnsi="STHeiti" w:eastAsia="STHeiti" w:cs="STHeiti"/>
          <w:b/>
          <w:i w:val="0"/>
          <w:color w:val="5F6B7A"/>
          <w:sz w:val="21"/>
        </w:rPr>
        <w:t>受众：</w:t>
      </w:r>
      <w:r>
        <w:rPr>
          <w:rFonts w:ascii="STHeiti" w:hAnsi="STHeiti" w:eastAsia="STHeiti" w:cs="STHeiti"/>
          <w:b w:val="0"/>
          <w:i w:val="0"/>
          <w:color w:val="172033"/>
          <w:sz w:val="21"/>
        </w:rPr>
        <w:t>数据 / 后端 / 产品 / 运营 / 信息安全 / 管理层</w:t>
      </w:r>
    </w:p>
    <w:p>
      <w:pPr>
        <w:spacing w:before="520" w:after="160" w:line="288" w:lineRule="auto"/>
        <w:ind w:left="202" w:right="202"/>
        <w:shd w:fill="E8F1FA"/>
      </w:pPr>
      <w:r>
        <w:rPr>
          <w:rFonts w:ascii="STHeiti" w:hAnsi="STHeiti" w:eastAsia="STHeiti" w:cs="STHeiti"/>
          <w:b/>
          <w:i w:val="0"/>
          <w:color w:val="1D67B1"/>
          <w:sz w:val="22"/>
        </w:rPr>
        <w:t xml:space="preserve">方案定位  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位于 AI 工具与 BI/数据引擎之间的只读数据控制面：用精选资产、结构化语义、个人权限、执行护栏和审计闭环，把自然语言问题稳定转换成可解释、可追溯、可控制的数据查询。</w:t>
      </w:r>
    </w:p>
    <w:p>
      <w:pPr>
        <w:spacing w:before="360" w:after="120"/>
      </w:pPr>
      <w:r>
        <w:rPr>
          <w:rFonts w:ascii="STHeiti" w:hAnsi="STHeiti" w:eastAsia="STHeiti" w:cs="STHeiti"/>
          <w:b/>
          <w:i w:val="0"/>
          <w:color w:val="123B6D"/>
          <w:sz w:val="26"/>
        </w:rPr>
        <w:t>阅读导航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1"/>
        </w:rPr>
        <w:t>管理层：先读第 1、3、9、10、15 节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1"/>
        </w:rPr>
        <w:t>数据与产品：重点读第 4、5、6、9、12 节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1"/>
        </w:rPr>
        <w:t>后端与安全：重点读第 3、5、7、8、10、13 节</w:t>
      </w:r>
    </w:p>
    <w:p>
      <w:r>
        <w:br w:type="page"/>
      </w:r>
    </w:p>
    <w:p>
      <w:r>
        <w:rPr>
          <w:rFonts w:ascii="STHeiti" w:hAnsi="STHeiti" w:eastAsia="STHeiti" w:cs="STHeiti"/>
          <w:b/>
          <w:i w:val="0"/>
          <w:color w:val="172033"/>
          <w:sz w:val="22"/>
        </w:rPr>
        <w:t>版本：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V1.0（讨论稿）</w:t>
      </w:r>
    </w:p>
    <w:p>
      <w:r>
        <w:rPr>
          <w:rFonts w:ascii="STHeiti" w:hAnsi="STHeiti" w:eastAsia="STHeiti" w:cs="STHeiti"/>
          <w:b/>
          <w:i w:val="0"/>
          <w:color w:val="172033"/>
          <w:sz w:val="22"/>
        </w:rPr>
        <w:t>日期：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2026-07-24</w:t>
      </w:r>
    </w:p>
    <w:p>
      <w:r>
        <w:rPr>
          <w:rFonts w:ascii="STHeiti" w:hAnsi="STHeiti" w:eastAsia="STHeiti" w:cs="STHeiti"/>
          <w:b/>
          <w:i w:val="0"/>
          <w:color w:val="172033"/>
          <w:sz w:val="22"/>
        </w:rPr>
        <w:t>面向对象：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数据、后端、产品、运营、信息安全与管理层</w:t>
      </w:r>
    </w:p>
    <w:p>
      <w:r>
        <w:rPr>
          <w:rFonts w:ascii="STHeiti" w:hAnsi="STHeiti" w:eastAsia="STHeiti" w:cs="STHeiti"/>
          <w:b/>
          <w:i w:val="0"/>
          <w:color w:val="172033"/>
          <w:sz w:val="22"/>
        </w:rPr>
        <w:t>目标：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将日常数据查询从“找数据同学取数”逐步转为“在权限边界内由 AI 自助查询”，并在 9 月底完成中心现场验收。</w:t>
      </w:r>
    </w:p>
    <w:p>
      <w:pPr>
        <w:spacing w:before="100" w:after="160" w:line="283" w:lineRule="auto"/>
        <w:ind w:left="173" w:right="115"/>
        <w:shd w:fill="E8F1FA"/>
        <w:pBdr>
          <w:left w:val="single" w:sz="18" w:space="8" w:color="1D67B1"/>
        </w:pBdr>
      </w:pPr>
      <w:r>
        <w:rPr>
          <w:rFonts w:ascii="STHeiti" w:hAnsi="STHeiti" w:eastAsia="STHeiti" w:cs="STHeiti"/>
          <w:b w:val="0"/>
          <w:i w:val="0"/>
          <w:color w:val="172033"/>
          <w:sz w:val="21"/>
        </w:rPr>
        <w:t>核心判断：app-data-mcp 不应成为另一个 BI，也不应允许 AI 任意生成 SQL。它的定位是位于 AI 工具与 BI/数据引擎之间的“只读数据控制面”：用精选资产、结构化语义、个人权限、执行护栏和审计闭环，把自然语言问题稳定转换成可解释、可追溯、可控制的数据查询。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1. 方案摘要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Q3 建设采用“同步池 + 精选开放集 + 语义层 + 受控执行”的四层路线。</w:t>
      </w:r>
    </w:p>
    <w:p>
      <w:pPr>
        <w:numPr>
          <w:ilvl w:val="0"/>
          <w:numId w:val="102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同步池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只读同步 Metabase、PostHog 元信息，完整保存平台对象及权限快照，但新资产默认不开放。</w:t>
      </w:r>
    </w:p>
    <w:p>
      <w:pPr>
        <w:numPr>
          <w:ilvl w:val="0"/>
          <w:numId w:val="102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精选开放集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由数据同学按业务需求维护，Q3 至少治理并开放 20 个核心指标、30 个可分析数据集/表级资产。</w:t>
      </w:r>
    </w:p>
    <w:p>
      <w:pPr>
        <w:numPr>
          <w:ilvl w:val="0"/>
          <w:numId w:val="102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语义层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统一描述指标口径、同义词、维度、时间口径、粒度、Rollup、累计、血缘、负责人和使用限制，使 AI 能检索并正确调用。</w:t>
      </w:r>
    </w:p>
    <w:p>
      <w:pPr>
        <w:numPr>
          <w:ilvl w:val="0"/>
          <w:numId w:val="102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受控执行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坚持正式指标从 Metric/Card 查询：安全且新鲜的预计算 Card 优先，Metric 负责权威重算；Model 主要查询明细，SQL 最后回退。查询使用个人 MCP token 对应的 Metabase 权限，所有工具只读、有限流、有限行、有限响应并全程审计。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Q3 的成功不是“接入了多少原始资产”，而是以下闭环同时成立：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普通产品/运营用户能够从 Codex、Claude Code、WorkBuddy 等 AI 入口自然语言提问；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常见日活、周趋势、分组、固定报表、漏斗/留存查询在 1 分钟内返回结果和数据出处；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至少 20 名非数据团队用户使用，周活跃查询不少于 50 次；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准确性、权限和稳定性通过验收前，保留人工兜底，不通过行政命令提前切断人工服务。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2. 当前实现基线与差距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2.1 已实现能力（以当前仓库代码为准）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领域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已实现内容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技术落点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AI 接入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MCP stdio 与 Streamable HTTP；动态 `tools/list`；可对接 Codex、Claude Code 等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`src/mcp.ts`、`src/http.ts`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资产发现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`search_assets`、`get_asset`、`trace_asset`、`list_domains`、`catalog_status`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`src/catalog.ts`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意图与排序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指标、趋势、拆分、明细、总览、固定报表、行为、血缘、人群等意图；按意图动态排序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`src/assetSelectionGovernance.ts`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查询执行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Metabase Dashboard/Card/Model/Metric，PostHog Insight，受控 StarRocks 回退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`src/connectors/*`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语义查询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Metric 保留公式；Model 受控筛选/字段/聚合；Card `metric_set` 支持指标、维度、Rollup、累计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`src/cardSemantic.ts`、`src/connectors/metabase.ts`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资产治理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Metric/Card/Model/Dashboard 优先级；Model 重算与 SQL 回退均要求拒绝高优先级候选并说明原因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`src/queryGovernance.ts`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用户人群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2–10 个 Model 以统一 UID 在 Metabase 数据源侧做交、并、差；完整人群受控导出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`src/audienceExports.ts`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权限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个人 MCP token 映射 Metabase 用户 Session；快照过滤 + 实时权限校验 + 平台最终裁决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`src/accessPolicy.ts`、`src/auth/*`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管理后台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资产开放/关闭、人工语义覆盖、同步状态、工具开关、按用户授权、审计查看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`src/admin/*`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安全与审计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只读工具、SQL 防护、返回限制、参数哈希、用户/客户端/耗时/行数/错误审计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`src/audit.ts`、`src/toolStore.ts`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代码基线已通过 TypeScript 静态检查，仓库包含 43 个自动化测试用例。静态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config/assets.json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快照有 791 个原始资产（Metabase 383、PostHog 407、本地 1），但它仅能说明“同步池规模”，不能代表生产库中的开放状态、实时权限或语义覆盖。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2.2 Q3 仍需补齐的关键差距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差距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当前风险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Q3 补齐方式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精选资产集尚未形成明确准入标准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原始资产多，但 AI 找到的未必是业务认可资产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建立资产准入、Owner、口径评审、发布、退役流程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PostHog Insight 语义结构偏弱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只能依赖名称/描述检索，难以判断漏斗、留存、趋势及可覆盖参数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新增 Insight 专用语义 Schema 与后台表单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搜索以规则与文本召回为主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同义表达、长问题、业务缩写可能漏召回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关键词召回 + 结构化过滤 + 可选向量召回 + 重排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缺少统一准确率评测基线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“能查”不等于“查对”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建立 100+ 常见问题黄金测试集、候选命中率与答案验收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缺少面向 KR 的运营看板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无法持续证明用户数、周活查询、耗时、成功率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从审计表构建使用与质量看板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Token 生命周期与敏感字段策略需加强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离职、泄漏、敏感字段暴露风险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增加自助吊销/轮换、字段分级与脱敏/禁出策略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部署可靠性尚需产品化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单实例、同步失败、依赖波动会影响 SLA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健康检查、告警、任务调度、重试、容量与故障演练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3. 目标架构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67225"/>
            <wp:docPr id="1" name="Picture 1" descr="AI 接入、控制面、元数据治理平面与数据引擎之间的关系" title="图 1　app-data-mcp 目标技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rge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STHeiti" w:hAnsi="STHeiti" w:eastAsia="STHeiti" w:cs="STHeiti"/>
          <w:b w:val="0"/>
          <w:i w:val="0"/>
          <w:color w:val="5F6B7A"/>
          <w:sz w:val="18"/>
        </w:rPr>
        <w:t>图 1　app-data-mcp 目标技术架构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3.1 设计原则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BI 是计算与权限事实源，MCP 是控制面。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不复制业务数据，不在 MCP 中重新建设数仓。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元信息全量同步，资产按需开放。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同步不等于发布；新资产默认关闭。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定义与性能共同治理。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正式指标只认 Metric/Card；预计算 Card 能安全、及时、完整回答时优先，否则使用权威 Metric，防止 AI 在 Model 上重造口径。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权限不放大。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MCP 用户能看到和运行的 Metabase 资产，不得超过其原账号权限。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执行可解释。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返回资产 ID、公式/语义、筛选、来源 URL、警告与截断信息。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高风险能力最小开放。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SQL 与完整人群导出默认全局关闭，只对明确用户授权。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失败可降级但不可静默变口径。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连接失败、候选不适用、结果截断都必须显式说明。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4. 资产模型与维护策略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4.1 两级资产集合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2" name="Picture 2" descr="从全量同步到准入、开放、反馈和退役" title="图 2　同步池与精选开放集的资产治理漏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sset-governance-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STHeiti" w:hAnsi="STHeiti" w:eastAsia="STHeiti" w:cs="STHeiti"/>
          <w:b w:val="0"/>
          <w:i w:val="0"/>
          <w:color w:val="5F6B7A"/>
          <w:sz w:val="18"/>
        </w:rPr>
        <w:t>图 2　同步池与精选开放集的资产治理漏斗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同步池解决“可发现”，精选开放集解决“可放心使用”。Q3 的 20+ 指标和 30+ 数据表均以精选开放集计数。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4.2 平台资产分类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800"/>
        <w:gridCol w:w="1800"/>
        <w:gridCol w:w="2960"/>
      </w:tblGrid>
      <w:tr>
        <w:trPr>
          <w:tblHeader w:val="true"/>
        </w:trPr>
        <w:tc>
          <w:tcPr>
            <w:tcW w:type="dxa" w:w="130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平台</w:t>
            </w:r>
          </w:p>
        </w:tc>
        <w:tc>
          <w:tcPr>
            <w:tcW w:type="dxa" w:w="150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资产类型</w:t>
            </w:r>
          </w:p>
        </w:tc>
        <w:tc>
          <w:tcPr>
            <w:tcW w:type="dxa" w:w="180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定位</w:t>
            </w:r>
          </w:p>
        </w:tc>
        <w:tc>
          <w:tcPr>
            <w:tcW w:type="dxa" w:w="180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是否重点维护语义</w:t>
            </w:r>
          </w:p>
        </w:tc>
        <w:tc>
          <w:tcPr>
            <w:tcW w:type="dxa" w:w="29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推荐使用方式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Metabase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Dashboard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主题总览与资产容器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中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总览问题、发现子 Card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Metabase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Metric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单一标准指标及固定公式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**最高**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权威公式、灵活筛选和维度拆分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Metabase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Card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已保存查询；可声明为多指标 `metric_set`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**高**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预计算指标集、复杂结果或固定报表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Metabase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Model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可复用明细语义数据集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**高**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明细、字段筛选和实体查询；聚合仅探索性兜底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PostHog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Dashboard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行为分析总览与 Insight 容器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中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总览与 Insight 发现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PostHog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Insight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趋势、漏斗、留存、路径等行为分析定义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**最高**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行为分析首选，不让 AI 临时重构事件逻辑</w:t>
            </w:r>
          </w:p>
        </w:tc>
      </w:tr>
    </w:tbl>
    <w:p>
      <w:pPr>
        <w:spacing w:after="40"/>
      </w:pPr>
    </w:p>
    <w:p>
      <w:pPr>
        <w:spacing w:before="100" w:after="160" w:line="283" w:lineRule="auto"/>
        <w:ind w:left="173" w:right="115"/>
        <w:shd w:fill="E8F1FA"/>
        <w:pBdr>
          <w:left w:val="single" w:sz="18" w:space="8" w:color="1D67B1"/>
        </w:pBdr>
      </w:pPr>
      <w:r>
        <w:rPr>
          <w:rFonts w:ascii="STHeiti" w:hAnsi="STHeiti" w:eastAsia="STHeiti" w:cs="STHeiti"/>
          <w:b w:val="0"/>
          <w:i w:val="0"/>
          <w:color w:val="172033"/>
          <w:sz w:val="21"/>
        </w:rPr>
        <w:t xml:space="preserve">重要调整建议：指标正式口径来自 Metric 或 Card 指标集，Model 主要回答明细。若 </w:t>
      </w:r>
      <w:r>
        <w:rPr>
          <w:rFonts w:ascii="STHeiti" w:hAnsi="STHeiti" w:eastAsia="STHeiti" w:cs="STHeiti"/>
          <w:b w:val="0"/>
          <w:i w:val="0"/>
          <w:color w:val="123B6D"/>
          <w:sz w:val="20"/>
        </w:rPr>
        <w:t>metric_set</w:t>
      </w:r>
      <w:r>
        <w:rPr>
          <w:rFonts w:ascii="STHeiti" w:hAnsi="STHeiti" w:eastAsia="STHeiti" w:cs="STHeiti"/>
          <w:b w:val="0"/>
          <w:i w:val="0"/>
          <w:color w:val="172033"/>
          <w:sz w:val="21"/>
        </w:rPr>
        <w:t xml:space="preserve"> Card 确实来自预计算表、物化视图或稳定缓存，并且能安全覆盖用户要求，应优先使用 Card；Metric 作为权威公式和灵活重算来源。普通 Card 仍保持固定报表角色。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4.3 统一语义字段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所有开放资产至少维护：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基础：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title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description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businessDomain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tags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owner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url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检索：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synonyms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、业务缩写、适用问题、反例/不适用问题；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数据：字段/指标、类型、单位、时间字段、时区、更新频率、数据延迟；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口径：公式、过滤条件、基础粒度、维度、可聚合规则；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治理：敏感级别、开放范围、质量状态、Reviewer、复核时间、退役替代资产；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血缘：上游表/事件/资产，下游引用；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执行：允许参数、允许时间粒度、最大查询范围、结果限制。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4.4 Metabase 语义建议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Metric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固定并保存原生公式、默认过滤、数据源、默认时间维度；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声明可拆分维度、单位、同义词、更新频率、负责人；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run_asset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只允许追加过滤与替换拆分维度，不允许 AI 替换公式。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Card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普通 Card：维护固定筛选、参数、输出列、适用场景；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metric_set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Card：额外维护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baseGrain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dimensions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measures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defaultTimeDimension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维护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executionMode=precomputed/cached/live_query/unknown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、数据更新频率、最大延迟和预期查询成本；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每个 measure 声明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sum/min/max/recompute/forbidden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Rollup；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不可加指标（如跨日去重用户数）必须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forbidden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或提供可重算分子/分母；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累计仅对明确声明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running_sum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的可加指标开放。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Model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维护字段名、展示名、类型、业务描述、同义词、敏感级别；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明确主时间字段、实体标识、基础粒度和可筛选字段；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含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uid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时维护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audience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元数据，用于数据源侧人群运算；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默认只用于明细，不要求管理员为 Model 重复配置指标映射；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Model 被 Metric 引用时，数据源和上游关系从 Metabase 自动同步；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count/distinct/sum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等聚合只作为探索性兜底，必须先确认无适用 Metric/Card，且不得冒充标准指标。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4.5 指标来源、性能与选择边界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指标查询采用“口径正确优先，性能在满足正确性后排序”的策略：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候选来源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使用条件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默认顺序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预计算 Card 指标集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指标命中，维度/筛选/时间覆盖，Rollup 安全，新鲜度满足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1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Metabase Metric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公式权威，支持所需维度和筛选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2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实时 Card 指标集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能回答，但仍需执行复杂查询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3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普通 Card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固定结果可直接回答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4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Model 聚合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无适用 Metric/Card，且用户接受探索性口径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5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不能仅凭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type=card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认定查询更快。只有 Card 查询的是预计算汇总表、物化视图、离线结果或稳定缓存，并经性能验证，才能标记为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precomputed/cached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。Card 优先时仍要检查：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与标准 Metric 是否同口径；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是否包含用户要求的指标、维度和过滤能力；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是否允许当前时间粒度和 Rollup；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数据是否足够新；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当前用户是否有权限且 Card 可正常执行。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一句话边界是：</w:t>
      </w:r>
      <w:r>
        <w:rPr>
          <w:rFonts w:ascii="STHeiti" w:hAnsi="STHeiti" w:eastAsia="STHeiti" w:cs="STHeiti"/>
          <w:b/>
          <w:i w:val="0"/>
          <w:color w:val="172033"/>
          <w:sz w:val="22"/>
        </w:rPr>
        <w:t>Card 负责高性能指标结果，Metric 负责权威公式和灵活重算；Card 能安全、及时、完整回答时优先 Card，否则回到 Metric。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4.6 Card 复合指标与派生指标语义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Card 指标集可以包含基础指标和派生指标。例如原始结果包含维度 A、指标 B 和指标 C，需要得到：</w:t>
      </w:r>
    </w:p>
    <w:p>
      <w:r>
        <w:rPr>
          <w:rFonts w:ascii="STHeiti" w:hAnsi="STHeiti" w:eastAsia="STHeiti" w:cs="STHeiti"/>
          <w:b w:val="0"/>
          <w:i w:val="0"/>
          <w:color w:val="123B6D"/>
          <w:sz w:val="21"/>
        </w:rPr>
        <w:t>派生指标 D = sum(B) / sum(C)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必须配置为“先聚合依赖指标，再重新计算”，不能让 AI 临时生成公式，也不能使用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sum(B/C)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或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avg(B/C)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。建议语义如下：</w:t>
      </w:r>
    </w:p>
    <w:p>
      <w:pPr>
        <w:keepLines/>
        <w:spacing w:before="100" w:after="160" w:line="240" w:lineRule="auto"/>
        <w:ind w:left="230" w:right="230"/>
        <w:shd w:fill="182332"/>
      </w:pPr>
      <w:r>
        <w:rPr>
          <w:rFonts w:ascii="STHeiti" w:hAnsi="STHeiti" w:eastAsia="STHeiti" w:cs="STHeiti"/>
          <w:b w:val="0"/>
          <w:i w:val="0"/>
          <w:color w:val="EAF2FA"/>
          <w:sz w:val="16"/>
        </w:rPr>
        <w:t>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"role": "metric_set",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"executionMode": "precomputed",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"baseGrain": ["channel"],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"dimensions": [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"field": "channel",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"label": "渠道",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"synonyms": ["流量渠道", "来源渠道"]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"measures": [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"name": "paid_users",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"label": "支付用户数",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"sourceColumn": "paid_user_count",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"unit": "user",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"rollup":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"strategy": "sum",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"allowedGroupBy": ["channel"]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"name": "visitor_users",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"label": "访问用户数",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"sourceColumn": "visitor_user_count",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"unit": "user",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"rollup":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"strategy": "sum",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"allowedGroupBy": ["channel"]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"name": "payment_conversion_rate",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"label": "支付转化率",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"description": "支付用户数除以访问用户数",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"synonyms": ["付费转化率", "支付率"],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"unit": "percent",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"rollup":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"strategy": "recompute",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"formula":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  "operator": "divide",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  "numerator": "paid_users",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  "denominator": "visitor_users",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  "zeroDivision": "null",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  "scale": 4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"allowedGroupBy": ["channel"]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"format":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"type": "percent",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  "decimalPlaces": 2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  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]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>}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AI 只需请求派生指标及维度：</w:t>
      </w:r>
    </w:p>
    <w:p>
      <w:pPr>
        <w:keepLines/>
        <w:spacing w:before="100" w:after="160" w:line="240" w:lineRule="auto"/>
        <w:ind w:left="230" w:right="230"/>
        <w:shd w:fill="182332"/>
      </w:pPr>
      <w:r>
        <w:rPr>
          <w:rFonts w:ascii="STHeiti" w:hAnsi="STHeiti" w:eastAsia="STHeiti" w:cs="STHeiti"/>
          <w:b w:val="0"/>
          <w:i w:val="0"/>
          <w:color w:val="EAF2FA"/>
          <w:sz w:val="16"/>
        </w:rPr>
        <w:t>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"asset_id": "metabase:card:530",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"semantic":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"measures": ["payment_conversion_rate"],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"breakouts": [{"field": "channel"}]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>}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服务端负责展开依赖、分别执行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sum(paid_users)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和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sum(visitor_users)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，最后做除法。必须校验分子/分母存在且为数值、基础指标允许当前 Rollup、依赖无环、维度和时间粒度允许、分母为零处理已定义。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search_assets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还需索引派生指标名称、同义词、描述及分子分母，使 AI 能从“各渠道付费转化率”召回该 Card。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后台采用表单化配置：管理员选择“派生指标”、计算方式、分子、分母、除零策略、单位、精度、允许维度和时间粒度，不要求手写 JSON。若该派生指标只在本 Card 内使用，可保留为 Card measure；若跨多个业务场景复用或属于公司级核心指标，应升级为 Metabase Metric。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4.7 PostHog Insight 语义建议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新增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insightSemantic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，建议结构如下：</w:t>
      </w:r>
    </w:p>
    <w:p>
      <w:pPr>
        <w:keepLines/>
        <w:spacing w:before="100" w:after="160" w:line="240" w:lineRule="auto"/>
        <w:ind w:left="230" w:right="230"/>
        <w:shd w:fill="182332"/>
      </w:pPr>
      <w:r>
        <w:rPr>
          <w:rFonts w:ascii="STHeiti" w:hAnsi="STHeiti" w:eastAsia="STHeiti" w:cs="STHeiti"/>
          <w:b w:val="0"/>
          <w:i w:val="0"/>
          <w:color w:val="EAF2FA"/>
          <w:sz w:val="16"/>
        </w:rPr>
        <w:t>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"analysisType": "trend | funnel | retention | path | lifecycle | stickiness",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"businessQuestion": "新用户从注册到绑定设备的 7 日转化情况",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"synonyms": ["绑定漏斗", "注册转绑定", "新用户转化"],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"events": [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{"name": "user_signed_up", "label": "注册", "step": 1},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{"name": "device_bound", "label": "绑定设备", "step": 2}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"entity": "user",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"timeDefinition":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"defaultRange": "-30d",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"timezone": "Asia/Shanghai",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"funnelWindow": "7d"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"breakdowns": ["country", "app_version", "device_model"],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"allowedOverrides": ["date_from", "date_to", "breakdown", "properties"],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"exclusions": ["内部测试账号"],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"owner": "product-analytics",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"freshnessSlaHours": 24,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"warnings": ["事件在 2026-06-01 前埋点口径不同"]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>}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Insight 语义重点回答六个问题：它是什么分析类型、解决什么业务问题、用了哪些事件/步骤、时间窗口是什么、允许如何拆分和筛选、有哪些口径风险。后台应采用结构化表单，JSON 只用于预览和批量迁移。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5. AI 工具接入与详细处理流程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5.1 MCP 工具分层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阶段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工具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AI 调用规则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状态检查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`auth_status`、`connector_status`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首次连接或故障排查使用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发现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`search_assets`、`list_domains`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普通数据问题第一步必须用原始问题搜索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核验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`get_asset`、`trace_asset`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执行前检查公式、字段、维度、参数、警告与出处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执行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`run_asset`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查询 Metric/Card/Model/Dashboard/Insight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人群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`query_audience`、`export_audience`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交并差在数据源侧完成；完整导出高风险授权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回退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`query_starrocks`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治理资产不适用或用户明确要求 SQL，默认高风险关闭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运营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`catalog_status`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查看当前用户可见目录和同步新鲜度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5.2 端到端请求流程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6147995"/>
            <wp:docPr id="3" name="Picture 3" descr="包含检索、核验、治理、权限、执行与审计" title="图 3　自然语言问题到数据结果的端到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d-to-end-request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4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STHeiti" w:hAnsi="STHeiti" w:eastAsia="STHeiti" w:cs="STHeiti"/>
          <w:b w:val="0"/>
          <w:i w:val="0"/>
          <w:color w:val="5F6B7A"/>
          <w:sz w:val="18"/>
        </w:rPr>
        <w:t>图 3　自然语言问题到数据结果的端到端流程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5.3 意图识别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Q3 采用“规则优先、模型增强、可回放评测”的方式：</w:t>
      </w:r>
    </w:p>
    <w:p>
      <w:pPr>
        <w:numPr>
          <w:ilvl w:val="0"/>
          <w:numId w:val="103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规则层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：对明显关键词做高精度识别，例如“漏斗/留存/路径”“明细/哪些用户”“趋势/按周”“口径/怎么算”。</w:t>
      </w:r>
    </w:p>
    <w:p>
      <w:pPr>
        <w:numPr>
          <w:ilvl w:val="0"/>
          <w:numId w:val="103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结构抽取层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：从问题中抽取指标、维度、过滤条件、时间范围、粒度、实体和分析动作。</w:t>
      </w:r>
    </w:p>
    <w:p>
      <w:pPr>
        <w:numPr>
          <w:ilvl w:val="0"/>
          <w:numId w:val="103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LLM 增强层（可选）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：规则低置信度或多意图问题时，输出严格 JSON，不直接生成 SQL。</w:t>
      </w:r>
    </w:p>
    <w:p>
      <w:pPr>
        <w:numPr>
          <w:ilvl w:val="0"/>
          <w:numId w:val="103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策略层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：把意图映射到资产类型顺序；模型只提供候选意图，最终执行仍受服务端策略约束。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建议的结构化意图：</w:t>
      </w:r>
    </w:p>
    <w:p>
      <w:pPr>
        <w:keepLines/>
        <w:spacing w:before="100" w:after="160" w:line="240" w:lineRule="auto"/>
        <w:ind w:left="230" w:right="230"/>
        <w:shd w:fill="182332"/>
      </w:pPr>
      <w:r>
        <w:rPr>
          <w:rFonts w:ascii="STHeiti" w:hAnsi="STHeiti" w:eastAsia="STHeiti" w:cs="STHeiti"/>
          <w:b w:val="0"/>
          <w:i w:val="0"/>
          <w:color w:val="EAF2FA"/>
          <w:sz w:val="16"/>
        </w:rPr>
        <w:t>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"intent": "trend_query",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"metricTerms": ["活跃用户"],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"dimensions": ["设备型号"],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"filters": [{"fieldMeaning": "国家", "value": "美国"}],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"timeRange": {"relative": "last_4_weeks"},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"grain": "week",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"entity": "user",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"confidence": 0.92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>}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5.4 语义检索与排序策略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检索采用两阶段：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阶段一：候选召回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强制过滤：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is_published=true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、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is_active=true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Metabase 快照权限过滤：归档、非本人 personal collection排除；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业务域、平台、资产类型等结构化过滤；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BM25/关键词：标题、描述、标签、同义词、字段、指标、业务问题、事件；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中文长句拆分、二元/三元片段、英文缩写归一；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Q3 后半程可增加 embedding 向量召回，但不能替代结构化过滤。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阶段二：重排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建议评分：</w:t>
      </w:r>
    </w:p>
    <w:p>
      <w:r>
        <w:rPr>
          <w:rFonts w:ascii="STHeiti" w:hAnsi="STHeiti" w:eastAsia="STHeiti" w:cs="STHeiti"/>
          <w:b w:val="0"/>
          <w:i w:val="0"/>
          <w:color w:val="123B6D"/>
          <w:sz w:val="21"/>
        </w:rPr>
        <w:t>FinalScore = 0.35 × TextMatch + 0.20 × SemanticCoverage + 0.20 × IntentTypeFit + 0.10 × GovernanceQuality + 0.10 × Freshness + 0.05 × Popularity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其中：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TextMatch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：标题/同义词/字段/事件命中；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SemanticCoverage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：指标、维度、时间、过滤条件覆盖比例；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IntentTypeFit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：按意图配置资产类型优先级；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GovernanceQuality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：Owner、描述、公式、字段说明、质量状态完整度；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Freshness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：元信息和数据新鲜度；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Popularity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：历史成功调用和人工推荐，设置上限防止头部固化。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硬规则优先于评分：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指标、趋势、拆分：安全且新鲜的预计算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metric_set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Card → Metric → 实时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metric_set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Card → 普通 Card → Model；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明细：Model → Card/Table；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总览：Dashboard → Card；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固定报表：Card → Dashboard；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漏斗、留存、路径：PostHog Insight → Dashboard；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人群交并差：带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audience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元数据的 Model；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Model 默认只查明细；找到可覆盖问题的 Card 或 Metric 时，禁止 Model 重新实现同一聚合；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Card 是否优先不能只看资产类型，必须同时通过口径、能力覆盖、新鲜度、Rollup 和执行成本检查。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5.5 执行计划与错误反馈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服务端把 AI 请求编译为受控执行计划，而不是直接接受任意表达式：</w:t>
      </w:r>
    </w:p>
    <w:p>
      <w:pPr>
        <w:keepLines/>
        <w:spacing w:before="100" w:after="160" w:line="240" w:lineRule="auto"/>
        <w:ind w:left="230" w:right="230"/>
        <w:shd w:fill="182332"/>
      </w:pPr>
      <w:r>
        <w:rPr>
          <w:rFonts w:ascii="STHeiti" w:hAnsi="STHeiti" w:eastAsia="STHeiti" w:cs="STHeiti"/>
          <w:b w:val="0"/>
          <w:i w:val="0"/>
          <w:color w:val="EAF2FA"/>
          <w:sz w:val="16"/>
        </w:rPr>
        <w:t>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"assetId": "metabase:metric:480",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"operation": "metric_query",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"filters": [{"field": "country", "operator": "eq", "value": "US"}],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"breakouts": [{"field": "event_date", "unit": "week"}],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"limit": 100,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"policy":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"formulaImmutable": true,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"readOnly": true,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"maxRows": 500,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"timeoutMs": 30000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>}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错误必须可供 AI 修正，例如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unknown_field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返回可用字段，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unsupported_rollup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返回原因与替代资产，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higher_priority_asset_available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返回候选资产和下一步，而不是只返回通用 500。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对于 Card 派生指标，AI 不提交公式，只提交指标名称和拆分维度。服务端根据治理语义展开依赖并生成执行计划。例如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payment_conversion_rate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被编译为：</w:t>
      </w:r>
    </w:p>
    <w:p>
      <w:pPr>
        <w:keepLines/>
        <w:spacing w:before="100" w:after="160" w:line="240" w:lineRule="auto"/>
        <w:ind w:left="230" w:right="230"/>
        <w:shd w:fill="182332"/>
      </w:pPr>
      <w:r>
        <w:rPr>
          <w:rFonts w:ascii="STHeiti" w:hAnsi="STHeiti" w:eastAsia="STHeiti" w:cs="STHeiti"/>
          <w:b w:val="0"/>
          <w:i w:val="0"/>
          <w:color w:val="EAF2FA"/>
          <w:sz w:val="16"/>
        </w:rPr>
        <w:t>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"assetId": "metabase:card:530",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"operation": "derived_measure_query",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"measure": "payment_conversion_rate",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"dependencies": [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{"measure": "paid_users", "aggregation": "sum"},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{"measure": "visitor_users", "aggregation": "sum"}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],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"formula": {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"operator": "divide",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"numerator": "paid_users",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"denominator": "visitor_users",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  "zeroDivision": "null"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},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"breakouts": [{"field": "channel"}]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>}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Model 聚合不作为正式指标来源。若确需保留探索能力，建议增加简单的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aggregationPolicy=detail_only/guarded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：默认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detail_only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；只有基础粒度、实体字段、可加字段和必要过滤条件明确的少量 Model 才设为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guarded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。此类结果必须标注“探索性计算，非标准指标口径”，高频问题应推动数据同学建设 Metric 或 Card 指标集。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6. 语义存储、发布与维护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6.1 存储方式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Q3 继续使用 PostgreSQL，保留“平台同步字段”和“人工治理字段”分离：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字段/表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作用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更新者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`metadata jsonb`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平台原始元信息、字段、查询定义、血缘、权限快照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同步任务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`admin_overrides jsonb`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标题、描述、业务域、标签、语义、Owner、质量信息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数据管理员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`is_published`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是否进入精选开放集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管理员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`is_active`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平台对象是否仍存在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同步任务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`app_data_mcp_tools`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工具定义、风险、全局开关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管理员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`app_data_mcp_tool_permissions`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高风险工具按用户授权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管理员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`app_data_mcp_audit_logs`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调用与质量、使用数据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服务端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读取时以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effectiveAsset = merge(metadata, admin_overrides)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形成最终资产。平台再次同步不得覆盖人工语义；平台对象删除或失效时自动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inactive + unpublished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6.2 建议新增语义版本表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为支持评审、回滚和审计，建议新增：</w:t>
      </w:r>
    </w:p>
    <w:p>
      <w:pPr>
        <w:keepLines/>
        <w:spacing w:before="100" w:after="160" w:line="240" w:lineRule="auto"/>
        <w:ind w:left="230" w:right="230"/>
        <w:shd w:fill="182332"/>
      </w:pPr>
      <w:r>
        <w:rPr>
          <w:rFonts w:ascii="STHeiti" w:hAnsi="STHeiti" w:eastAsia="STHeiti" w:cs="STHeiti"/>
          <w:b w:val="0"/>
          <w:i w:val="0"/>
          <w:color w:val="EAF2FA"/>
          <w:sz w:val="16"/>
        </w:rPr>
        <w:t>app_data_mcp_asset_semantic_versions (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id bigint,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asset_id text,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version integer,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semantic jsonb,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status text,              -- draft / reviewing / published / retired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change_summary text,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created_by text,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reviewed_by text,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created_at timestamptz,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 xml:space="preserve">  published_at timestamptz</w:t>
        <w:br/>
      </w:r>
      <w:r>
        <w:rPr>
          <w:rFonts w:ascii="STHeiti" w:hAnsi="STHeiti" w:eastAsia="STHeiti" w:cs="STHeiti"/>
          <w:b w:val="0"/>
          <w:i w:val="0"/>
          <w:color w:val="EAF2FA"/>
          <w:sz w:val="16"/>
        </w:rPr>
        <w:t>)</w:t>
      </w:r>
    </w:p>
    <w:p>
      <w:r>
        <w:rPr>
          <w:rFonts w:ascii="STHeiti" w:hAnsi="STHeiti" w:eastAsia="STHeiti" w:cs="STHeiti"/>
          <w:b w:val="0"/>
          <w:i w:val="0"/>
          <w:color w:val="123B6D"/>
          <w:sz w:val="21"/>
        </w:rPr>
        <w:t>admin_overrides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保存当前生效版本，版本表保存历史。发布动作需通过 Schema 校验、完整性校验和样例问题回归。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6.3 资产治理生命周期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4" name="Picture 4" descr="同步、草稿、评审、发布、暂停和退役状态" title="图 4　语义资产发布生命周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mantic-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STHeiti" w:hAnsi="STHeiti" w:eastAsia="STHeiti" w:cs="STHeiti"/>
          <w:b w:val="0"/>
          <w:i w:val="0"/>
          <w:color w:val="5F6B7A"/>
          <w:sz w:val="18"/>
        </w:rPr>
        <w:t>图 4　语义资产发布生命周期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每个开放资产至少要有一个 Owner，一个 Reviewer，三个能回答的样例问题和一个不能回答的反例。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7. 权限、安全与审计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7.1 权限链路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08822"/>
            <wp:docPr id="5" name="Picture 5" descr="个人 Token、开放状态、权限快照与 Metabase 实时裁决" title="图 5　个人权限校验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ermission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8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STHeiti" w:hAnsi="STHeiti" w:eastAsia="STHeiti" w:cs="STHeiti"/>
          <w:b w:val="0"/>
          <w:i w:val="0"/>
          <w:color w:val="5F6B7A"/>
          <w:sz w:val="18"/>
        </w:rPr>
        <w:t>图 5　个人权限校验时序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三道权限门：</w:t>
      </w:r>
    </w:p>
    <w:p>
      <w:pPr>
        <w:numPr>
          <w:ilvl w:val="0"/>
          <w:numId w:val="104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MCP token 确认“谁在查”；</w:t>
      </w:r>
    </w:p>
    <w:p>
      <w:pPr>
        <w:numPr>
          <w:ilvl w:val="0"/>
          <w:numId w:val="104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管理后台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is_published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确认“组织允许 AI 开放什么”；</w:t>
      </w:r>
    </w:p>
    <w:p>
      <w:pPr>
        <w:numPr>
          <w:ilvl w:val="0"/>
          <w:numId w:val="104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Metabase 个人 Session 确认“该用户实际有权看什么”。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PostHog 当前使用服务端 Personal API Key 时，无法天然继承个人细粒度权限，因此 Q3 应把 PostHog Insight 限制在管理员精选开放集，并评估按团队/项目拆分服务端凭据或接入组织层权限映射。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7.2 安全控制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源数据只读；不提供创建、更新、删除、写回工具；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新工具默认关闭，高风险工具显式授权；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23B6D"/>
          <w:sz w:val="21"/>
        </w:rPr>
        <w:t>query_starrocks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仅允许单条只读语句，拒绝 DDL/DML、多语句、文件函数、Sleep、Hint 等；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查询最大行数、Dashboard 最大 Card 数、最大响应字节和查询超时；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参数必须来自资产声明，字段必须来自元信息；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完整人群导出使用随机 capability URL、有效期、行数/字节上限；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密钥只在环境变量或受控 Session 存储中，元信息和审计不保存明文；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审计参数只保存哈希，不保存完整结果；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Q3 增加 token 自助吊销/轮换、离职失效、敏感字段标签、默认脱敏或禁出。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7.3 审计与告警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每次调用记录：用户、AI 客户端、request ID、IP、工具、资产、查询词、参数哈希、行数、字节数、耗时、状态和错误摘要。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建议告警：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5 分钟窗口失败率 &gt; 10%；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P95 查询耗时 &gt; 45 秒；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单用户短时间高频查询或连续导出；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权限拒绝异常增长；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元信息同步超期；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某开放资产连续查询失败；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SQL 回退率 &gt; 10%，提示精选资产或语义存在缺口。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8. 性能与稳定性设计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目标是“用户从提问到结果 ≤ 1 分钟”，建议拆分预算：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环节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P95 预算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优化手段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Token 与工具策略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100 ms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哈希索引、短 TTL 缓存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资产搜索与意图排序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500 ms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PostgreSQL 索引、候选上限、预计算检索文档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AI 核验与二次调用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10–20 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返回紧凑结构、明确推荐资产与下一步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BI 查询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30 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查询超时、范围限制、避免 Dashboard 全量执行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结果标准化与审计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1 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流式/异步审计、响应字节上限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端到端余量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8–18 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网络、模型思考与重试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可靠性措施：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同步任务与在线查询解耦；同步失败不清空已有有效目录；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连接器失败可对明确配置的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sampleData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兜底，但必须标注非实时；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超时不自动换口径或换资产；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使用连接池、有限并发、重试退避与熔断；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健康检查区分 MCP、PostgreSQL、Metabase、PostHog；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每日备份元数据与语义版本，定期做恢复演练。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9. Q3 目标、图表数据与验收指标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9.1 KR2 目标拆解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450"/>
        <w:gridCol w:w="2450"/>
        <w:gridCol w:w="3610"/>
      </w:tblGrid>
      <w:tr>
        <w:trPr>
          <w:tblHeader w:val="true"/>
        </w:trPr>
        <w:tc>
          <w:tcPr>
            <w:tcW w:type="dxa" w:w="18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维度</w:t>
            </w:r>
          </w:p>
        </w:tc>
        <w:tc>
          <w:tcPr>
            <w:tcW w:type="dxa" w:w="14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Q3 目标</w:t>
            </w:r>
          </w:p>
        </w:tc>
        <w:tc>
          <w:tcPr>
            <w:tcW w:type="dxa" w:w="24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统计口径</w:t>
            </w:r>
          </w:p>
        </w:tc>
        <w:tc>
          <w:tcPr>
            <w:tcW w:type="dxa" w:w="361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数据来源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治理指标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≥20 个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`published + active + semantic_valid` 的 Metric/指标型 Card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元数据表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治理数据集/表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≥30 个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可用于明细/受控聚合且通过准入的 Model/数据集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元数据表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非数据团队用户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≥20 人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周期内至少 1 次成功数据查询的产品/运营用户去重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审计表 + 组织信息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周活跃查询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≥50 次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每周成功的业务数据查询次数，排除状态检查和自动测试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审计表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查询时效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≤1 分钟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从用户提问到可读结果；系统侧同时监控 MCP P95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客户端埋点 + 审计表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现场验收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9 月底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准确性、权限、稳定性、体验四类用例通过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验收报告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73998"/>
            <wp:docPr id="6" name="Picture 6" descr="20+ 指标、30+ 数据集、20+ 用户与每周 50+ 查询" title="图 6　Q3 核心交付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3-kpi-targe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7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STHeiti" w:hAnsi="STHeiti" w:eastAsia="STHeiti" w:cs="STHeiti"/>
          <w:b w:val="0"/>
          <w:i w:val="0"/>
          <w:color w:val="5F6B7A"/>
          <w:sz w:val="18"/>
        </w:rPr>
        <w:t>图 6　Q3 核心交付目标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9.2 质量门槛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建议 9 月验收门槛：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Top-3 资产召回率 ≥ 90%；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标准问题端到端正确率 ≥ 90%，核心 20 个指标正确率 100%；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未授权资产泄露用例 0 个；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写操作与越权 SQL 阻断率 100%；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查询成功率 ≥ 98%（剔除明确无权限、用户参数错误）；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MCP 服务月度可用性 ≥ 99.5%；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P95 MCP 服务端处理时间 ≤ 45 秒；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100% 结果带资产 ID 或来源 URL，100% 截断/兜底有明确警告；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人工兜底仅在上述门槛连续两周达标后逐步缩减。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9.3 评测集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建立不少于 100 条黄金问题，按以下比例：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类型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占比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例子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单指标与筛选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25%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美国地区昨日绑定用户数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趋势与时间粒度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20%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最近 8 周活跃用户趋势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维度拆分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15%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按设备型号拆分激活率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固定报表/总览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10%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查看 APP 核心经营大盘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明细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10%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列出符合条件的设备记录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PostHog 行为分析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10%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注册到绑定的 7 日漏斗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人群组合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5%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社区活跃且已绑定设备用户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权限/安全/反例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5%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越权资产、写 SQL、不可加指标跨日汇总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每条记录保存：问题、期望意图、期望候选、标准参数、预期结果区间/校验 SQL、权限角色、是否允许回退。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10. Q3 实施 Roadmap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22744"/>
            <wp:docPr id="7" name="Picture 7" descr="从规范、语义和资产建设到试点与现场验收" title="图 7　Q3 实施 Road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3-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2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STHeiti" w:hAnsi="STHeiti" w:eastAsia="STHeiti" w:cs="STHeiti"/>
          <w:b w:val="0"/>
          <w:i w:val="0"/>
          <w:color w:val="5F6B7A"/>
          <w:sz w:val="18"/>
        </w:rPr>
        <w:t>图 7　Q3 实施 Roadmap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阶段 0：基线与规范（7 月末—8 月上旬）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交付物：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资产准入/退役规范、统一语义 Schema、Owner/Reviewer 机制；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100+ 黄金问题框架，先完成核心 30 条；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Q3 指标 SQL 与审计看板口径；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部署拓扑、环境变量、备份恢复清单。</w:t>
      </w:r>
    </w:p>
    <w:p>
      <w:r>
        <w:rPr>
          <w:rFonts w:ascii="STHeiti" w:hAnsi="STHeiti" w:eastAsia="STHeiti" w:cs="STHeiti"/>
          <w:b/>
          <w:i w:val="0"/>
          <w:color w:val="172033"/>
          <w:sz w:val="22"/>
        </w:rPr>
        <w:t>完成定义：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数据、后端、产品、安全共同评审通过；不确定项形成决策记录。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阶段 1：核心语义与检索（8 月）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交付物：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完成 Metric、Card、Model 字段语义表单和校验；Card 支持执行模式、Rollup 与派生指标配置；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新增 PostHog Insight 语义 Schema、表单和搜索字段；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支持语义覆盖评分、意图重排解释、候选缺口反馈；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首批 10 个指标、15 个数据集通过黄金问题回归。</w:t>
      </w:r>
    </w:p>
    <w:p>
      <w:r>
        <w:rPr>
          <w:rFonts w:ascii="STHeiti" w:hAnsi="STHeiti" w:eastAsia="STHeiti" w:cs="STHeiti"/>
          <w:b/>
          <w:i w:val="0"/>
          <w:color w:val="172033"/>
          <w:sz w:val="22"/>
        </w:rPr>
        <w:t>完成定义：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Top-3 召回率 ≥85%，核心资产查询结果经数据 Owner 签字。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阶段 2：安全、稳定与资产扩容（8 月下旬—9 月上旬）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交付物：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Token 吊销/轮换、敏感字段策略、高风险工具审批；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同步任务调度、健康检查、限流、告警、故障演练；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达成 20+ 指标、30+ 数据集；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5 人 Alpha 扩展至 20+ 人 Beta。</w:t>
      </w:r>
    </w:p>
    <w:p>
      <w:r>
        <w:rPr>
          <w:rFonts w:ascii="STHeiti" w:hAnsi="STHeiti" w:eastAsia="STHeiti" w:cs="STHeiti"/>
          <w:b/>
          <w:i w:val="0"/>
          <w:color w:val="172033"/>
          <w:sz w:val="22"/>
        </w:rPr>
        <w:t>完成定义：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无越权，查询成功率 ≥98%，P95 达标，周活查询 ≥50。</w:t>
      </w:r>
    </w:p>
    <w:p>
      <w:pPr>
        <w:pStyle w:val="Heading2"/>
      </w:pPr>
      <w:r>
        <w:rPr>
          <w:rFonts w:ascii="STHeiti" w:hAnsi="STHeiti" w:eastAsia="STHeiti" w:cs="STHeiti"/>
          <w:b w:val="0"/>
          <w:i w:val="0"/>
          <w:color w:val="1D67B1"/>
          <w:sz w:val="26"/>
        </w:rPr>
        <w:t>阶段 3：验收与切换（9 月中下旬）</w:t>
      </w:r>
    </w:p>
    <w:p>
      <w:pPr>
        <w:keepNext/>
      </w:pPr>
      <w:r>
        <w:rPr>
          <w:rFonts w:ascii="STHeiti" w:hAnsi="STHeiti" w:eastAsia="STHeiti" w:cs="STHeiti"/>
          <w:b/>
          <w:i w:val="0"/>
          <w:color w:val="123B6D"/>
          <w:sz w:val="22"/>
        </w:rPr>
        <w:t>交付物：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黄金问题全量回归、权限矩阵测试、压测和灾备演练报告；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中心现场演示脚本与问题清单；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人工兜底缩减条件与值班 SOP；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Q4 需求池：更强检索、更多数据源、反馈闭环和成本优化。</w:t>
      </w:r>
    </w:p>
    <w:p>
      <w:r>
        <w:rPr>
          <w:rFonts w:ascii="STHeiti" w:hAnsi="STHeiti" w:eastAsia="STHeiti" w:cs="STHeiti"/>
          <w:b/>
          <w:i w:val="0"/>
          <w:color w:val="172033"/>
          <w:sz w:val="22"/>
        </w:rPr>
        <w:t>完成定义：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 9 月底现场验收通过；未达门槛项保留人工兜底并有明确整改 Owner/日期。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11. 团队分工与运行机制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角色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主要职责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Q3 关键产出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数据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指标口径、Model/Insight 建设、语义维护、结果验真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20+ 指标、30+ 数据集、黄金答案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MCP、连接器、权限、治理、审计、性能与部署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稳定服务和安全护栏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产品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场景优先级、用户试点、体验、验收组织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问题清单、20+ 用户、现场验收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运营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高频问题、使用反馈、推广与培训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周活 50+、问题闭环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信息安全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权限模型、敏感字段、审计与应急评审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安全验收和风险签字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运行节奏：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每周一次资产评审：新增、变更、退役；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每周一次黄金问题回归和错误归因；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每两周一次试点用户访谈；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每日自动监控同步、失败率、耗时与权限异常；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所有准确性问题必须归因到检索、语义、执行、数据源或解释五类之一。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12. 验收流程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准备账号与权限矩阵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：管理员、普通产品、运营、无权限用户。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目录验收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：检查 20+ 指标、30+ 数据集均有 Owner、语义和来源。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准确性验收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：运行黄金问题，对照 BI/标准 SQL，记录误差和口径。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权限验收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：同一问题用不同账号执行，验证搜索、详情、运行均不越权。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安全验收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：写 SQL、多语句、未知字段、不可加指标、超量导出全部被阻断。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稳定性验收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：并发、超时、Metabase/PostHog 不可用、同步失败、服务重启。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体验验收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：随机业务问题在 1 分钟内获得可读答案或明确的不可回答原因。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运营验收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：20+ 非数据用户、周活 50+、失败问题有 Owner 和关闭周期。</w:t>
      </w:r>
    </w:p>
    <w:p>
      <w:pPr>
        <w:numPr>
          <w:ilvl w:val="0"/>
          <w:numId w:val="105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切换决策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：只有准确性、权限和稳定性门槛连续两周达标，才逐步将常规取数导向自助链路。</w:t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13. 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150"/>
        <w:gridCol w:w="5060"/>
      </w:tblGrid>
      <w:tr>
        <w:trPr>
          <w:tblHeader w:val="true"/>
        </w:trPr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风险</w:t>
            </w:r>
          </w:p>
        </w:tc>
        <w:tc>
          <w:tcPr>
            <w:tcW w:type="dxa" w:w="215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影响</w:t>
            </w:r>
          </w:p>
        </w:tc>
        <w:tc>
          <w:tcPr>
            <w:tcW w:type="dxa" w:w="5060"/>
            <w:shd w:fill="F3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i w:val="0"/>
                <w:color w:val="123B6D"/>
                <w:sz w:val="18"/>
              </w:rPr>
              <w:t>应对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原始资产多、重名和重复口径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AI 选错资产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精选集、唯一推荐标记、废弃替代关系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语义维护成本高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覆盖速度不足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表单化、从平台自动预填、批量校验、Owner 责任制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PostHog 个人权限弱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可能扩大可见范围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仅开放精选 Insight，按项目/团队映射，敏感 Insight 不接入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不可加或派生指标被错误汇总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数字看似合理但错误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Rollup 强制规则、派生依赖重算、反例测试、Metric/Card 优先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LLM 行为不稳定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调用顺序漂移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服务端二次治理，不依赖 Prompt 单点约束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BI 查询慢或失败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超过 1 分钟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限制范围、预计算 Card、超时、缓存、错误可解释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Token 泄漏或离职未失效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越权风险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哈希存储、轮换/吊销、组织账号联动、异常告警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为追求自助率过早撤人工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业务受阻、信任下降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9D5E3"/>
              <w:left w:val="single" w:sz="6" w:color="C9D5E3"/>
              <w:bottom w:val="single" w:sz="6" w:color="C9D5E3"/>
              <w:right w:val="single" w:sz="6" w:color="C9D5E3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STHeiti" w:hAnsi="STHeiti" w:eastAsia="STHeiti" w:cs="STHeiti"/>
                <w:b w:val="0"/>
                <w:i w:val="0"/>
                <w:color w:val="172033"/>
                <w:sz w:val="18"/>
              </w:rPr>
              <w:t>门槛驱动切换，人工兜底与问题反馈并行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14. 待讨论并确认的实现决策</w:t>
      </w:r>
    </w:p>
    <w:p>
      <w:pPr>
        <w:numPr>
          <w:ilvl w:val="0"/>
          <w:numId w:val="106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Q3“30+ 数据表”的定义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：建议按可供 AI 明细/聚合的 Metabase Model 或受控数据集计数，而不是底层物理表，也不把 Dashboard/Card 重复计入。</w:t>
      </w:r>
    </w:p>
    <w:p>
      <w:pPr>
        <w:numPr>
          <w:ilvl w:val="0"/>
          <w:numId w:val="106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Card 预计算认定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：哪些 Card 可标记为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precomputed/cached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，数据新鲜度和性能门槛如何自动验证。</w:t>
      </w:r>
    </w:p>
    <w:p>
      <w:pPr>
        <w:numPr>
          <w:ilvl w:val="0"/>
          <w:numId w:val="106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Model 聚合范围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：建议默认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detail_only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 xml:space="preserve">，仅对基础粒度和安全属性明确的少量 Model 开启 </w:t>
      </w:r>
      <w:r>
        <w:rPr>
          <w:rFonts w:ascii="STHeiti" w:hAnsi="STHeiti" w:eastAsia="STHeiti" w:cs="STHeiti"/>
          <w:b w:val="0"/>
          <w:i w:val="0"/>
          <w:color w:val="123B6D"/>
          <w:sz w:val="21"/>
        </w:rPr>
        <w:t>guarded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。</w:t>
      </w:r>
    </w:p>
    <w:p>
      <w:pPr>
        <w:numPr>
          <w:ilvl w:val="0"/>
          <w:numId w:val="106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PostHog 权限方案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：Q3 是接受“精选 Insight 统一开放”，还是必须实现用户/团队级权限映射。</w:t>
      </w:r>
    </w:p>
    <w:p>
      <w:pPr>
        <w:numPr>
          <w:ilvl w:val="0"/>
          <w:numId w:val="106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搜索技术路线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：Q3 是否引入 embedding；建议先把结构化语义、同义词和评测集做好，向量召回作为增量，不作为上线前置条件。</w:t>
      </w:r>
    </w:p>
    <w:p>
      <w:pPr>
        <w:numPr>
          <w:ilvl w:val="0"/>
          <w:numId w:val="106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服务部署目标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：单可用区 99.5% 还是更高；这会影响多实例、Session 存储、负载均衡和运维成本。</w:t>
      </w:r>
    </w:p>
    <w:p>
      <w:pPr>
        <w:numPr>
          <w:ilvl w:val="0"/>
          <w:numId w:val="106"/>
        </w:numPr>
      </w:pPr>
      <w:r>
        <w:rPr>
          <w:rFonts w:ascii="STHeiti" w:hAnsi="STHeiti" w:eastAsia="STHeiti" w:cs="STHeiti"/>
          <w:b/>
          <w:i w:val="0"/>
          <w:color w:val="172033"/>
          <w:sz w:val="22"/>
        </w:rPr>
        <w:t>敏感数据范围与缓存</w:t>
      </w:r>
      <w:r>
        <w:rPr>
          <w:rFonts w:ascii="STHeiti" w:hAnsi="STHeiti" w:eastAsia="STHeiti" w:cs="STHeiti"/>
          <w:b w:val="0"/>
          <w:i w:val="0"/>
          <w:color w:val="172033"/>
          <w:sz w:val="22"/>
        </w:rPr>
        <w:t>：UID 返回/导出、字段脱敏，以及按“用户 + 资产 + 参数”短时缓存的安全边界。</w:t>
      </w:r>
    </w:p>
    <w:p>
      <w:r>
        <w:br w:type="page"/>
      </w:r>
    </w:p>
    <w:p>
      <w:pPr>
        <w:pStyle w:val="Heading1"/>
      </w:pPr>
      <w:r>
        <w:rPr>
          <w:rFonts w:ascii="STHeiti" w:hAnsi="STHeiti" w:eastAsia="STHeiti" w:cs="STHeiti"/>
          <w:b w:val="0"/>
          <w:i w:val="0"/>
          <w:color w:val="1D67B1"/>
          <w:sz w:val="32"/>
        </w:rPr>
        <w:t>15. 最终建议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Q3 不需要推倒当前实现。现有代码已经覆盖 MCP 接入、资产治理、语义执行、个人权限、后台管理和审计的主骨架。最有效的路线是：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保留当前架构，优先完成精选资产运营机制；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明确“指标认 Metric/Card、明细认 Model”：Card 负责高性能指标结果和派生指标，Metric 负责权威公式和灵活重算；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把 Metabase Metric/Card/Model 和 PostHog Insight 的语义维护做成结构化产品能力，不再为 Model 重复维护指标映射；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用黄金问题集驱动检索、准确性和验收，而不是用资产总量驱动；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把权限、安全、审计作为服务端硬规则，不把安全寄托在 AI Prompt；</w:t>
      </w:r>
    </w:p>
    <w:p>
      <w:pPr>
        <w:numPr>
          <w:ilvl w:val="0"/>
          <w:numId w:val="100"/>
        </w:numPr>
      </w:pPr>
      <w:r>
        <w:rPr>
          <w:rFonts w:ascii="STHeiti" w:hAnsi="STHeiti" w:eastAsia="STHeiti" w:cs="STHeiti"/>
          <w:b w:val="0"/>
          <w:i w:val="0"/>
          <w:color w:val="172033"/>
          <w:sz w:val="22"/>
        </w:rPr>
        <w:t>用真实使用指标管理切换节奏，达标后再逐步把常规取数转向自助。</w:t>
      </w:r>
    </w:p>
    <w:p>
      <w:r>
        <w:rPr>
          <w:rFonts w:ascii="STHeiti" w:hAnsi="STHeiti" w:eastAsia="STHeiti" w:cs="STHeiti"/>
          <w:b w:val="0"/>
          <w:i w:val="0"/>
          <w:color w:val="172033"/>
          <w:sz w:val="22"/>
        </w:rPr>
        <w:t>这样可以在 Q3 内形成一个“知道如何做、有人维护、能够验收、出了问题能追踪”的可执行闭环，并为 Q4 扩展更多业务域、数据源和分析能力留下清晰接口。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Heiti" w:hAnsi="STHeiti" w:eastAsia="STHeiti" w:cs="STHeiti"/>
        <w:b w:val="0"/>
        <w:i w:val="0"/>
        <w:color w:val="5F6B7A"/>
        <w:sz w:val="18"/>
      </w:rPr>
      <w:t xml:space="preserve">内部讨论稿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STHeiti" w:hAnsi="STHeiti" w:eastAsia="STHeiti" w:cs="STHeiti"/>
        <w:b/>
        <w:i w:val="0"/>
        <w:color w:val="5F6B7A"/>
        <w:sz w:val="18"/>
      </w:rPr>
      <w:t>APP-DATA-MCP · Q3 技术实现方案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lvl w:ilvl="0">
      <w:start w:val="1"/>
      <w:numFmt w:val="bullet"/>
      <w:lvlText w:val="•"/>
      <w:pPr>
        <w:tabs>
          <w:tab w:val="num" w:pos="720"/>
        </w:tabs>
        <w:ind w:left="720" w:hanging="360"/>
        <w:spacing w:after="160" w:line="280" w:lineRule="auto"/>
      </w:pPr>
    </w:lvl>
  </w:abstractNum>
  <w:num w:numId="100">
    <w:abstractNumId w:val="100"/>
  </w:num>
  <w:abstractNum w:abstractNumId="101">
    <w:lvl w:ilvl="0">
      <w:start w:val="1"/>
      <w:numFmt w:val="decimal"/>
      <w:lvlText w:val="%1."/>
      <w:pPr>
        <w:tabs>
          <w:tab w:val="num" w:pos="720"/>
        </w:tabs>
        <w:ind w:left="720" w:hanging="360"/>
        <w:spacing w:after="160" w:line="280" w:lineRule="auto"/>
      </w:pPr>
    </w:lvl>
  </w:abstractNum>
  <w:num w:numId="101">
    <w:abstractNumId w:val="101"/>
  </w:num>
  <w:num w:numId="102">
    <w:abstractNumId w:val="101"/>
    <w:lvlOverride w:ilvl="0">
      <w:startOverride w:val="1"/>
    </w:lvlOverride>
  </w:num>
  <w:num w:numId="103">
    <w:abstractNumId w:val="101"/>
    <w:lvlOverride w:ilvl="0">
      <w:startOverride w:val="1"/>
    </w:lvlOverride>
  </w:num>
  <w:num w:numId="104">
    <w:abstractNumId w:val="101"/>
    <w:lvlOverride w:ilvl="0">
      <w:startOverride w:val="1"/>
    </w:lvlOverride>
  </w:num>
  <w:num w:numId="105">
    <w:abstractNumId w:val="101"/>
    <w:lvlOverride w:ilvl="0">
      <w:startOverride w:val="1"/>
    </w:lvlOverride>
  </w:num>
  <w:num w:numId="106">
    <w:abstractNumId w:val="1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THeiti" w:hAnsi="STHeiti" w:eastAsia="STHeit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D67B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D67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23B6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STHeiti" w:hAnsi="STHeiti" w:eastAsia="STHeiti"/>
      <w:b/>
      <w:bCs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app-data-mcp 技术实现方案（Q3）</dc:title>
  <dc:subject>自然语言数据自助分析的架构、语义治理、安全与实施路线</dc:subject>
  <dc:creator>app-data-mcp 项目组</dc:creator>
  <cp:keywords>MCP, Metabase, PostHog, 数据语义, 权限, Q3 Roadmap</cp:keywords>
  <dc:description>基于 2026-07-24 代码仓库现状形成的讨论稿。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