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napToGrid/>
      </w:pPr>
      <w:r>
        <w:rPr>
          <w:rFonts w:ascii="산돌제비 M" w:eastAsia="산돌제비 M"/>
          <w:b/>
          <w:sz w:val="40"/>
        </w:rPr>
        <w:t>매체복합성으로 빚어낸 사유적 오브제들</w:t>
      </w:r>
    </w:p>
    <w:p>
      <w:pPr>
        <w:pStyle w:val="0"/>
        <w:widowControl w:val="off"/>
        <w:snapToGrid/>
        <w:rPr>
          <w:rFonts w:ascii="산돌제비 M" w:eastAsia="산돌제비 M"/>
          <w:b/>
          <w:color w:val="000000"/>
          <w:sz w:val="22"/>
        </w:rPr>
      </w:pPr>
    </w:p>
    <w:p>
      <w:pPr>
        <w:pStyle w:val="0"/>
        <w:widowControl w:val="off"/>
        <w:snapToGrid/>
      </w:pPr>
      <w:r>
        <w:rPr>
          <w:rFonts w:ascii="산돌제비 M" w:eastAsia="산돌제비 M"/>
          <w:b/>
          <w:sz w:val="22"/>
        </w:rPr>
        <w:t>장 동 광(미술비평, 독립큐레이터)</w:t>
      </w:r>
    </w:p>
    <w:p>
      <w:pPr>
        <w:pStyle w:val="0"/>
        <w:widowControl w:val="off"/>
        <w:snapToGrid/>
        <w:rPr>
          <w:rFonts w:ascii="산돌제비 M" w:eastAsia="산돌제비 M"/>
          <w:b/>
          <w:color w:val="000000"/>
          <w:sz w:val="22"/>
        </w:rPr>
      </w:pPr>
    </w:p>
    <w:p>
      <w:pPr>
        <w:pStyle w:val="0"/>
        <w:widowControl w:val="off"/>
        <w:snapToGrid/>
        <w:rPr>
          <w:rFonts w:ascii="산돌제비 M" w:eastAsia="산돌제비 M"/>
          <w:b/>
          <w:color w:val="000000"/>
          <w:sz w:val="22"/>
        </w:rPr>
      </w:pPr>
    </w:p>
    <w:p>
      <w:pPr>
        <w:pStyle w:val="0"/>
        <w:widowControl w:val="off"/>
        <w:snapToGrid/>
      </w:pPr>
      <w:r>
        <w:rPr>
          <w:rFonts w:ascii="산돌제비 M" w:eastAsia="산돌제비 M"/>
          <w:b/>
          <w:sz w:val="22"/>
        </w:rPr>
        <w:t xml:space="preserve">  이헌정의 근작들은 심미성과 실용성을 순수미술과 공예를 구분하는 준거로 삼아왔던 모더니즘적 사고의 이역(</w:t>
      </w:r>
      <w:r>
        <w:rPr>
          <w:rFonts w:ascii="산돌제비 M" w:eastAsia="산돌제비 M"/>
          <w:b/>
          <w:sz w:val="22"/>
        </w:rPr>
        <w:t>異域)</w:t>
      </w:r>
      <w:r>
        <w:rPr>
          <w:rFonts w:ascii="산돌제비 M" w:eastAsia="산돌제비 M"/>
          <w:b/>
          <w:sz w:val="22"/>
        </w:rPr>
        <w:t>을 연결하려는 조형의식의 신교(</w:t>
      </w:r>
      <w:r>
        <w:rPr>
          <w:rFonts w:ascii="산돌제비 M" w:eastAsia="산돌제비 M"/>
          <w:b/>
          <w:sz w:val="22"/>
        </w:rPr>
        <w:t>新橋)</w:t>
      </w:r>
      <w:r>
        <w:rPr>
          <w:rFonts w:ascii="산돌제비 M" w:eastAsia="산돌제비 M"/>
          <w:b/>
          <w:sz w:val="22"/>
        </w:rPr>
        <w:t xml:space="preserve">이다. 그 다리위에서 우리는 포스트모던 시대로 흘러가는 또 다른 강의 지류를 목도한다. 이러한 이헌정의 조형표현이 가진 가치로운 덕목은 무엇보다 유목적 사유에 기초하고 있다는 사실, 그리고 삶과 예술을 미분화시키고 등가화하려는 일체론적 사고에서 찾을 수 있다고 본다. 나는 이헌정의 이와 같은 경계없는 시선과 표현의 자율성에 기반하여 다소 거친 듯 하지만 그러나 매우 구조적 태도로 일관하는 것에 비평적 시선을 거두지 못하고 있다. </w:t>
      </w:r>
    </w:p>
    <w:p>
      <w:pPr>
        <w:pStyle w:val="9"/>
        <w:widowControl w:val="off"/>
        <w:snapToGrid/>
      </w:pPr>
      <w:r>
        <w:rPr>
          <w:b/>
          <w:sz w:val="22"/>
        </w:rPr>
        <w:t xml:space="preserve"> 그는 도예를 중심에 두고 있으나 점토라는 재료나 도자예술의 기법적 창출에 머무르지 않는다. 이헌정은 형태를 만드는 것이 아니라 조형적 사유를 공유하는 소통의 장을 만들려고 한다. 그것은 피터 볼코스가 얘기했던 ‘기능적 오브제(Functional Object)’ 혹은 ‘슈퍼 오브제(Super Object)’로서 점토의 조형적 표현과 일맥상통한다. 여기서 기능적 오브제라는 의미는 공예라고 하는 장르가 가진 독자적인 특성을 개념적으로 지시한다. 그것은 사용자 혹은 향수자가 자신의 비평적 안목과 선택에 따라 심미적 기능과 실용적 기능을 모두 포함하는 것으로, 어느 한편의 가치로 편중되지 않은 양가의 가치를 담보한 조형적 산물이라는 점이다. 어떤 백자가 실용적 그릇으로 쓰이지 않고 하나의 조각처럼 전시되고 향유되는 경우가 바로 이러한 인식을 뒷받침하는 유력한 실상이다. 그러나 이헌정에게 있어서 기능적 오브제는 보다 다른 차원에서 해석될 필요성이 제기된다. 나는 그것을 다음과 같은 몇 가지 관점에서 분석적으로 들여다보고자 한다. </w:t>
      </w:r>
    </w:p>
    <w:p>
      <w:pPr>
        <w:pStyle w:val="9"/>
        <w:widowControl w:val="off"/>
        <w:snapToGrid/>
      </w:pPr>
      <w:r>
        <w:rPr>
          <w:b/>
          <w:sz w:val="22"/>
        </w:rPr>
        <w:t xml:space="preserve"> 첫째는 이헌정의 추구하고 있는 조형세계의 근저를 가로지르고 있는 ‘매체복합적 조형의식(formative consciousness based on mixed-media)’이다. 이번 이헌정의 근작들에서도 여실히 목격되는 바이지만, 도예의 가장 원초적인 질료인 점토 외에 시멘트, 철망, 에폭시 레이슨, 모터 펌프 등을 도입하여 복합된 매체의 협주곡을 연주하고 있다. 이 재료 편향적인 사고에서 벗어나 매체복합적인 사고지향성은 그가 간간히 진행해 온 설치작업과 결코 무관하지 않다. 그는 설치작업을 통해 자신의 조형개념을 심화시켜 나가고, 도예의 흙작업과 다른 공간적 경험을 구축해 나가고, 질료에 대한 사유의 영토를 넓혀 나가는 계기로 삼아 왔다. 이렇게 적지 않은 시간동안 축적해 온 조형적 실험의 궤적과 다양한 질료와의 대화는 필연적으로 도예 너머의 세계를 바라보게 하기에 충분한 조건이 되지 않았나 싶다. 다시 말하자면, 단순히 새로운 형태로서의 그릇을 만드는 것에 그치는 것이 아니라 하나의 의식 혹은 양식으로서 음식문화 내지는 생활문화 자체를 고민하였다고 보는 것이다. 이러한 맥락에서 그가 건축학 박사과정을 공부하고 있는 것은 의미심장한 일이다. 건축은 다양한 질료, 질감, 변이적 구조 등이 복층적으로 포개져 있는 종합예술적인 영역이다. 이 도예 혹은 예술의 바깥을 향한 그의 시선은 자연스럽게 건축적 지형과 만나면서 복합적인 매체의 화음, 변주성이 그의 조형의식을 사로잡고 있는 지도 모른다.   </w:t>
      </w:r>
    </w:p>
    <w:p>
      <w:pPr>
        <w:pStyle w:val="0"/>
        <w:widowControl w:val="off"/>
        <w:snapToGrid/>
      </w:pPr>
      <w:r>
        <w:rPr>
          <w:rFonts w:ascii="산돌제비 M" w:eastAsia="산돌제비 M"/>
          <w:b/>
          <w:sz w:val="22"/>
        </w:rPr>
        <w:t xml:space="preserve"> 둘째는 ‘유목적 사유(nomadic meditation)'의 무한한 전개로서 조형적 발현이다. 이 유목적 사유의 한 반영으로서 그는 오랫동안 ‘여행(Journey)’이라는 제목을 자신의 개인전에 첨부해 왔다. 그의 이 여행의 의미는 현실로부터의 떠남과 귀소적 본능의 끝없는 반복이다. 이 떠남과 돌아옴의 지평에 그의 조형적 사유는 끝없는 매듭을 이어나간다. 이러한 이유에서 그의 여행으로서 개인전들은 현실을 반성적으로 돌아보는 비일상적 직조이며, 자신의 내면에 계절을 두고 돋아나는 예술적 잡풀들과의 대화인지도 모른다. </w:t>
      </w:r>
    </w:p>
    <w:p>
      <w:pPr>
        <w:pStyle w:val="0"/>
        <w:widowControl w:val="off"/>
        <w:snapToGrid/>
      </w:pPr>
      <w:r>
        <w:rPr>
          <w:rFonts w:ascii="산돌제비 M" w:eastAsia="산돌제비 M"/>
          <w:b/>
          <w:sz w:val="22"/>
        </w:rPr>
        <w:t xml:space="preserve"> 셋째는 전통의 다시 바라보기를 통한 ‘한국미의 재맥락화(recontextualization on Korean aesthetics)’이다. 나는 이 점에 관한한 이헌정의 조형의식이 한국미의 전통에서 발원하고 있음을 문득 문득 발견하곤 한다. 그것은 그의 깨진 콘크리트 테이블의 모서리, 자연스럽게 남겨진 물레질의 흔적, 우연성을 예정하며 칠해진 유약의 미묘한 흐름들에서 한국미의 한 특질로 회자되어 온 자연성, 비기교성, 무작위성 등과 같은 개념적 지표들과 조우하게 되기 때문이다. 이러한 태도는 그가 만든 그릇이나 조각적 오브제, 회화적 표현들을 총체적으로 관통하여 드러나고 있는 이헌정식 조형개념의 깃발이 아닌가 싶다.</w:t>
      </w:r>
    </w:p>
    <w:p>
      <w:pPr>
        <w:pStyle w:val="0"/>
        <w:widowControl w:val="off"/>
        <w:snapToGrid/>
      </w:pPr>
      <w:r>
        <w:rPr>
          <w:rFonts w:ascii="산돌제비 M" w:eastAsia="산돌제비 M"/>
          <w:b/>
          <w:sz w:val="22"/>
        </w:rPr>
        <w:t xml:space="preserve"> 끝으로 이헌정은 서로 다른 개념, 문화, 역사, 영역 사이에 존재하는 ‘틈의 미학(aesthetics of gap)’을 조형적으로 탐색하고 있다고 본다. 나는 이 틈의 문제가 이헌정의 실용적 오브제 혹은 오브제로서의 공예를 동시에 내포하면서 이 양자 사이의 간극을 좁혀 나가거나 혹은 합치시켜나가는 새로운 지점의 예술을 꿈꾸고 있다고 생각한다. 나는 이러한 관점에서 이헌정을 통해 포스트모던 시대의 부응하는 새로운 예술가 즉, ‘사회적 예술가(social artist)’로서의 가능태를 엿보곤 한다. 예컨대, 대나무 대롱을 타고 약수물이 흐르는 전통의 풍경을 연상시키는 키네틱적인 테이블이나 꽃이 피는 듯한 형태를 고착화시킨 테이블은 우리로 하여금 사유의 고즈넉한 시간으로 안내하기에 부족함이 없다. 그것은 생활공간에 놓여지는 정신적 쉼터이자, 일상 속에 존재 가능한 현실 저 편의 피안지대이며, 고루한 일상성을 시적으로 승화시키는 정서적 울림이다. 이헌정은 적어도 예술을 과대하게 포장하거나 그릇을 만드는 장인의 정신에 기대어 자신의 존재론적 의미를 한정시키지 않는다. 그는 소박한 그리고 간결한 예술가의 삶 속에서 어떤 의미있는 이정표를 향해 늘 일탈의 여행을 꿈꾸는 몽상가이다. 그리고 그는 늘 오래되었지만 낯선 사물들을 채집하여 뜻밖의 의미를 부여하는 일루셔니스트(illusionist)이기도 하다. 그 곁에서 우리가 그의 빛나는 사유의 길 떠남과 돌아옴의 봇짐 속에서 미처 알지 못했던 예술적 잡풀들이 품어내는 향기를 맡는 것은 하나의 축복일 수 있을 것이다. 나는 이번 근작들을 통해 보랏빛 노을빛을 받으며 한국미의 골목길을 돌아나가는 그의 뒷모습을 발견한다. 아직도 그의 여행은 끝나지 않았다.</w:t>
      </w:r>
    </w:p>
    <w:p>
      <w:pPr>
        <w:pStyle w:val="0"/>
        <w:widowControl w:val="off"/>
        <w:snapToGrid/>
      </w:pPr>
      <w:r>
        <w:rPr>
          <w:rFonts w:ascii="산돌제비 M" w:eastAsia="산돌제비 M"/>
          <w:b/>
          <w:sz w:val="22"/>
        </w:rPr>
        <w:t>(2008년 11월)</w:t>
      </w:r>
    </w:p>
    <w:p>
      <w:pPr>
        <w:pStyle w:val="0"/>
        <w:widowControl w:val="off"/>
        <w:snapToGrid/>
        <w:rPr>
          <w:rFonts w:ascii="산돌제비 M" w:eastAsia="산돌제비 M"/>
          <w:b/>
          <w:color w:val="000000"/>
          <w:sz w:val="40"/>
        </w:rPr>
      </w:pPr>
    </w:p>
    <w:sectPr>
      <w:footnotePr>
        <w:numFmt w:val="decimal"/>
        <w:numRestart w:val="continuous"/>
      </w:footnotePr>
      <w:endnotePr>
        <w:pos w:val="docEnd"/>
        <w:numFmt w:val="decimal"/>
        <w:numRestart w:val="continuous"/>
      </w:endnotePr>
      <w:pgSz w:w="11906" w:h="16838"/>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바탕" w:eastAsia="바탕"/>
      <w:color w:val="000000"/>
      <w:sz w:val="2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00" w:right="0" w:firstLine="0"/>
      <w:jc w:val="both"/>
      <w:textAlignment w:val="baseline"/>
    </w:pPr>
    <w:rPr>
      <w:rFonts w:ascii="바탕" w:eastAsia="바탕"/>
      <w:color w:val="000000"/>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00" w:right="0" w:firstLine="0"/>
      <w:jc w:val="both"/>
      <w:textAlignment w:val="baseline"/>
      <w:outlineLvl w:val="0"/>
      <w:numPr>
        <w:numId w:val="202"/>
        <w:ilvl w:val="0"/>
      </w:numPr>
    </w:pPr>
    <w:rPr>
      <w:rFonts w:ascii="바탕" w:eastAsia="바탕"/>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0" w:firstLine="0"/>
      <w:jc w:val="both"/>
      <w:textAlignment w:val="baseline"/>
      <w:outlineLvl w:val="1"/>
      <w:numPr>
        <w:numId w:val="203"/>
        <w:ilvl w:val="1"/>
      </w:numPr>
    </w:pPr>
    <w:rPr>
      <w:rFonts w:ascii="바탕" w:eastAsia="바탕"/>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600" w:right="0" w:firstLine="0"/>
      <w:jc w:val="both"/>
      <w:textAlignment w:val="baseline"/>
      <w:outlineLvl w:val="2"/>
      <w:numPr>
        <w:numId w:val="204"/>
        <w:ilvl w:val="2"/>
      </w:numPr>
    </w:pPr>
    <w:rPr>
      <w:rFonts w:ascii="바탕" w:eastAsia="바탕"/>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800" w:right="0" w:firstLine="0"/>
      <w:jc w:val="both"/>
      <w:textAlignment w:val="baseline"/>
      <w:outlineLvl w:val="3"/>
      <w:numPr>
        <w:numId w:val="205"/>
        <w:ilvl w:val="3"/>
      </w:numPr>
    </w:pPr>
    <w:rPr>
      <w:rFonts w:ascii="바탕" w:eastAsia="바탕"/>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000" w:right="0" w:firstLine="0"/>
      <w:jc w:val="both"/>
      <w:textAlignment w:val="baseline"/>
      <w:outlineLvl w:val="4"/>
      <w:numPr>
        <w:numId w:val="206"/>
        <w:ilvl w:val="4"/>
      </w:numPr>
    </w:pPr>
    <w:rPr>
      <w:rFonts w:ascii="바탕" w:eastAsia="바탕"/>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200" w:right="0" w:firstLine="0"/>
      <w:jc w:val="both"/>
      <w:textAlignment w:val="baseline"/>
      <w:outlineLvl w:val="5"/>
      <w:numPr>
        <w:numId w:val="207"/>
        <w:ilvl w:val="5"/>
      </w:numPr>
    </w:pPr>
    <w:rPr>
      <w:rFonts w:ascii="바탕" w:eastAsia="바탕"/>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00" w:right="0" w:firstLine="0"/>
      <w:jc w:val="both"/>
      <w:textAlignment w:val="baseline"/>
      <w:outlineLvl w:val="6"/>
      <w:numPr>
        <w:numId w:val="208"/>
        <w:ilvl w:val="6"/>
      </w:numPr>
    </w:pPr>
    <w:rPr>
      <w:rFonts w:ascii="바탕" w:eastAsia="바탕"/>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산돌제비 M" w:eastAsia="산돌제비 M"/>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both"/>
      <w:textAlignment w:val="baseline"/>
    </w:pPr>
    <w:rPr>
      <w:rFonts w:ascii="굴림" w:eastAsia="굴림"/>
      <w:color w:val="000000"/>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바탕" w:eastAsia="바탕"/>
      <w:color w:val="000000"/>
      <w:spacing w:val="-4"/>
      <w:w w:val="95"/>
      <w:sz w:val="18"/>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바탕" w:eastAsia="바탕"/>
      <w:color w:val="000000"/>
      <w:spacing w:val="-4"/>
      <w:w w:val="95"/>
      <w:sz w:val="18"/>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굴림" w:eastAsia="굴림"/>
      <w:color w:val="000000"/>
      <w:spacing w:val="-4"/>
      <w:w w:val="95"/>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이헌정</dc:title>
  <dc:creator>Owner</dc:creator>
  <cp:lastModifiedBy>user</cp:lastModifiedBy>
  <dcterms:created xsi:type="dcterms:W3CDTF">2008-11-02T10:41:25.156</dcterms:created>
  <dcterms:modified xsi:type="dcterms:W3CDTF">2008-11-03T10:38:02.718</dcterms:modified>
  <cp:version>0501.0001.01</cp:version>
</cp:coreProperties>
</file>